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3C0EC" w14:textId="03C33912" w:rsidR="00F9237E" w:rsidRPr="00610088" w:rsidRDefault="008958E7" w:rsidP="00EA600F">
      <w:pPr>
        <w:rPr>
          <w:lang w:val="en-GB"/>
        </w:rPr>
      </w:pPr>
      <w:r>
        <w:rPr>
          <w:noProof/>
          <w:lang w:val="en-GB"/>
        </w:rPr>
        <mc:AlternateContent>
          <mc:Choice Requires="wpg">
            <w:drawing>
              <wp:anchor distT="0" distB="0" distL="114300" distR="114300" simplePos="0" relativeHeight="251673600" behindDoc="0" locked="0" layoutInCell="1" allowOverlap="1" wp14:anchorId="050C4478" wp14:editId="7380583D">
                <wp:simplePos x="0" y="0"/>
                <wp:positionH relativeFrom="column">
                  <wp:posOffset>0</wp:posOffset>
                </wp:positionH>
                <wp:positionV relativeFrom="paragraph">
                  <wp:posOffset>-76200</wp:posOffset>
                </wp:positionV>
                <wp:extent cx="7600315" cy="11181080"/>
                <wp:effectExtent l="25400" t="25400" r="83185" b="83820"/>
                <wp:wrapNone/>
                <wp:docPr id="11" name="Group 11"/>
                <wp:cNvGraphicFramePr/>
                <a:graphic xmlns:a="http://schemas.openxmlformats.org/drawingml/2006/main">
                  <a:graphicData uri="http://schemas.microsoft.com/office/word/2010/wordprocessingGroup">
                    <wpg:wgp>
                      <wpg:cNvGrpSpPr/>
                      <wpg:grpSpPr>
                        <a:xfrm>
                          <a:off x="0" y="0"/>
                          <a:ext cx="7600315" cy="11181080"/>
                          <a:chOff x="0" y="0"/>
                          <a:chExt cx="7600315" cy="11181080"/>
                        </a:xfrm>
                      </wpg:grpSpPr>
                      <wps:wsp>
                        <wps:cNvPr id="12" name="Diagonal Stripe 12"/>
                        <wps:cNvSpPr/>
                        <wps:spPr>
                          <a:xfrm>
                            <a:off x="0" y="0"/>
                            <a:ext cx="2185670" cy="1920875"/>
                          </a:xfrm>
                          <a:prstGeom prst="diagStripe">
                            <a:avLst/>
                          </a:prstGeom>
                          <a:solidFill>
                            <a:schemeClr val="accent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iagonal Stripe 15"/>
                        <wps:cNvSpPr>
                          <a:spLocks noChangeAspect="1"/>
                        </wps:cNvSpPr>
                        <wps:spPr>
                          <a:xfrm>
                            <a:off x="0" y="0"/>
                            <a:ext cx="6374130" cy="5602605"/>
                          </a:xfrm>
                          <a:prstGeom prst="diagStripe">
                            <a:avLst/>
                          </a:prstGeom>
                          <a:solidFill>
                            <a:schemeClr val="accent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iagonal Stripe 16"/>
                        <wps:cNvSpPr>
                          <a:spLocks noChangeAspect="1"/>
                        </wps:cNvSpPr>
                        <wps:spPr>
                          <a:xfrm rot="10800000">
                            <a:off x="3314700" y="7416800"/>
                            <a:ext cx="4283710" cy="3764280"/>
                          </a:xfrm>
                          <a:prstGeom prst="diagStripe">
                            <a:avLst/>
                          </a:prstGeom>
                          <a:solidFill>
                            <a:schemeClr val="accent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iagonal Stripe 17"/>
                        <wps:cNvSpPr>
                          <a:spLocks noChangeAspect="1"/>
                        </wps:cNvSpPr>
                        <wps:spPr>
                          <a:xfrm rot="10800000">
                            <a:off x="6248400" y="9791700"/>
                            <a:ext cx="1351915" cy="1189355"/>
                          </a:xfrm>
                          <a:prstGeom prst="diagStripe">
                            <a:avLst/>
                          </a:prstGeom>
                          <a:solidFill>
                            <a:schemeClr val="accent6"/>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8"/>
                        <wps:cNvSpPr txBox="1"/>
                        <wps:spPr>
                          <a:xfrm>
                            <a:off x="1993900" y="4826000"/>
                            <a:ext cx="4258310" cy="2679700"/>
                          </a:xfrm>
                          <a:prstGeom prst="rect">
                            <a:avLst/>
                          </a:prstGeom>
                          <a:solidFill>
                            <a:schemeClr val="accent6"/>
                          </a:solidFill>
                          <a:ln/>
                        </wps:spPr>
                        <wps:style>
                          <a:lnRef idx="3">
                            <a:schemeClr val="lt1"/>
                          </a:lnRef>
                          <a:fillRef idx="1">
                            <a:schemeClr val="accent1"/>
                          </a:fillRef>
                          <a:effectRef idx="1">
                            <a:schemeClr val="accent1"/>
                          </a:effectRef>
                          <a:fontRef idx="minor">
                            <a:schemeClr val="lt1"/>
                          </a:fontRef>
                        </wps:style>
                        <wps:txbx>
                          <w:txbxContent>
                            <w:p w14:paraId="284D43BD" w14:textId="77777777" w:rsidR="00504B06" w:rsidRDefault="00504B06" w:rsidP="008958E7">
                              <w:pPr>
                                <w:jc w:val="center"/>
                                <w:rPr>
                                  <w:b/>
                                  <w:bCs/>
                                  <w:sz w:val="36"/>
                                  <w:szCs w:val="36"/>
                                  <w:lang w:val="en-GB"/>
                                </w:rPr>
                              </w:pPr>
                            </w:p>
                            <w:p w14:paraId="372C7D22" w14:textId="77777777" w:rsidR="00504B06" w:rsidRPr="00212204" w:rsidRDefault="00504B06" w:rsidP="008958E7">
                              <w:pPr>
                                <w:jc w:val="center"/>
                                <w:rPr>
                                  <w:b/>
                                  <w:bCs/>
                                  <w:sz w:val="36"/>
                                  <w:szCs w:val="36"/>
                                  <w:lang w:val="en-GB"/>
                                </w:rPr>
                              </w:pPr>
                              <w:r w:rsidRPr="00212204">
                                <w:rPr>
                                  <w:b/>
                                  <w:bCs/>
                                  <w:sz w:val="36"/>
                                  <w:szCs w:val="36"/>
                                  <w:lang w:val="en-GB"/>
                                </w:rPr>
                                <w:t>REPUBLIC OF SIERRA LEONE</w:t>
                              </w:r>
                            </w:p>
                            <w:p w14:paraId="40C9422A" w14:textId="77777777" w:rsidR="00504B06" w:rsidRPr="00212204" w:rsidRDefault="00504B06" w:rsidP="008958E7">
                              <w:pPr>
                                <w:jc w:val="center"/>
                                <w:rPr>
                                  <w:b/>
                                  <w:bCs/>
                                  <w:sz w:val="36"/>
                                  <w:szCs w:val="36"/>
                                  <w:lang w:val="en-GB"/>
                                </w:rPr>
                              </w:pPr>
                              <w:r w:rsidRPr="00212204">
                                <w:rPr>
                                  <w:b/>
                                  <w:bCs/>
                                  <w:sz w:val="36"/>
                                  <w:szCs w:val="36"/>
                                  <w:lang w:val="en-GB"/>
                                </w:rPr>
                                <w:t>MINISTRY OF HEALTH AND SANITATION</w:t>
                              </w:r>
                            </w:p>
                            <w:p w14:paraId="03FC23AC" w14:textId="77777777" w:rsidR="00504B06" w:rsidRPr="00212204" w:rsidRDefault="00504B06" w:rsidP="008958E7">
                              <w:pPr>
                                <w:jc w:val="center"/>
                                <w:rPr>
                                  <w:lang w:val="en-GB"/>
                                </w:rPr>
                              </w:pPr>
                            </w:p>
                            <w:p w14:paraId="7AF12BDD" w14:textId="77777777" w:rsidR="00504B06" w:rsidRPr="00610088" w:rsidRDefault="00504B06" w:rsidP="008958E7">
                              <w:pPr>
                                <w:jc w:val="center"/>
                                <w:rPr>
                                  <w:b/>
                                  <w:bCs/>
                                  <w:sz w:val="36"/>
                                  <w:szCs w:val="36"/>
                                  <w:lang w:val="en-GB"/>
                                </w:rPr>
                              </w:pPr>
                              <w:r w:rsidRPr="00610088">
                                <w:rPr>
                                  <w:b/>
                                  <w:bCs/>
                                  <w:sz w:val="36"/>
                                  <w:szCs w:val="36"/>
                                  <w:lang w:val="en-GB"/>
                                </w:rPr>
                                <w:t>NON-COMMUNICABLE DISEASES (NCDs) STRATEGIC PLAN</w:t>
                              </w:r>
                            </w:p>
                            <w:p w14:paraId="112CA7D6" w14:textId="77777777" w:rsidR="00504B06" w:rsidRPr="00610088" w:rsidRDefault="00504B06" w:rsidP="008958E7">
                              <w:pPr>
                                <w:jc w:val="center"/>
                                <w:rPr>
                                  <w:b/>
                                  <w:bCs/>
                                  <w:sz w:val="36"/>
                                  <w:szCs w:val="36"/>
                                  <w:lang w:val="en-GB"/>
                                </w:rPr>
                              </w:pPr>
                              <w:r w:rsidRPr="00610088">
                                <w:rPr>
                                  <w:b/>
                                  <w:bCs/>
                                  <w:sz w:val="36"/>
                                  <w:szCs w:val="36"/>
                                  <w:lang w:val="en-GB"/>
                                </w:rPr>
                                <w:t>20</w:t>
                              </w:r>
                              <w:r>
                                <w:rPr>
                                  <w:b/>
                                  <w:bCs/>
                                  <w:sz w:val="36"/>
                                  <w:szCs w:val="36"/>
                                  <w:lang w:val="en-GB"/>
                                </w:rPr>
                                <w:t>20</w:t>
                              </w:r>
                              <w:r w:rsidRPr="00610088">
                                <w:rPr>
                                  <w:b/>
                                  <w:bCs/>
                                  <w:sz w:val="36"/>
                                  <w:szCs w:val="36"/>
                                  <w:lang w:val="en-GB"/>
                                </w:rPr>
                                <w:t>-202</w:t>
                              </w:r>
                              <w:r>
                                <w:rPr>
                                  <w:b/>
                                  <w:bCs/>
                                  <w:sz w:val="36"/>
                                  <w:szCs w:val="36"/>
                                  <w:lang w:val="en-GB"/>
                                </w:rPr>
                                <w:t>4</w:t>
                              </w:r>
                            </w:p>
                            <w:p w14:paraId="792F7B9B" w14:textId="77777777" w:rsidR="00504B06" w:rsidRPr="00212204" w:rsidRDefault="00504B06" w:rsidP="008958E7">
                              <w:pPr>
                                <w:jc w:val="center"/>
                                <w:rPr>
                                  <w:color w:val="000000" w:themeColor="text1"/>
                                  <w:sz w:val="36"/>
                                  <w:szCs w:val="36"/>
                                  <w:lang w:val="en-GB"/>
                                </w:rPr>
                              </w:pPr>
                            </w:p>
                            <w:p w14:paraId="2DA5D25C" w14:textId="77777777" w:rsidR="00504B06" w:rsidRPr="00C61B21" w:rsidRDefault="00504B06" w:rsidP="008958E7">
                              <w:pPr>
                                <w:jc w:val="center"/>
                                <w:rPr>
                                  <w:color w:val="FFFFFF" w:themeColor="background1"/>
                                  <w:sz w:val="36"/>
                                  <w:szCs w:val="36"/>
                                  <w:lang w:val="en-GB"/>
                                </w:rPr>
                              </w:pPr>
                              <w:r w:rsidRPr="00C61B21">
                                <w:rPr>
                                  <w:color w:val="FFFFFF" w:themeColor="background1"/>
                                  <w:sz w:val="36"/>
                                  <w:szCs w:val="36"/>
                                  <w:lang w:val="en-GB"/>
                                </w:rPr>
                                <w:t>23 February 2020</w:t>
                              </w:r>
                            </w:p>
                            <w:p w14:paraId="4D83E05F" w14:textId="77777777" w:rsidR="00504B06" w:rsidRPr="00006F7F" w:rsidRDefault="00504B06" w:rsidP="008958E7">
                              <w:pPr>
                                <w:jc w:val="center"/>
                                <w:rPr>
                                  <w:b/>
                                  <w:bCs/>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19"/>
                        <wps:cNvSpPr txBox="1"/>
                        <wps:spPr>
                          <a:xfrm>
                            <a:off x="495300" y="8331200"/>
                            <a:ext cx="2554605" cy="1829435"/>
                          </a:xfrm>
                          <a:prstGeom prst="rect">
                            <a:avLst/>
                          </a:prstGeom>
                          <a:solidFill>
                            <a:schemeClr val="lt1"/>
                          </a:solidFill>
                          <a:ln w="6350">
                            <a:noFill/>
                          </a:ln>
                        </wps:spPr>
                        <wps:txbx>
                          <w:txbxContent>
                            <w:p w14:paraId="55422849" w14:textId="77777777" w:rsidR="00504B06" w:rsidRDefault="00504B06" w:rsidP="008958E7">
                              <w:r w:rsidRPr="00212204">
                                <w:rPr>
                                  <w:rFonts w:ascii="Times New Roman" w:hAnsi="Times New Roman" w:cs="Times New Roman"/>
                                  <w:noProof/>
                                  <w:lang w:val="en-GB"/>
                                </w:rPr>
                                <w:drawing>
                                  <wp:inline distT="0" distB="0" distL="0" distR="0" wp14:anchorId="1B4E43EF" wp14:editId="2490DC20">
                                    <wp:extent cx="2089785" cy="1229445"/>
                                    <wp:effectExtent l="0" t="0" r="5715" b="8890"/>
                                    <wp:docPr id="19" name="Picture 19" descr="A picture containing window,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65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2089" cy="12602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4635500" y="1930400"/>
                            <a:ext cx="2353945" cy="1979930"/>
                          </a:xfrm>
                          <a:prstGeom prst="rect">
                            <a:avLst/>
                          </a:prstGeom>
                          <a:solidFill>
                            <a:schemeClr val="lt1"/>
                          </a:solidFill>
                          <a:ln w="6350">
                            <a:noFill/>
                          </a:ln>
                        </wps:spPr>
                        <wps:txbx>
                          <w:txbxContent>
                            <w:p w14:paraId="64598938" w14:textId="77777777" w:rsidR="00504B06" w:rsidRPr="0098253E" w:rsidRDefault="00504B06" w:rsidP="008958E7">
                              <w:r w:rsidRPr="00212204">
                                <w:rPr>
                                  <w:noProof/>
                                  <w:lang w:val="en-GB"/>
                                </w:rPr>
                                <w:drawing>
                                  <wp:inline distT="0" distB="0" distL="0" distR="0" wp14:anchorId="39141E56" wp14:editId="53DC949F">
                                    <wp:extent cx="2164715" cy="1678329"/>
                                    <wp:effectExtent l="0" t="0" r="0" b="0"/>
                                    <wp:docPr id="18" name="Picture 18" descr="A close up of a logo&#10;&#10;Description automatically generated">
                                      <a:extLst xmlns:a="http://schemas.openxmlformats.org/drawingml/2006/main">
                                        <a:ext uri="{FF2B5EF4-FFF2-40B4-BE49-F238E27FC236}">
                                          <a16:creationId xmlns:a16="http://schemas.microsoft.com/office/drawing/2014/main" id="{9B89DB67-29A0-4F89-94EB-709BBED74FC5}"/>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B89DB67-29A0-4F89-94EB-709BBED74FC5}"/>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725" cy="1705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0C4478" id="Group 11" o:spid="_x0000_s1026" style="position:absolute;margin-left:0;margin-top:-6pt;width:598.45pt;height:880.4pt;z-index:251673600" coordsize="76003,1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">
                <v:shape id="Diagonal Stripe 12" o:spid="_x0000_s1027" style="position:absolute;width:21856;height:19208;visibility:visible;mso-wrap-style:square;v-text-anchor:middle" coordsize="2185670,192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" path="m,960438l1092835,,2185670,,,1920875,,960438xe" fillcolor="#70ad47 [3209]" stroked="f" strokeweight="1pt">
                  <v:stroke joinstyle="miter"/>
                  <v:shadow on="t" color="black" opacity="26214f" origin="-.5,-.5" offset=".74836mm,.74836mm"/>
                  <v:path arrowok="t" o:connecttype="custom" o:connectlocs="0,960438;1092835,0;2185670,0;0,1920875;0,960438" o:connectangles="0,0,0,0,0"/>
                </v:shape>
                <v:shape id="Diagonal Stripe 15" o:spid="_x0000_s1028" style="position:absolute;width:63741;height:56026;visibility:visible;mso-wrap-style:square;v-text-anchor:middle" coordsize="6374130,560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" path="m,2801303l3187065,,6374130,,,5602605,,2801303xe" fillcolor="#4472c4 [3204]" stroked="f" strokeweight="1pt">
                  <v:stroke joinstyle="miter"/>
                  <v:shadow on="t" color="black" opacity="26214f" origin="-.5,-.5" offset=".74836mm,.74836mm"/>
                  <v:path arrowok="t" o:connecttype="custom" o:connectlocs="0,2801303;3187065,0;6374130,0;0,5602605;0,2801303" o:connectangles="0,0,0,0,0"/>
                  <o:lock v:ext="edit" aspectratio="t"/>
                </v:shape>
                <v:shape id="Diagonal Stripe 16" o:spid="_x0000_s1029" style="position:absolute;left:33147;top:74168;width:42837;height:37642;rotation:180;visibility:visible;mso-wrap-style:square;v-text-anchor:middle" coordsize="4283710,376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" path="m,1882140l2141855,,4283710,,,3764280,,1882140xe" fillcolor="#4472c4 [3204]" stroked="f" strokeweight="1pt">
                  <v:stroke joinstyle="miter"/>
                  <v:shadow on="t" color="black" opacity="26214f" origin="-.5,-.5" offset=".74836mm,.74836mm"/>
                  <v:path arrowok="t" o:connecttype="custom" o:connectlocs="0,1882140;2141855,0;4283710,0;0,3764280;0,1882140" o:connectangles="0,0,0,0,0"/>
                  <o:lock v:ext="edit" aspectratio="t"/>
                </v:shape>
                <v:shape id="Diagonal Stripe 17" o:spid="_x0000_s1030" style="position:absolute;left:62484;top:97917;width:13519;height:11893;rotation:180;visibility:visible;mso-wrap-style:square;v-text-anchor:middle" coordsize="1351915,1189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" path="m,594678l675958,r675957,l,1189355,,594678xe" fillcolor="#70ad47 [3209]" stroked="f" strokeweight="1pt">
                  <v:stroke joinstyle="miter"/>
                  <v:shadow on="t" color="black" opacity="26214f" origin="-.5,-.5" offset=".74836mm,.74836mm"/>
                  <v:path arrowok="t" o:connecttype="custom" o:connectlocs="0,594678;675958,0;1351915,0;0,1189355;0,594678" o:connectangles="0,0,0,0,0"/>
                  <o:lock v:ext="edit" aspectratio="t"/>
                </v:shape>
                <v:shapetype id="_x0000_t202" coordsize="21600,21600" o:spt="202" path="m,l,21600r21600,l21600,xe">
                  <v:stroke joinstyle="miter"/>
                  <v:path gradientshapeok="t" o:connecttype="rect"/>
                </v:shapetype>
                <v:shape id="Text Box 18" o:spid="_x0000_s1031" type="#_x0000_t202" style="position:absolute;left:19939;top:48260;width:42583;height:26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" fillcolor="#70ad47 [3209]" strokecolor="white [3201]" strokeweight="1.5pt">
                  <v:textbox>
                    <w:txbxContent>
                      <w:p w14:paraId="284D43BD" w14:textId="77777777" w:rsidR="00504B06" w:rsidRDefault="00504B06" w:rsidP="008958E7">
                        <w:pPr>
                          <w:jc w:val="center"/>
                          <w:rPr>
                            <w:b/>
                            <w:bCs/>
                            <w:sz w:val="36"/>
                            <w:szCs w:val="36"/>
                            <w:lang w:val="en-GB"/>
                          </w:rPr>
                        </w:pPr>
                      </w:p>
                      <w:p w14:paraId="372C7D22" w14:textId="77777777" w:rsidR="00504B06" w:rsidRPr="00212204" w:rsidRDefault="00504B06" w:rsidP="008958E7">
                        <w:pPr>
                          <w:jc w:val="center"/>
                          <w:rPr>
                            <w:b/>
                            <w:bCs/>
                            <w:sz w:val="36"/>
                            <w:szCs w:val="36"/>
                            <w:lang w:val="en-GB"/>
                          </w:rPr>
                        </w:pPr>
                        <w:r w:rsidRPr="00212204">
                          <w:rPr>
                            <w:b/>
                            <w:bCs/>
                            <w:sz w:val="36"/>
                            <w:szCs w:val="36"/>
                            <w:lang w:val="en-GB"/>
                          </w:rPr>
                          <w:t>REPUBLIC OF SIERRA LEONE</w:t>
                        </w:r>
                      </w:p>
                      <w:p w14:paraId="40C9422A" w14:textId="77777777" w:rsidR="00504B06" w:rsidRPr="00212204" w:rsidRDefault="00504B06" w:rsidP="008958E7">
                        <w:pPr>
                          <w:jc w:val="center"/>
                          <w:rPr>
                            <w:b/>
                            <w:bCs/>
                            <w:sz w:val="36"/>
                            <w:szCs w:val="36"/>
                            <w:lang w:val="en-GB"/>
                          </w:rPr>
                        </w:pPr>
                        <w:r w:rsidRPr="00212204">
                          <w:rPr>
                            <w:b/>
                            <w:bCs/>
                            <w:sz w:val="36"/>
                            <w:szCs w:val="36"/>
                            <w:lang w:val="en-GB"/>
                          </w:rPr>
                          <w:t>MINISTRY OF HEALTH AND SANITATION</w:t>
                        </w:r>
                      </w:p>
                      <w:p w14:paraId="03FC23AC" w14:textId="77777777" w:rsidR="00504B06" w:rsidRPr="00212204" w:rsidRDefault="00504B06" w:rsidP="008958E7">
                        <w:pPr>
                          <w:jc w:val="center"/>
                          <w:rPr>
                            <w:lang w:val="en-GB"/>
                          </w:rPr>
                        </w:pPr>
                      </w:p>
                      <w:p w14:paraId="7AF12BDD" w14:textId="77777777" w:rsidR="00504B06" w:rsidRPr="00610088" w:rsidRDefault="00504B06" w:rsidP="008958E7">
                        <w:pPr>
                          <w:jc w:val="center"/>
                          <w:rPr>
                            <w:b/>
                            <w:bCs/>
                            <w:sz w:val="36"/>
                            <w:szCs w:val="36"/>
                            <w:lang w:val="en-GB"/>
                          </w:rPr>
                        </w:pPr>
                        <w:r w:rsidRPr="00610088">
                          <w:rPr>
                            <w:b/>
                            <w:bCs/>
                            <w:sz w:val="36"/>
                            <w:szCs w:val="36"/>
                            <w:lang w:val="en-GB"/>
                          </w:rPr>
                          <w:t>NON-COMMUNICABLE DISEASES (NCDs) STRATEGIC PLAN</w:t>
                        </w:r>
                      </w:p>
                      <w:p w14:paraId="112CA7D6" w14:textId="77777777" w:rsidR="00504B06" w:rsidRPr="00610088" w:rsidRDefault="00504B06" w:rsidP="008958E7">
                        <w:pPr>
                          <w:jc w:val="center"/>
                          <w:rPr>
                            <w:b/>
                            <w:bCs/>
                            <w:sz w:val="36"/>
                            <w:szCs w:val="36"/>
                            <w:lang w:val="en-GB"/>
                          </w:rPr>
                        </w:pPr>
                        <w:r w:rsidRPr="00610088">
                          <w:rPr>
                            <w:b/>
                            <w:bCs/>
                            <w:sz w:val="36"/>
                            <w:szCs w:val="36"/>
                            <w:lang w:val="en-GB"/>
                          </w:rPr>
                          <w:t>20</w:t>
                        </w:r>
                        <w:r>
                          <w:rPr>
                            <w:b/>
                            <w:bCs/>
                            <w:sz w:val="36"/>
                            <w:szCs w:val="36"/>
                            <w:lang w:val="en-GB"/>
                          </w:rPr>
                          <w:t>20</w:t>
                        </w:r>
                        <w:r w:rsidRPr="00610088">
                          <w:rPr>
                            <w:b/>
                            <w:bCs/>
                            <w:sz w:val="36"/>
                            <w:szCs w:val="36"/>
                            <w:lang w:val="en-GB"/>
                          </w:rPr>
                          <w:t>-202</w:t>
                        </w:r>
                        <w:r>
                          <w:rPr>
                            <w:b/>
                            <w:bCs/>
                            <w:sz w:val="36"/>
                            <w:szCs w:val="36"/>
                            <w:lang w:val="en-GB"/>
                          </w:rPr>
                          <w:t>4</w:t>
                        </w:r>
                      </w:p>
                      <w:p w14:paraId="792F7B9B" w14:textId="77777777" w:rsidR="00504B06" w:rsidRPr="00212204" w:rsidRDefault="00504B06" w:rsidP="008958E7">
                        <w:pPr>
                          <w:jc w:val="center"/>
                          <w:rPr>
                            <w:color w:val="000000" w:themeColor="text1"/>
                            <w:sz w:val="36"/>
                            <w:szCs w:val="36"/>
                            <w:lang w:val="en-GB"/>
                          </w:rPr>
                        </w:pPr>
                      </w:p>
                      <w:p w14:paraId="2DA5D25C" w14:textId="77777777" w:rsidR="00504B06" w:rsidRPr="00C61B21" w:rsidRDefault="00504B06" w:rsidP="008958E7">
                        <w:pPr>
                          <w:jc w:val="center"/>
                          <w:rPr>
                            <w:color w:val="FFFFFF" w:themeColor="background1"/>
                            <w:sz w:val="36"/>
                            <w:szCs w:val="36"/>
                            <w:lang w:val="en-GB"/>
                          </w:rPr>
                        </w:pPr>
                        <w:r w:rsidRPr="00C61B21">
                          <w:rPr>
                            <w:color w:val="FFFFFF" w:themeColor="background1"/>
                            <w:sz w:val="36"/>
                            <w:szCs w:val="36"/>
                            <w:lang w:val="en-GB"/>
                          </w:rPr>
                          <w:t>23 February 2020</w:t>
                        </w:r>
                      </w:p>
                      <w:p w14:paraId="4D83E05F" w14:textId="77777777" w:rsidR="00504B06" w:rsidRPr="00006F7F" w:rsidRDefault="00504B06" w:rsidP="008958E7">
                        <w:pPr>
                          <w:jc w:val="center"/>
                          <w:rPr>
                            <w:b/>
                            <w:bCs/>
                            <w:sz w:val="72"/>
                            <w:szCs w:val="72"/>
                          </w:rPr>
                        </w:pPr>
                      </w:p>
                    </w:txbxContent>
                  </v:textbox>
                </v:shape>
                <v:shape id="Text Box 19" o:spid="_x0000_s1032" type="#_x0000_t202" style="position:absolute;left:4953;top:83312;width:25546;height:1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5422849" w14:textId="77777777" w:rsidR="00504B06" w:rsidRDefault="00504B06" w:rsidP="008958E7">
                        <w:r w:rsidRPr="00212204">
                          <w:rPr>
                            <w:rFonts w:ascii="Times New Roman" w:hAnsi="Times New Roman" w:cs="Times New Roman"/>
                            <w:noProof/>
                            <w:lang w:val="en-GB"/>
                          </w:rPr>
                          <w:drawing>
                            <wp:inline distT="0" distB="0" distL="0" distR="0" wp14:anchorId="1B4E43EF" wp14:editId="2490DC20">
                              <wp:extent cx="2089785" cy="1229445"/>
                              <wp:effectExtent l="0" t="0" r="5715" b="8890"/>
                              <wp:docPr id="19" name="Picture 19" descr="A picture containing window,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0365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142089" cy="1260216"/>
                                      </a:xfrm>
                                      <a:prstGeom prst="rect">
                                        <a:avLst/>
                                      </a:prstGeom>
                                      <a:noFill/>
                                      <a:ln>
                                        <a:noFill/>
                                      </a:ln>
                                    </pic:spPr>
                                  </pic:pic>
                                </a:graphicData>
                              </a:graphic>
                            </wp:inline>
                          </w:drawing>
                        </w:r>
                      </w:p>
                    </w:txbxContent>
                  </v:textbox>
                </v:shape>
                <v:shape id="Text Box 21" o:spid="_x0000_s1033" type="#_x0000_t202" style="position:absolute;left:46355;top:19304;width:23539;height:1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64598938" w14:textId="77777777" w:rsidR="00504B06" w:rsidRPr="0098253E" w:rsidRDefault="00504B06" w:rsidP="008958E7">
                        <w:r w:rsidRPr="00212204">
                          <w:rPr>
                            <w:noProof/>
                            <w:lang w:val="en-GB"/>
                          </w:rPr>
                          <w:drawing>
                            <wp:inline distT="0" distB="0" distL="0" distR="0" wp14:anchorId="39141E56" wp14:editId="53DC949F">
                              <wp:extent cx="2164715" cy="1678329"/>
                              <wp:effectExtent l="0" t="0" r="0" b="0"/>
                              <wp:docPr id="18" name="Picture 18" descr="A close up of a logo&#10;&#10;Description automatically generated">
                                <a:extLst xmlns:a="http://schemas.openxmlformats.org/drawingml/2006/main">
                                  <a:ext uri="{FF2B5EF4-FFF2-40B4-BE49-F238E27FC236}">
                                    <a16:creationId xmlns:a16="http://schemas.microsoft.com/office/drawing/2014/main" id="{9B89DB67-29A0-4F89-94EB-709BBED74FC5}"/>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B89DB67-29A0-4F89-94EB-709BBED74FC5}"/>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725" cy="1705472"/>
                                      </a:xfrm>
                                      <a:prstGeom prst="rect">
                                        <a:avLst/>
                                      </a:prstGeom>
                                      <a:noFill/>
                                      <a:ln>
                                        <a:noFill/>
                                      </a:ln>
                                    </pic:spPr>
                                  </pic:pic>
                                </a:graphicData>
                              </a:graphic>
                            </wp:inline>
                          </w:drawing>
                        </w:r>
                      </w:p>
                    </w:txbxContent>
                  </v:textbox>
                </v:shape>
              </v:group>
            </w:pict>
          </mc:Fallback>
        </mc:AlternateContent>
      </w:r>
      <w:r w:rsidR="00F9237E" w:rsidRPr="00610088">
        <w:rPr>
          <w:lang w:val="en-GB"/>
        </w:rPr>
        <w:t xml:space="preserve"> </w:t>
      </w:r>
    </w:p>
    <w:p w14:paraId="3F049BE4" w14:textId="3A26F64A" w:rsidR="008958E7" w:rsidRDefault="008958E7" w:rsidP="008958E7">
      <w:pPr>
        <w:rPr>
          <w:lang w:val="en-GB"/>
        </w:rPr>
        <w:sectPr w:rsidR="008958E7" w:rsidSect="008958E7">
          <w:footerReference w:type="even" r:id="rId9"/>
          <w:footerReference w:type="default" r:id="rId10"/>
          <w:endnotePr>
            <w:numFmt w:val="decimal"/>
          </w:endnotePr>
          <w:pgSz w:w="11900" w:h="16840"/>
          <w:pgMar w:top="0" w:right="0" w:bottom="0" w:left="0" w:header="708" w:footer="708" w:gutter="0"/>
          <w:cols w:space="708"/>
          <w:titlePg/>
          <w:docGrid w:linePitch="360"/>
        </w:sectPr>
      </w:pPr>
    </w:p>
    <w:p w14:paraId="13D508E0" w14:textId="77777777" w:rsidR="00780675" w:rsidRPr="00610088" w:rsidRDefault="00780675" w:rsidP="008958E7">
      <w:pPr>
        <w:rPr>
          <w:lang w:val="en-GB"/>
        </w:rPr>
        <w:sectPr w:rsidR="00780675" w:rsidRPr="00610088" w:rsidSect="00780675">
          <w:endnotePr>
            <w:numFmt w:val="decimal"/>
          </w:endnotePr>
          <w:pgSz w:w="11900" w:h="16840"/>
          <w:pgMar w:top="1440" w:right="1440" w:bottom="1440" w:left="1440" w:header="708" w:footer="708" w:gutter="0"/>
          <w:cols w:space="708"/>
          <w:titlePg/>
          <w:docGrid w:linePitch="360"/>
        </w:sectPr>
      </w:pPr>
    </w:p>
    <w:p w14:paraId="2312FCFA" w14:textId="77777777" w:rsidR="00F9237E" w:rsidRPr="00F0634E" w:rsidRDefault="00F9237E" w:rsidP="00EA600F">
      <w:pPr>
        <w:rPr>
          <w:sz w:val="28"/>
          <w:szCs w:val="28"/>
          <w:lang w:val="en-GB"/>
        </w:rPr>
      </w:pPr>
    </w:p>
    <w:p w14:paraId="20F6A2C4" w14:textId="77777777" w:rsidR="001F6F97" w:rsidRPr="00F0634E" w:rsidRDefault="001F6F97" w:rsidP="00F0634E">
      <w:pPr>
        <w:rPr>
          <w:color w:val="4472C4" w:themeColor="accent1"/>
          <w:sz w:val="28"/>
          <w:szCs w:val="28"/>
          <w:lang w:val="en-GB"/>
        </w:rPr>
      </w:pPr>
      <w:r w:rsidRPr="00F0634E">
        <w:rPr>
          <w:color w:val="4472C4" w:themeColor="accent1"/>
          <w:sz w:val="28"/>
          <w:szCs w:val="28"/>
          <w:lang w:val="en-GB"/>
        </w:rPr>
        <w:t>Table of contents</w:t>
      </w:r>
    </w:p>
    <w:p w14:paraId="30CF033C" w14:textId="77777777" w:rsidR="001F6F97" w:rsidRPr="005505BF" w:rsidRDefault="001F6F97" w:rsidP="001F6F97">
      <w:pPr>
        <w:rPr>
          <w:szCs w:val="21"/>
          <w:lang w:val="en-GB"/>
        </w:rPr>
      </w:pPr>
    </w:p>
    <w:p w14:paraId="78E069B2" w14:textId="7A80713B" w:rsidR="00917FE1" w:rsidRDefault="00282C4D">
      <w:pPr>
        <w:pStyle w:val="TOC1"/>
        <w:tabs>
          <w:tab w:val="right" w:leader="dot" w:pos="9010"/>
        </w:tabs>
        <w:rPr>
          <w:rFonts w:eastAsiaTheme="minorEastAsia"/>
          <w:noProof/>
          <w:sz w:val="24"/>
          <w:lang w:eastAsia="en-GB"/>
        </w:rPr>
      </w:pPr>
      <w:r w:rsidRPr="005505BF">
        <w:rPr>
          <w:sz w:val="21"/>
          <w:szCs w:val="21"/>
          <w:lang w:val="en-GB"/>
        </w:rPr>
        <w:fldChar w:fldCharType="begin"/>
      </w:r>
      <w:r w:rsidRPr="005505BF">
        <w:rPr>
          <w:sz w:val="21"/>
          <w:szCs w:val="21"/>
          <w:lang w:val="en-GB"/>
        </w:rPr>
        <w:instrText xml:space="preserve"> TOC \o "1-3" \h \z \u </w:instrText>
      </w:r>
      <w:r w:rsidRPr="005505BF">
        <w:rPr>
          <w:sz w:val="21"/>
          <w:szCs w:val="21"/>
          <w:lang w:val="en-GB"/>
        </w:rPr>
        <w:fldChar w:fldCharType="separate"/>
      </w:r>
      <w:hyperlink w:anchor="_Toc41370529" w:history="1">
        <w:r w:rsidR="00917FE1" w:rsidRPr="00DC1FD2">
          <w:rPr>
            <w:rStyle w:val="Hyperlink"/>
            <w:noProof/>
            <w:lang w:val="en-GB"/>
          </w:rPr>
          <w:t>Foreword</w:t>
        </w:r>
        <w:r w:rsidR="00917FE1">
          <w:rPr>
            <w:noProof/>
            <w:webHidden/>
          </w:rPr>
          <w:tab/>
        </w:r>
        <w:r w:rsidR="00917FE1">
          <w:rPr>
            <w:noProof/>
            <w:webHidden/>
          </w:rPr>
          <w:fldChar w:fldCharType="begin"/>
        </w:r>
        <w:r w:rsidR="00917FE1">
          <w:rPr>
            <w:noProof/>
            <w:webHidden/>
          </w:rPr>
          <w:instrText xml:space="preserve"> PAGEREF _Toc41370529 \h </w:instrText>
        </w:r>
        <w:r w:rsidR="00917FE1">
          <w:rPr>
            <w:noProof/>
            <w:webHidden/>
          </w:rPr>
        </w:r>
        <w:r w:rsidR="00917FE1">
          <w:rPr>
            <w:noProof/>
            <w:webHidden/>
          </w:rPr>
          <w:fldChar w:fldCharType="separate"/>
        </w:r>
        <w:r w:rsidR="00CB360C">
          <w:rPr>
            <w:noProof/>
            <w:webHidden/>
          </w:rPr>
          <w:t>4</w:t>
        </w:r>
        <w:r w:rsidR="00917FE1">
          <w:rPr>
            <w:noProof/>
            <w:webHidden/>
          </w:rPr>
          <w:fldChar w:fldCharType="end"/>
        </w:r>
      </w:hyperlink>
    </w:p>
    <w:p w14:paraId="5443BAA3" w14:textId="00699CCB" w:rsidR="00917FE1" w:rsidRDefault="00504B06">
      <w:pPr>
        <w:pStyle w:val="TOC1"/>
        <w:tabs>
          <w:tab w:val="right" w:leader="dot" w:pos="9010"/>
        </w:tabs>
        <w:rPr>
          <w:rFonts w:eastAsiaTheme="minorEastAsia"/>
          <w:noProof/>
          <w:sz w:val="24"/>
          <w:lang w:eastAsia="en-GB"/>
        </w:rPr>
      </w:pPr>
      <w:hyperlink w:anchor="_Toc41370530" w:history="1">
        <w:r w:rsidR="00917FE1" w:rsidRPr="00DC1FD2">
          <w:rPr>
            <w:rStyle w:val="Hyperlink"/>
            <w:noProof/>
            <w:lang w:val="en-GB"/>
          </w:rPr>
          <w:t>Acknowledgements</w:t>
        </w:r>
        <w:r w:rsidR="00917FE1">
          <w:rPr>
            <w:noProof/>
            <w:webHidden/>
          </w:rPr>
          <w:tab/>
        </w:r>
        <w:r w:rsidR="00917FE1">
          <w:rPr>
            <w:noProof/>
            <w:webHidden/>
          </w:rPr>
          <w:fldChar w:fldCharType="begin"/>
        </w:r>
        <w:r w:rsidR="00917FE1">
          <w:rPr>
            <w:noProof/>
            <w:webHidden/>
          </w:rPr>
          <w:instrText xml:space="preserve"> PAGEREF _Toc41370530 \h </w:instrText>
        </w:r>
        <w:r w:rsidR="00917FE1">
          <w:rPr>
            <w:noProof/>
            <w:webHidden/>
          </w:rPr>
        </w:r>
        <w:r w:rsidR="00917FE1">
          <w:rPr>
            <w:noProof/>
            <w:webHidden/>
          </w:rPr>
          <w:fldChar w:fldCharType="separate"/>
        </w:r>
        <w:r w:rsidR="00CB360C">
          <w:rPr>
            <w:noProof/>
            <w:webHidden/>
          </w:rPr>
          <w:t>5</w:t>
        </w:r>
        <w:r w:rsidR="00917FE1">
          <w:rPr>
            <w:noProof/>
            <w:webHidden/>
          </w:rPr>
          <w:fldChar w:fldCharType="end"/>
        </w:r>
      </w:hyperlink>
    </w:p>
    <w:p w14:paraId="455BEB7C" w14:textId="115CA545" w:rsidR="00917FE1" w:rsidRDefault="00504B06">
      <w:pPr>
        <w:pStyle w:val="TOC1"/>
        <w:tabs>
          <w:tab w:val="right" w:leader="dot" w:pos="9010"/>
        </w:tabs>
        <w:rPr>
          <w:rFonts w:eastAsiaTheme="minorEastAsia"/>
          <w:noProof/>
          <w:sz w:val="24"/>
          <w:lang w:eastAsia="en-GB"/>
        </w:rPr>
      </w:pPr>
      <w:hyperlink w:anchor="_Toc41370531" w:history="1">
        <w:r w:rsidR="00917FE1" w:rsidRPr="00DC1FD2">
          <w:rPr>
            <w:rStyle w:val="Hyperlink"/>
            <w:noProof/>
            <w:lang w:val="en-GB"/>
          </w:rPr>
          <w:t>Abbreviations</w:t>
        </w:r>
        <w:r w:rsidR="00917FE1">
          <w:rPr>
            <w:noProof/>
            <w:webHidden/>
          </w:rPr>
          <w:tab/>
        </w:r>
        <w:r w:rsidR="00917FE1">
          <w:rPr>
            <w:noProof/>
            <w:webHidden/>
          </w:rPr>
          <w:fldChar w:fldCharType="begin"/>
        </w:r>
        <w:r w:rsidR="00917FE1">
          <w:rPr>
            <w:noProof/>
            <w:webHidden/>
          </w:rPr>
          <w:instrText xml:space="preserve"> PAGEREF _Toc41370531 \h </w:instrText>
        </w:r>
        <w:r w:rsidR="00917FE1">
          <w:rPr>
            <w:noProof/>
            <w:webHidden/>
          </w:rPr>
        </w:r>
        <w:r w:rsidR="00917FE1">
          <w:rPr>
            <w:noProof/>
            <w:webHidden/>
          </w:rPr>
          <w:fldChar w:fldCharType="separate"/>
        </w:r>
        <w:r w:rsidR="00CB360C">
          <w:rPr>
            <w:noProof/>
            <w:webHidden/>
          </w:rPr>
          <w:t>6</w:t>
        </w:r>
        <w:r w:rsidR="00917FE1">
          <w:rPr>
            <w:noProof/>
            <w:webHidden/>
          </w:rPr>
          <w:fldChar w:fldCharType="end"/>
        </w:r>
      </w:hyperlink>
    </w:p>
    <w:p w14:paraId="7265DFF1" w14:textId="0085156E" w:rsidR="00917FE1" w:rsidRDefault="00504B06">
      <w:pPr>
        <w:pStyle w:val="TOC1"/>
        <w:tabs>
          <w:tab w:val="right" w:leader="dot" w:pos="9010"/>
        </w:tabs>
        <w:rPr>
          <w:rFonts w:eastAsiaTheme="minorEastAsia"/>
          <w:noProof/>
          <w:sz w:val="24"/>
          <w:lang w:eastAsia="en-GB"/>
        </w:rPr>
      </w:pPr>
      <w:hyperlink w:anchor="_Toc41370532" w:history="1">
        <w:r w:rsidR="00917FE1" w:rsidRPr="00DC1FD2">
          <w:rPr>
            <w:rStyle w:val="Hyperlink"/>
            <w:noProof/>
            <w:lang w:val="en-GB"/>
          </w:rPr>
          <w:t>Executive Summary</w:t>
        </w:r>
        <w:r w:rsidR="00917FE1">
          <w:rPr>
            <w:noProof/>
            <w:webHidden/>
          </w:rPr>
          <w:tab/>
        </w:r>
        <w:r w:rsidR="00917FE1">
          <w:rPr>
            <w:noProof/>
            <w:webHidden/>
          </w:rPr>
          <w:fldChar w:fldCharType="begin"/>
        </w:r>
        <w:r w:rsidR="00917FE1">
          <w:rPr>
            <w:noProof/>
            <w:webHidden/>
          </w:rPr>
          <w:instrText xml:space="preserve"> PAGEREF _Toc41370532 \h </w:instrText>
        </w:r>
        <w:r w:rsidR="00917FE1">
          <w:rPr>
            <w:noProof/>
            <w:webHidden/>
          </w:rPr>
        </w:r>
        <w:r w:rsidR="00917FE1">
          <w:rPr>
            <w:noProof/>
            <w:webHidden/>
          </w:rPr>
          <w:fldChar w:fldCharType="separate"/>
        </w:r>
        <w:r w:rsidR="00CB360C">
          <w:rPr>
            <w:noProof/>
            <w:webHidden/>
          </w:rPr>
          <w:t>9</w:t>
        </w:r>
        <w:r w:rsidR="00917FE1">
          <w:rPr>
            <w:noProof/>
            <w:webHidden/>
          </w:rPr>
          <w:fldChar w:fldCharType="end"/>
        </w:r>
      </w:hyperlink>
    </w:p>
    <w:p w14:paraId="494D0FF8" w14:textId="1EDB1CEA" w:rsidR="00917FE1" w:rsidRDefault="00504B06">
      <w:pPr>
        <w:pStyle w:val="TOC1"/>
        <w:tabs>
          <w:tab w:val="left" w:pos="480"/>
          <w:tab w:val="right" w:leader="dot" w:pos="9010"/>
        </w:tabs>
        <w:rPr>
          <w:rFonts w:eastAsiaTheme="minorEastAsia"/>
          <w:noProof/>
          <w:sz w:val="24"/>
          <w:lang w:eastAsia="en-GB"/>
        </w:rPr>
      </w:pPr>
      <w:hyperlink w:anchor="_Toc41370533" w:history="1">
        <w:r w:rsidR="00917FE1" w:rsidRPr="00DC1FD2">
          <w:rPr>
            <w:rStyle w:val="Hyperlink"/>
            <w:noProof/>
            <w:lang w:val="en-GB"/>
          </w:rPr>
          <w:t>1</w:t>
        </w:r>
        <w:r w:rsidR="00917FE1">
          <w:rPr>
            <w:rFonts w:eastAsiaTheme="minorEastAsia"/>
            <w:noProof/>
            <w:sz w:val="24"/>
            <w:lang w:eastAsia="en-GB"/>
          </w:rPr>
          <w:tab/>
        </w:r>
        <w:r w:rsidR="00917FE1" w:rsidRPr="00DC1FD2">
          <w:rPr>
            <w:rStyle w:val="Hyperlink"/>
            <w:noProof/>
            <w:lang w:val="en-GB"/>
          </w:rPr>
          <w:t>Country background</w:t>
        </w:r>
        <w:r w:rsidR="00917FE1">
          <w:rPr>
            <w:noProof/>
            <w:webHidden/>
          </w:rPr>
          <w:tab/>
        </w:r>
        <w:r w:rsidR="00917FE1">
          <w:rPr>
            <w:noProof/>
            <w:webHidden/>
          </w:rPr>
          <w:fldChar w:fldCharType="begin"/>
        </w:r>
        <w:r w:rsidR="00917FE1">
          <w:rPr>
            <w:noProof/>
            <w:webHidden/>
          </w:rPr>
          <w:instrText xml:space="preserve"> PAGEREF _Toc41370533 \h </w:instrText>
        </w:r>
        <w:r w:rsidR="00917FE1">
          <w:rPr>
            <w:noProof/>
            <w:webHidden/>
          </w:rPr>
        </w:r>
        <w:r w:rsidR="00917FE1">
          <w:rPr>
            <w:noProof/>
            <w:webHidden/>
          </w:rPr>
          <w:fldChar w:fldCharType="separate"/>
        </w:r>
        <w:r w:rsidR="00CB360C">
          <w:rPr>
            <w:noProof/>
            <w:webHidden/>
          </w:rPr>
          <w:t>14</w:t>
        </w:r>
        <w:r w:rsidR="00917FE1">
          <w:rPr>
            <w:noProof/>
            <w:webHidden/>
          </w:rPr>
          <w:fldChar w:fldCharType="end"/>
        </w:r>
      </w:hyperlink>
    </w:p>
    <w:p w14:paraId="2C6A7AD5" w14:textId="74F19F05" w:rsidR="00917FE1" w:rsidRDefault="00504B06">
      <w:pPr>
        <w:pStyle w:val="TOC2"/>
        <w:tabs>
          <w:tab w:val="left" w:pos="960"/>
          <w:tab w:val="right" w:leader="dot" w:pos="9010"/>
        </w:tabs>
        <w:rPr>
          <w:rFonts w:eastAsiaTheme="minorEastAsia"/>
          <w:noProof/>
          <w:sz w:val="24"/>
          <w:lang w:eastAsia="en-GB"/>
        </w:rPr>
      </w:pPr>
      <w:hyperlink w:anchor="_Toc41370534" w:history="1">
        <w:r w:rsidR="00917FE1" w:rsidRPr="00DC1FD2">
          <w:rPr>
            <w:rStyle w:val="Hyperlink"/>
            <w:noProof/>
            <w:lang w:val="en-GB"/>
          </w:rPr>
          <w:t>1.1</w:t>
        </w:r>
        <w:r w:rsidR="00917FE1">
          <w:rPr>
            <w:rFonts w:eastAsiaTheme="minorEastAsia"/>
            <w:noProof/>
            <w:sz w:val="24"/>
            <w:lang w:eastAsia="en-GB"/>
          </w:rPr>
          <w:tab/>
        </w:r>
        <w:r w:rsidR="00917FE1" w:rsidRPr="00DC1FD2">
          <w:rPr>
            <w:rStyle w:val="Hyperlink"/>
            <w:noProof/>
            <w:lang w:val="en-GB"/>
          </w:rPr>
          <w:t>Country profile</w:t>
        </w:r>
        <w:r w:rsidR="00917FE1">
          <w:rPr>
            <w:noProof/>
            <w:webHidden/>
          </w:rPr>
          <w:tab/>
        </w:r>
        <w:r w:rsidR="00917FE1">
          <w:rPr>
            <w:noProof/>
            <w:webHidden/>
          </w:rPr>
          <w:fldChar w:fldCharType="begin"/>
        </w:r>
        <w:r w:rsidR="00917FE1">
          <w:rPr>
            <w:noProof/>
            <w:webHidden/>
          </w:rPr>
          <w:instrText xml:space="preserve"> PAGEREF _Toc41370534 \h </w:instrText>
        </w:r>
        <w:r w:rsidR="00917FE1">
          <w:rPr>
            <w:noProof/>
            <w:webHidden/>
          </w:rPr>
        </w:r>
        <w:r w:rsidR="00917FE1">
          <w:rPr>
            <w:noProof/>
            <w:webHidden/>
          </w:rPr>
          <w:fldChar w:fldCharType="separate"/>
        </w:r>
        <w:r w:rsidR="00CB360C">
          <w:rPr>
            <w:noProof/>
            <w:webHidden/>
          </w:rPr>
          <w:t>14</w:t>
        </w:r>
        <w:r w:rsidR="00917FE1">
          <w:rPr>
            <w:noProof/>
            <w:webHidden/>
          </w:rPr>
          <w:fldChar w:fldCharType="end"/>
        </w:r>
      </w:hyperlink>
    </w:p>
    <w:p w14:paraId="0BF6F9C6" w14:textId="4F320227" w:rsidR="00917FE1" w:rsidRDefault="00504B06">
      <w:pPr>
        <w:pStyle w:val="TOC2"/>
        <w:tabs>
          <w:tab w:val="left" w:pos="960"/>
          <w:tab w:val="right" w:leader="dot" w:pos="9010"/>
        </w:tabs>
        <w:rPr>
          <w:rFonts w:eastAsiaTheme="minorEastAsia"/>
          <w:noProof/>
          <w:sz w:val="24"/>
          <w:lang w:eastAsia="en-GB"/>
        </w:rPr>
      </w:pPr>
      <w:hyperlink w:anchor="_Toc41370535" w:history="1">
        <w:r w:rsidR="00917FE1" w:rsidRPr="00DC1FD2">
          <w:rPr>
            <w:rStyle w:val="Hyperlink"/>
            <w:noProof/>
            <w:lang w:val="en-GB"/>
          </w:rPr>
          <w:t>1.2</w:t>
        </w:r>
        <w:r w:rsidR="00917FE1">
          <w:rPr>
            <w:rFonts w:eastAsiaTheme="minorEastAsia"/>
            <w:noProof/>
            <w:sz w:val="24"/>
            <w:lang w:eastAsia="en-GB"/>
          </w:rPr>
          <w:tab/>
        </w:r>
        <w:r w:rsidR="00917FE1" w:rsidRPr="00DC1FD2">
          <w:rPr>
            <w:rStyle w:val="Hyperlink"/>
            <w:noProof/>
            <w:lang w:val="en-GB"/>
          </w:rPr>
          <w:t>Key health indicators</w:t>
        </w:r>
        <w:r w:rsidR="00917FE1">
          <w:rPr>
            <w:noProof/>
            <w:webHidden/>
          </w:rPr>
          <w:tab/>
        </w:r>
        <w:r w:rsidR="00917FE1">
          <w:rPr>
            <w:noProof/>
            <w:webHidden/>
          </w:rPr>
          <w:fldChar w:fldCharType="begin"/>
        </w:r>
        <w:r w:rsidR="00917FE1">
          <w:rPr>
            <w:noProof/>
            <w:webHidden/>
          </w:rPr>
          <w:instrText xml:space="preserve"> PAGEREF _Toc41370535 \h </w:instrText>
        </w:r>
        <w:r w:rsidR="00917FE1">
          <w:rPr>
            <w:noProof/>
            <w:webHidden/>
          </w:rPr>
        </w:r>
        <w:r w:rsidR="00917FE1">
          <w:rPr>
            <w:noProof/>
            <w:webHidden/>
          </w:rPr>
          <w:fldChar w:fldCharType="separate"/>
        </w:r>
        <w:r w:rsidR="00CB360C">
          <w:rPr>
            <w:noProof/>
            <w:webHidden/>
          </w:rPr>
          <w:t>15</w:t>
        </w:r>
        <w:r w:rsidR="00917FE1">
          <w:rPr>
            <w:noProof/>
            <w:webHidden/>
          </w:rPr>
          <w:fldChar w:fldCharType="end"/>
        </w:r>
      </w:hyperlink>
    </w:p>
    <w:p w14:paraId="1CD8E3D8" w14:textId="4D6EEC81" w:rsidR="00917FE1" w:rsidRDefault="00504B06">
      <w:pPr>
        <w:pStyle w:val="TOC2"/>
        <w:tabs>
          <w:tab w:val="left" w:pos="960"/>
          <w:tab w:val="right" w:leader="dot" w:pos="9010"/>
        </w:tabs>
        <w:rPr>
          <w:rFonts w:eastAsiaTheme="minorEastAsia"/>
          <w:noProof/>
          <w:sz w:val="24"/>
          <w:lang w:eastAsia="en-GB"/>
        </w:rPr>
      </w:pPr>
      <w:hyperlink w:anchor="_Toc41370536" w:history="1">
        <w:r w:rsidR="00917FE1" w:rsidRPr="00DC1FD2">
          <w:rPr>
            <w:rStyle w:val="Hyperlink"/>
            <w:noProof/>
            <w:lang w:val="en-GB"/>
          </w:rPr>
          <w:t>1.3</w:t>
        </w:r>
        <w:r w:rsidR="00917FE1">
          <w:rPr>
            <w:rFonts w:eastAsiaTheme="minorEastAsia"/>
            <w:noProof/>
            <w:sz w:val="24"/>
            <w:lang w:eastAsia="en-GB"/>
          </w:rPr>
          <w:tab/>
        </w:r>
        <w:r w:rsidR="00917FE1" w:rsidRPr="00DC1FD2">
          <w:rPr>
            <w:rStyle w:val="Hyperlink"/>
            <w:noProof/>
            <w:lang w:val="en-GB"/>
          </w:rPr>
          <w:t>Country health system - summary</w:t>
        </w:r>
        <w:r w:rsidR="00917FE1">
          <w:rPr>
            <w:noProof/>
            <w:webHidden/>
          </w:rPr>
          <w:tab/>
        </w:r>
        <w:r w:rsidR="00917FE1">
          <w:rPr>
            <w:noProof/>
            <w:webHidden/>
          </w:rPr>
          <w:fldChar w:fldCharType="begin"/>
        </w:r>
        <w:r w:rsidR="00917FE1">
          <w:rPr>
            <w:noProof/>
            <w:webHidden/>
          </w:rPr>
          <w:instrText xml:space="preserve"> PAGEREF _Toc41370536 \h </w:instrText>
        </w:r>
        <w:r w:rsidR="00917FE1">
          <w:rPr>
            <w:noProof/>
            <w:webHidden/>
          </w:rPr>
        </w:r>
        <w:r w:rsidR="00917FE1">
          <w:rPr>
            <w:noProof/>
            <w:webHidden/>
          </w:rPr>
          <w:fldChar w:fldCharType="separate"/>
        </w:r>
        <w:r w:rsidR="00CB360C">
          <w:rPr>
            <w:noProof/>
            <w:webHidden/>
          </w:rPr>
          <w:t>16</w:t>
        </w:r>
        <w:r w:rsidR="00917FE1">
          <w:rPr>
            <w:noProof/>
            <w:webHidden/>
          </w:rPr>
          <w:fldChar w:fldCharType="end"/>
        </w:r>
      </w:hyperlink>
    </w:p>
    <w:p w14:paraId="47A990D0" w14:textId="01280B42" w:rsidR="00917FE1" w:rsidRDefault="00504B06">
      <w:pPr>
        <w:pStyle w:val="TOC1"/>
        <w:tabs>
          <w:tab w:val="left" w:pos="480"/>
          <w:tab w:val="right" w:leader="dot" w:pos="9010"/>
        </w:tabs>
        <w:rPr>
          <w:rFonts w:eastAsiaTheme="minorEastAsia"/>
          <w:noProof/>
          <w:sz w:val="24"/>
          <w:lang w:eastAsia="en-GB"/>
        </w:rPr>
      </w:pPr>
      <w:hyperlink w:anchor="_Toc41370537" w:history="1">
        <w:r w:rsidR="00917FE1" w:rsidRPr="00DC1FD2">
          <w:rPr>
            <w:rStyle w:val="Hyperlink"/>
            <w:noProof/>
            <w:lang w:val="en-GB"/>
          </w:rPr>
          <w:t>2</w:t>
        </w:r>
        <w:r w:rsidR="00917FE1">
          <w:rPr>
            <w:rFonts w:eastAsiaTheme="minorEastAsia"/>
            <w:noProof/>
            <w:sz w:val="24"/>
            <w:lang w:eastAsia="en-GB"/>
          </w:rPr>
          <w:tab/>
        </w:r>
        <w:r w:rsidR="00917FE1" w:rsidRPr="00DC1FD2">
          <w:rPr>
            <w:rStyle w:val="Hyperlink"/>
            <w:noProof/>
            <w:lang w:val="en-GB"/>
          </w:rPr>
          <w:t>Global NCD situation</w:t>
        </w:r>
        <w:r w:rsidR="00917FE1">
          <w:rPr>
            <w:noProof/>
            <w:webHidden/>
          </w:rPr>
          <w:tab/>
        </w:r>
        <w:r w:rsidR="00917FE1">
          <w:rPr>
            <w:noProof/>
            <w:webHidden/>
          </w:rPr>
          <w:fldChar w:fldCharType="begin"/>
        </w:r>
        <w:r w:rsidR="00917FE1">
          <w:rPr>
            <w:noProof/>
            <w:webHidden/>
          </w:rPr>
          <w:instrText xml:space="preserve"> PAGEREF _Toc41370537 \h </w:instrText>
        </w:r>
        <w:r w:rsidR="00917FE1">
          <w:rPr>
            <w:noProof/>
            <w:webHidden/>
          </w:rPr>
        </w:r>
        <w:r w:rsidR="00917FE1">
          <w:rPr>
            <w:noProof/>
            <w:webHidden/>
          </w:rPr>
          <w:fldChar w:fldCharType="separate"/>
        </w:r>
        <w:r w:rsidR="00CB360C">
          <w:rPr>
            <w:noProof/>
            <w:webHidden/>
          </w:rPr>
          <w:t>18</w:t>
        </w:r>
        <w:r w:rsidR="00917FE1">
          <w:rPr>
            <w:noProof/>
            <w:webHidden/>
          </w:rPr>
          <w:fldChar w:fldCharType="end"/>
        </w:r>
      </w:hyperlink>
    </w:p>
    <w:p w14:paraId="4F255002" w14:textId="7755D3F4" w:rsidR="00917FE1" w:rsidRDefault="00504B06">
      <w:pPr>
        <w:pStyle w:val="TOC2"/>
        <w:tabs>
          <w:tab w:val="left" w:pos="960"/>
          <w:tab w:val="right" w:leader="dot" w:pos="9010"/>
        </w:tabs>
        <w:rPr>
          <w:rFonts w:eastAsiaTheme="minorEastAsia"/>
          <w:noProof/>
          <w:sz w:val="24"/>
          <w:lang w:eastAsia="en-GB"/>
        </w:rPr>
      </w:pPr>
      <w:hyperlink w:anchor="_Toc41370538" w:history="1">
        <w:r w:rsidR="00917FE1" w:rsidRPr="00DC1FD2">
          <w:rPr>
            <w:rStyle w:val="Hyperlink"/>
            <w:noProof/>
            <w:lang w:val="en-GB"/>
          </w:rPr>
          <w:t>2.1</w:t>
        </w:r>
        <w:r w:rsidR="00917FE1">
          <w:rPr>
            <w:rFonts w:eastAsiaTheme="minorEastAsia"/>
            <w:noProof/>
            <w:sz w:val="24"/>
            <w:lang w:eastAsia="en-GB"/>
          </w:rPr>
          <w:tab/>
        </w:r>
        <w:r w:rsidR="00917FE1" w:rsidRPr="00DC1FD2">
          <w:rPr>
            <w:rStyle w:val="Hyperlink"/>
            <w:noProof/>
            <w:lang w:val="en-GB"/>
          </w:rPr>
          <w:t>Global NCD status</w:t>
        </w:r>
        <w:r w:rsidR="00917FE1">
          <w:rPr>
            <w:noProof/>
            <w:webHidden/>
          </w:rPr>
          <w:tab/>
        </w:r>
        <w:r w:rsidR="00917FE1">
          <w:rPr>
            <w:noProof/>
            <w:webHidden/>
          </w:rPr>
          <w:fldChar w:fldCharType="begin"/>
        </w:r>
        <w:r w:rsidR="00917FE1">
          <w:rPr>
            <w:noProof/>
            <w:webHidden/>
          </w:rPr>
          <w:instrText xml:space="preserve"> PAGEREF _Toc41370538 \h </w:instrText>
        </w:r>
        <w:r w:rsidR="00917FE1">
          <w:rPr>
            <w:noProof/>
            <w:webHidden/>
          </w:rPr>
        </w:r>
        <w:r w:rsidR="00917FE1">
          <w:rPr>
            <w:noProof/>
            <w:webHidden/>
          </w:rPr>
          <w:fldChar w:fldCharType="separate"/>
        </w:r>
        <w:r w:rsidR="00CB360C">
          <w:rPr>
            <w:noProof/>
            <w:webHidden/>
          </w:rPr>
          <w:t>18</w:t>
        </w:r>
        <w:r w:rsidR="00917FE1">
          <w:rPr>
            <w:noProof/>
            <w:webHidden/>
          </w:rPr>
          <w:fldChar w:fldCharType="end"/>
        </w:r>
      </w:hyperlink>
    </w:p>
    <w:p w14:paraId="657B2B66" w14:textId="51B2C27E" w:rsidR="00917FE1" w:rsidRDefault="00504B06">
      <w:pPr>
        <w:pStyle w:val="TOC3"/>
        <w:tabs>
          <w:tab w:val="left" w:pos="1200"/>
          <w:tab w:val="right" w:leader="dot" w:pos="9010"/>
        </w:tabs>
        <w:rPr>
          <w:rFonts w:eastAsiaTheme="minorEastAsia"/>
          <w:noProof/>
          <w:sz w:val="24"/>
          <w:lang w:eastAsia="en-GB"/>
        </w:rPr>
      </w:pPr>
      <w:hyperlink w:anchor="_Toc41370539" w:history="1">
        <w:r w:rsidR="00917FE1" w:rsidRPr="00DC1FD2">
          <w:rPr>
            <w:rStyle w:val="Hyperlink"/>
            <w:noProof/>
            <w:lang w:val="en-GB"/>
          </w:rPr>
          <w:t>2.1.1</w:t>
        </w:r>
        <w:r w:rsidR="00917FE1">
          <w:rPr>
            <w:rFonts w:eastAsiaTheme="minorEastAsia"/>
            <w:noProof/>
            <w:sz w:val="24"/>
            <w:lang w:eastAsia="en-GB"/>
          </w:rPr>
          <w:tab/>
        </w:r>
        <w:r w:rsidR="00917FE1" w:rsidRPr="00DC1FD2">
          <w:rPr>
            <w:rStyle w:val="Hyperlink"/>
            <w:noProof/>
            <w:lang w:val="en-GB"/>
          </w:rPr>
          <w:t>Psychosocial and socioeconomic effects of NCDs</w:t>
        </w:r>
        <w:r w:rsidR="00917FE1">
          <w:rPr>
            <w:noProof/>
            <w:webHidden/>
          </w:rPr>
          <w:tab/>
        </w:r>
        <w:r w:rsidR="00917FE1">
          <w:rPr>
            <w:noProof/>
            <w:webHidden/>
          </w:rPr>
          <w:fldChar w:fldCharType="begin"/>
        </w:r>
        <w:r w:rsidR="00917FE1">
          <w:rPr>
            <w:noProof/>
            <w:webHidden/>
          </w:rPr>
          <w:instrText xml:space="preserve"> PAGEREF _Toc41370539 \h </w:instrText>
        </w:r>
        <w:r w:rsidR="00917FE1">
          <w:rPr>
            <w:noProof/>
            <w:webHidden/>
          </w:rPr>
        </w:r>
        <w:r w:rsidR="00917FE1">
          <w:rPr>
            <w:noProof/>
            <w:webHidden/>
          </w:rPr>
          <w:fldChar w:fldCharType="separate"/>
        </w:r>
        <w:r w:rsidR="00CB360C">
          <w:rPr>
            <w:noProof/>
            <w:webHidden/>
          </w:rPr>
          <w:t>18</w:t>
        </w:r>
        <w:r w:rsidR="00917FE1">
          <w:rPr>
            <w:noProof/>
            <w:webHidden/>
          </w:rPr>
          <w:fldChar w:fldCharType="end"/>
        </w:r>
      </w:hyperlink>
    </w:p>
    <w:p w14:paraId="413CDD9E" w14:textId="0AEA1837" w:rsidR="00917FE1" w:rsidRDefault="00504B06">
      <w:pPr>
        <w:pStyle w:val="TOC2"/>
        <w:tabs>
          <w:tab w:val="left" w:pos="960"/>
          <w:tab w:val="right" w:leader="dot" w:pos="9010"/>
        </w:tabs>
        <w:rPr>
          <w:rFonts w:eastAsiaTheme="minorEastAsia"/>
          <w:noProof/>
          <w:sz w:val="24"/>
          <w:lang w:eastAsia="en-GB"/>
        </w:rPr>
      </w:pPr>
      <w:hyperlink w:anchor="_Toc41370540" w:history="1">
        <w:r w:rsidR="00917FE1" w:rsidRPr="00DC1FD2">
          <w:rPr>
            <w:rStyle w:val="Hyperlink"/>
            <w:noProof/>
            <w:lang w:val="en-GB"/>
          </w:rPr>
          <w:t>2.2</w:t>
        </w:r>
        <w:r w:rsidR="00917FE1">
          <w:rPr>
            <w:rFonts w:eastAsiaTheme="minorEastAsia"/>
            <w:noProof/>
            <w:sz w:val="24"/>
            <w:lang w:eastAsia="en-GB"/>
          </w:rPr>
          <w:tab/>
        </w:r>
        <w:r w:rsidR="00917FE1" w:rsidRPr="00DC1FD2">
          <w:rPr>
            <w:rStyle w:val="Hyperlink"/>
            <w:noProof/>
            <w:lang w:val="en-GB"/>
          </w:rPr>
          <w:t>Global NCD Governance and Action</w:t>
        </w:r>
        <w:r w:rsidR="00917FE1">
          <w:rPr>
            <w:noProof/>
            <w:webHidden/>
          </w:rPr>
          <w:tab/>
        </w:r>
        <w:r w:rsidR="00917FE1">
          <w:rPr>
            <w:noProof/>
            <w:webHidden/>
          </w:rPr>
          <w:fldChar w:fldCharType="begin"/>
        </w:r>
        <w:r w:rsidR="00917FE1">
          <w:rPr>
            <w:noProof/>
            <w:webHidden/>
          </w:rPr>
          <w:instrText xml:space="preserve"> PAGEREF _Toc41370540 \h </w:instrText>
        </w:r>
        <w:r w:rsidR="00917FE1">
          <w:rPr>
            <w:noProof/>
            <w:webHidden/>
          </w:rPr>
        </w:r>
        <w:r w:rsidR="00917FE1">
          <w:rPr>
            <w:noProof/>
            <w:webHidden/>
          </w:rPr>
          <w:fldChar w:fldCharType="separate"/>
        </w:r>
        <w:r w:rsidR="00CB360C">
          <w:rPr>
            <w:noProof/>
            <w:webHidden/>
          </w:rPr>
          <w:t>19</w:t>
        </w:r>
        <w:r w:rsidR="00917FE1">
          <w:rPr>
            <w:noProof/>
            <w:webHidden/>
          </w:rPr>
          <w:fldChar w:fldCharType="end"/>
        </w:r>
      </w:hyperlink>
    </w:p>
    <w:p w14:paraId="570ED003" w14:textId="5BF9142F" w:rsidR="00917FE1" w:rsidRDefault="00504B06">
      <w:pPr>
        <w:pStyle w:val="TOC2"/>
        <w:tabs>
          <w:tab w:val="left" w:pos="960"/>
          <w:tab w:val="right" w:leader="dot" w:pos="9010"/>
        </w:tabs>
        <w:rPr>
          <w:rFonts w:eastAsiaTheme="minorEastAsia"/>
          <w:noProof/>
          <w:sz w:val="24"/>
          <w:lang w:eastAsia="en-GB"/>
        </w:rPr>
      </w:pPr>
      <w:hyperlink w:anchor="_Toc41370541" w:history="1">
        <w:r w:rsidR="00917FE1" w:rsidRPr="00DC1FD2">
          <w:rPr>
            <w:rStyle w:val="Hyperlink"/>
            <w:noProof/>
            <w:lang w:val="en-GB"/>
          </w:rPr>
          <w:t>2.3</w:t>
        </w:r>
        <w:r w:rsidR="00917FE1">
          <w:rPr>
            <w:rFonts w:eastAsiaTheme="minorEastAsia"/>
            <w:noProof/>
            <w:sz w:val="24"/>
            <w:lang w:eastAsia="en-GB"/>
          </w:rPr>
          <w:tab/>
        </w:r>
        <w:r w:rsidR="00917FE1" w:rsidRPr="00DC1FD2">
          <w:rPr>
            <w:rStyle w:val="Hyperlink"/>
            <w:noProof/>
            <w:lang w:val="en-GB"/>
          </w:rPr>
          <w:t>NCD Agenda: 5 diseases x 5 modifiable shared risk factors</w:t>
        </w:r>
        <w:r w:rsidR="00917FE1">
          <w:rPr>
            <w:noProof/>
            <w:webHidden/>
          </w:rPr>
          <w:tab/>
        </w:r>
        <w:r w:rsidR="00917FE1">
          <w:rPr>
            <w:noProof/>
            <w:webHidden/>
          </w:rPr>
          <w:fldChar w:fldCharType="begin"/>
        </w:r>
        <w:r w:rsidR="00917FE1">
          <w:rPr>
            <w:noProof/>
            <w:webHidden/>
          </w:rPr>
          <w:instrText xml:space="preserve"> PAGEREF _Toc41370541 \h </w:instrText>
        </w:r>
        <w:r w:rsidR="00917FE1">
          <w:rPr>
            <w:noProof/>
            <w:webHidden/>
          </w:rPr>
        </w:r>
        <w:r w:rsidR="00917FE1">
          <w:rPr>
            <w:noProof/>
            <w:webHidden/>
          </w:rPr>
          <w:fldChar w:fldCharType="separate"/>
        </w:r>
        <w:r w:rsidR="00CB360C">
          <w:rPr>
            <w:noProof/>
            <w:webHidden/>
          </w:rPr>
          <w:t>20</w:t>
        </w:r>
        <w:r w:rsidR="00917FE1">
          <w:rPr>
            <w:noProof/>
            <w:webHidden/>
          </w:rPr>
          <w:fldChar w:fldCharType="end"/>
        </w:r>
      </w:hyperlink>
    </w:p>
    <w:p w14:paraId="6E4EE638" w14:textId="6AC4941E" w:rsidR="00917FE1" w:rsidRDefault="00504B06">
      <w:pPr>
        <w:pStyle w:val="TOC3"/>
        <w:tabs>
          <w:tab w:val="left" w:pos="1200"/>
          <w:tab w:val="right" w:leader="dot" w:pos="9010"/>
        </w:tabs>
        <w:rPr>
          <w:rFonts w:eastAsiaTheme="minorEastAsia"/>
          <w:noProof/>
          <w:sz w:val="24"/>
          <w:lang w:eastAsia="en-GB"/>
        </w:rPr>
      </w:pPr>
      <w:hyperlink w:anchor="_Toc41370542" w:history="1">
        <w:r w:rsidR="00917FE1" w:rsidRPr="00DC1FD2">
          <w:rPr>
            <w:rStyle w:val="Hyperlink"/>
            <w:noProof/>
            <w:lang w:val="en-GB"/>
          </w:rPr>
          <w:t>2.3.1</w:t>
        </w:r>
        <w:r w:rsidR="00917FE1">
          <w:rPr>
            <w:rFonts w:eastAsiaTheme="minorEastAsia"/>
            <w:noProof/>
            <w:sz w:val="24"/>
            <w:lang w:eastAsia="en-GB"/>
          </w:rPr>
          <w:tab/>
        </w:r>
        <w:r w:rsidR="00917FE1" w:rsidRPr="00DC1FD2">
          <w:rPr>
            <w:rStyle w:val="Hyperlink"/>
            <w:noProof/>
            <w:lang w:val="en-GB"/>
          </w:rPr>
          <w:t>Recommended interventions</w:t>
        </w:r>
        <w:r w:rsidR="00917FE1">
          <w:rPr>
            <w:noProof/>
            <w:webHidden/>
          </w:rPr>
          <w:tab/>
        </w:r>
        <w:r w:rsidR="00917FE1">
          <w:rPr>
            <w:noProof/>
            <w:webHidden/>
          </w:rPr>
          <w:fldChar w:fldCharType="begin"/>
        </w:r>
        <w:r w:rsidR="00917FE1">
          <w:rPr>
            <w:noProof/>
            <w:webHidden/>
          </w:rPr>
          <w:instrText xml:space="preserve"> PAGEREF _Toc41370542 \h </w:instrText>
        </w:r>
        <w:r w:rsidR="00917FE1">
          <w:rPr>
            <w:noProof/>
            <w:webHidden/>
          </w:rPr>
        </w:r>
        <w:r w:rsidR="00917FE1">
          <w:rPr>
            <w:noProof/>
            <w:webHidden/>
          </w:rPr>
          <w:fldChar w:fldCharType="separate"/>
        </w:r>
        <w:r w:rsidR="00CB360C">
          <w:rPr>
            <w:noProof/>
            <w:webHidden/>
          </w:rPr>
          <w:t>20</w:t>
        </w:r>
        <w:r w:rsidR="00917FE1">
          <w:rPr>
            <w:noProof/>
            <w:webHidden/>
          </w:rPr>
          <w:fldChar w:fldCharType="end"/>
        </w:r>
      </w:hyperlink>
    </w:p>
    <w:p w14:paraId="63E2D818" w14:textId="69EAD950" w:rsidR="00917FE1" w:rsidRDefault="00504B06">
      <w:pPr>
        <w:pStyle w:val="TOC1"/>
        <w:tabs>
          <w:tab w:val="left" w:pos="480"/>
          <w:tab w:val="right" w:leader="dot" w:pos="9010"/>
        </w:tabs>
        <w:rPr>
          <w:rFonts w:eastAsiaTheme="minorEastAsia"/>
          <w:noProof/>
          <w:sz w:val="24"/>
          <w:lang w:eastAsia="en-GB"/>
        </w:rPr>
      </w:pPr>
      <w:hyperlink w:anchor="_Toc41370543" w:history="1">
        <w:r w:rsidR="00917FE1" w:rsidRPr="00DC1FD2">
          <w:rPr>
            <w:rStyle w:val="Hyperlink"/>
            <w:noProof/>
            <w:lang w:val="en-GB"/>
          </w:rPr>
          <w:t>3</w:t>
        </w:r>
        <w:r w:rsidR="00917FE1">
          <w:rPr>
            <w:rFonts w:eastAsiaTheme="minorEastAsia"/>
            <w:noProof/>
            <w:sz w:val="24"/>
            <w:lang w:eastAsia="en-GB"/>
          </w:rPr>
          <w:tab/>
        </w:r>
        <w:r w:rsidR="00917FE1" w:rsidRPr="00DC1FD2">
          <w:rPr>
            <w:rStyle w:val="Hyperlink"/>
            <w:noProof/>
            <w:lang w:val="en-GB"/>
          </w:rPr>
          <w:t>Sierra Leone NCD situation</w:t>
        </w:r>
        <w:r w:rsidR="00917FE1">
          <w:rPr>
            <w:noProof/>
            <w:webHidden/>
          </w:rPr>
          <w:tab/>
        </w:r>
        <w:r w:rsidR="00917FE1">
          <w:rPr>
            <w:noProof/>
            <w:webHidden/>
          </w:rPr>
          <w:fldChar w:fldCharType="begin"/>
        </w:r>
        <w:r w:rsidR="00917FE1">
          <w:rPr>
            <w:noProof/>
            <w:webHidden/>
          </w:rPr>
          <w:instrText xml:space="preserve"> PAGEREF _Toc41370543 \h </w:instrText>
        </w:r>
        <w:r w:rsidR="00917FE1">
          <w:rPr>
            <w:noProof/>
            <w:webHidden/>
          </w:rPr>
        </w:r>
        <w:r w:rsidR="00917FE1">
          <w:rPr>
            <w:noProof/>
            <w:webHidden/>
          </w:rPr>
          <w:fldChar w:fldCharType="separate"/>
        </w:r>
        <w:r w:rsidR="00CB360C">
          <w:rPr>
            <w:noProof/>
            <w:webHidden/>
          </w:rPr>
          <w:t>21</w:t>
        </w:r>
        <w:r w:rsidR="00917FE1">
          <w:rPr>
            <w:noProof/>
            <w:webHidden/>
          </w:rPr>
          <w:fldChar w:fldCharType="end"/>
        </w:r>
      </w:hyperlink>
    </w:p>
    <w:p w14:paraId="10890456" w14:textId="17EB5390" w:rsidR="00917FE1" w:rsidRDefault="00504B06">
      <w:pPr>
        <w:pStyle w:val="TOC2"/>
        <w:tabs>
          <w:tab w:val="left" w:pos="960"/>
          <w:tab w:val="right" w:leader="dot" w:pos="9010"/>
        </w:tabs>
        <w:rPr>
          <w:rFonts w:eastAsiaTheme="minorEastAsia"/>
          <w:noProof/>
          <w:sz w:val="24"/>
          <w:lang w:eastAsia="en-GB"/>
        </w:rPr>
      </w:pPr>
      <w:hyperlink w:anchor="_Toc41370544" w:history="1">
        <w:r w:rsidR="00917FE1" w:rsidRPr="00DC1FD2">
          <w:rPr>
            <w:rStyle w:val="Hyperlink"/>
            <w:noProof/>
            <w:lang w:val="en-GB"/>
          </w:rPr>
          <w:t>3.1</w:t>
        </w:r>
        <w:r w:rsidR="00917FE1">
          <w:rPr>
            <w:rFonts w:eastAsiaTheme="minorEastAsia"/>
            <w:noProof/>
            <w:sz w:val="24"/>
            <w:lang w:eastAsia="en-GB"/>
          </w:rPr>
          <w:tab/>
        </w:r>
        <w:r w:rsidR="00917FE1" w:rsidRPr="00DC1FD2">
          <w:rPr>
            <w:rStyle w:val="Hyperlink"/>
            <w:noProof/>
            <w:lang w:val="en-GB"/>
          </w:rPr>
          <w:t>NCD status in Sierra Leone - Summary</w:t>
        </w:r>
        <w:r w:rsidR="00917FE1">
          <w:rPr>
            <w:noProof/>
            <w:webHidden/>
          </w:rPr>
          <w:tab/>
        </w:r>
        <w:r w:rsidR="00917FE1">
          <w:rPr>
            <w:noProof/>
            <w:webHidden/>
          </w:rPr>
          <w:fldChar w:fldCharType="begin"/>
        </w:r>
        <w:r w:rsidR="00917FE1">
          <w:rPr>
            <w:noProof/>
            <w:webHidden/>
          </w:rPr>
          <w:instrText xml:space="preserve"> PAGEREF _Toc41370544 \h </w:instrText>
        </w:r>
        <w:r w:rsidR="00917FE1">
          <w:rPr>
            <w:noProof/>
            <w:webHidden/>
          </w:rPr>
        </w:r>
        <w:r w:rsidR="00917FE1">
          <w:rPr>
            <w:noProof/>
            <w:webHidden/>
          </w:rPr>
          <w:fldChar w:fldCharType="separate"/>
        </w:r>
        <w:r w:rsidR="00CB360C">
          <w:rPr>
            <w:noProof/>
            <w:webHidden/>
          </w:rPr>
          <w:t>21</w:t>
        </w:r>
        <w:r w:rsidR="00917FE1">
          <w:rPr>
            <w:noProof/>
            <w:webHidden/>
          </w:rPr>
          <w:fldChar w:fldCharType="end"/>
        </w:r>
      </w:hyperlink>
    </w:p>
    <w:p w14:paraId="73781521" w14:textId="014D695D" w:rsidR="00917FE1" w:rsidRDefault="00504B06">
      <w:pPr>
        <w:pStyle w:val="TOC2"/>
        <w:tabs>
          <w:tab w:val="left" w:pos="960"/>
          <w:tab w:val="right" w:leader="dot" w:pos="9010"/>
        </w:tabs>
        <w:rPr>
          <w:rFonts w:eastAsiaTheme="minorEastAsia"/>
          <w:noProof/>
          <w:sz w:val="24"/>
          <w:lang w:eastAsia="en-GB"/>
        </w:rPr>
      </w:pPr>
      <w:hyperlink w:anchor="_Toc41370545" w:history="1">
        <w:r w:rsidR="00917FE1" w:rsidRPr="00DC1FD2">
          <w:rPr>
            <w:rStyle w:val="Hyperlink"/>
            <w:noProof/>
            <w:lang w:val="en-GB"/>
          </w:rPr>
          <w:t>3.2</w:t>
        </w:r>
        <w:r w:rsidR="00917FE1">
          <w:rPr>
            <w:rFonts w:eastAsiaTheme="minorEastAsia"/>
            <w:noProof/>
            <w:sz w:val="24"/>
            <w:lang w:eastAsia="en-GB"/>
          </w:rPr>
          <w:tab/>
        </w:r>
        <w:r w:rsidR="00917FE1" w:rsidRPr="00DC1FD2">
          <w:rPr>
            <w:rStyle w:val="Hyperlink"/>
            <w:noProof/>
            <w:lang w:val="en-GB"/>
          </w:rPr>
          <w:t>NCD risk factors in Sierra Leone - Summary</w:t>
        </w:r>
        <w:r w:rsidR="00917FE1">
          <w:rPr>
            <w:noProof/>
            <w:webHidden/>
          </w:rPr>
          <w:tab/>
        </w:r>
        <w:r w:rsidR="00917FE1">
          <w:rPr>
            <w:noProof/>
            <w:webHidden/>
          </w:rPr>
          <w:fldChar w:fldCharType="begin"/>
        </w:r>
        <w:r w:rsidR="00917FE1">
          <w:rPr>
            <w:noProof/>
            <w:webHidden/>
          </w:rPr>
          <w:instrText xml:space="preserve"> PAGEREF _Toc41370545 \h </w:instrText>
        </w:r>
        <w:r w:rsidR="00917FE1">
          <w:rPr>
            <w:noProof/>
            <w:webHidden/>
          </w:rPr>
        </w:r>
        <w:r w:rsidR="00917FE1">
          <w:rPr>
            <w:noProof/>
            <w:webHidden/>
          </w:rPr>
          <w:fldChar w:fldCharType="separate"/>
        </w:r>
        <w:r w:rsidR="00CB360C">
          <w:rPr>
            <w:noProof/>
            <w:webHidden/>
          </w:rPr>
          <w:t>23</w:t>
        </w:r>
        <w:r w:rsidR="00917FE1">
          <w:rPr>
            <w:noProof/>
            <w:webHidden/>
          </w:rPr>
          <w:fldChar w:fldCharType="end"/>
        </w:r>
      </w:hyperlink>
    </w:p>
    <w:p w14:paraId="60CF948A" w14:textId="6D36AD82" w:rsidR="00917FE1" w:rsidRDefault="00504B06">
      <w:pPr>
        <w:pStyle w:val="TOC2"/>
        <w:tabs>
          <w:tab w:val="left" w:pos="960"/>
          <w:tab w:val="right" w:leader="dot" w:pos="9010"/>
        </w:tabs>
        <w:rPr>
          <w:rFonts w:eastAsiaTheme="minorEastAsia"/>
          <w:noProof/>
          <w:sz w:val="24"/>
          <w:lang w:eastAsia="en-GB"/>
        </w:rPr>
      </w:pPr>
      <w:hyperlink w:anchor="_Toc41370546" w:history="1">
        <w:r w:rsidR="00917FE1" w:rsidRPr="00DC1FD2">
          <w:rPr>
            <w:rStyle w:val="Hyperlink"/>
            <w:noProof/>
            <w:lang w:val="en-GB"/>
          </w:rPr>
          <w:t>3.3</w:t>
        </w:r>
        <w:r w:rsidR="00917FE1">
          <w:rPr>
            <w:rFonts w:eastAsiaTheme="minorEastAsia"/>
            <w:noProof/>
            <w:sz w:val="24"/>
            <w:lang w:eastAsia="en-GB"/>
          </w:rPr>
          <w:tab/>
        </w:r>
        <w:r w:rsidR="00917FE1" w:rsidRPr="00DC1FD2">
          <w:rPr>
            <w:rStyle w:val="Hyperlink"/>
            <w:noProof/>
            <w:lang w:val="en-GB"/>
          </w:rPr>
          <w:t>NCDs in the Sierra Leone health system</w:t>
        </w:r>
        <w:r w:rsidR="00917FE1">
          <w:rPr>
            <w:noProof/>
            <w:webHidden/>
          </w:rPr>
          <w:tab/>
        </w:r>
        <w:r w:rsidR="00917FE1">
          <w:rPr>
            <w:noProof/>
            <w:webHidden/>
          </w:rPr>
          <w:fldChar w:fldCharType="begin"/>
        </w:r>
        <w:r w:rsidR="00917FE1">
          <w:rPr>
            <w:noProof/>
            <w:webHidden/>
          </w:rPr>
          <w:instrText xml:space="preserve"> PAGEREF _Toc41370546 \h </w:instrText>
        </w:r>
        <w:r w:rsidR="00917FE1">
          <w:rPr>
            <w:noProof/>
            <w:webHidden/>
          </w:rPr>
        </w:r>
        <w:r w:rsidR="00917FE1">
          <w:rPr>
            <w:noProof/>
            <w:webHidden/>
          </w:rPr>
          <w:fldChar w:fldCharType="separate"/>
        </w:r>
        <w:r w:rsidR="00CB360C">
          <w:rPr>
            <w:noProof/>
            <w:webHidden/>
          </w:rPr>
          <w:t>24</w:t>
        </w:r>
        <w:r w:rsidR="00917FE1">
          <w:rPr>
            <w:noProof/>
            <w:webHidden/>
          </w:rPr>
          <w:fldChar w:fldCharType="end"/>
        </w:r>
      </w:hyperlink>
    </w:p>
    <w:p w14:paraId="16824E39" w14:textId="76813C73" w:rsidR="00917FE1" w:rsidRDefault="00504B06">
      <w:pPr>
        <w:pStyle w:val="TOC3"/>
        <w:tabs>
          <w:tab w:val="left" w:pos="1200"/>
          <w:tab w:val="right" w:leader="dot" w:pos="9010"/>
        </w:tabs>
        <w:rPr>
          <w:rFonts w:eastAsiaTheme="minorEastAsia"/>
          <w:noProof/>
          <w:sz w:val="24"/>
          <w:lang w:eastAsia="en-GB"/>
        </w:rPr>
      </w:pPr>
      <w:hyperlink w:anchor="_Toc41370547" w:history="1">
        <w:r w:rsidR="00917FE1" w:rsidRPr="00DC1FD2">
          <w:rPr>
            <w:rStyle w:val="Hyperlink"/>
            <w:noProof/>
            <w:lang w:val="en-GB"/>
          </w:rPr>
          <w:t>3.3.1</w:t>
        </w:r>
        <w:r w:rsidR="00917FE1">
          <w:rPr>
            <w:rFonts w:eastAsiaTheme="minorEastAsia"/>
            <w:noProof/>
            <w:sz w:val="24"/>
            <w:lang w:eastAsia="en-GB"/>
          </w:rPr>
          <w:tab/>
        </w:r>
        <w:r w:rsidR="00917FE1" w:rsidRPr="00DC1FD2">
          <w:rPr>
            <w:rStyle w:val="Hyperlink"/>
            <w:noProof/>
            <w:lang w:val="en-GB"/>
          </w:rPr>
          <w:t>Leadership and Governance</w:t>
        </w:r>
        <w:r w:rsidR="00917FE1">
          <w:rPr>
            <w:noProof/>
            <w:webHidden/>
          </w:rPr>
          <w:tab/>
        </w:r>
        <w:r w:rsidR="00917FE1">
          <w:rPr>
            <w:noProof/>
            <w:webHidden/>
          </w:rPr>
          <w:fldChar w:fldCharType="begin"/>
        </w:r>
        <w:r w:rsidR="00917FE1">
          <w:rPr>
            <w:noProof/>
            <w:webHidden/>
          </w:rPr>
          <w:instrText xml:space="preserve"> PAGEREF _Toc41370547 \h </w:instrText>
        </w:r>
        <w:r w:rsidR="00917FE1">
          <w:rPr>
            <w:noProof/>
            <w:webHidden/>
          </w:rPr>
        </w:r>
        <w:r w:rsidR="00917FE1">
          <w:rPr>
            <w:noProof/>
            <w:webHidden/>
          </w:rPr>
          <w:fldChar w:fldCharType="separate"/>
        </w:r>
        <w:r w:rsidR="00CB360C">
          <w:rPr>
            <w:noProof/>
            <w:webHidden/>
          </w:rPr>
          <w:t>24</w:t>
        </w:r>
        <w:r w:rsidR="00917FE1">
          <w:rPr>
            <w:noProof/>
            <w:webHidden/>
          </w:rPr>
          <w:fldChar w:fldCharType="end"/>
        </w:r>
      </w:hyperlink>
    </w:p>
    <w:p w14:paraId="1FFF9D40" w14:textId="2780BEDD" w:rsidR="00917FE1" w:rsidRDefault="00504B06">
      <w:pPr>
        <w:pStyle w:val="TOC3"/>
        <w:tabs>
          <w:tab w:val="left" w:pos="1200"/>
          <w:tab w:val="right" w:leader="dot" w:pos="9010"/>
        </w:tabs>
        <w:rPr>
          <w:rFonts w:eastAsiaTheme="minorEastAsia"/>
          <w:noProof/>
          <w:sz w:val="24"/>
          <w:lang w:eastAsia="en-GB"/>
        </w:rPr>
      </w:pPr>
      <w:hyperlink w:anchor="_Toc41370548" w:history="1">
        <w:r w:rsidR="00917FE1" w:rsidRPr="00DC1FD2">
          <w:rPr>
            <w:rStyle w:val="Hyperlink"/>
            <w:noProof/>
            <w:lang w:val="en-GB"/>
          </w:rPr>
          <w:t>3.3.2</w:t>
        </w:r>
        <w:r w:rsidR="00917FE1">
          <w:rPr>
            <w:rFonts w:eastAsiaTheme="minorEastAsia"/>
            <w:noProof/>
            <w:sz w:val="24"/>
            <w:lang w:eastAsia="en-GB"/>
          </w:rPr>
          <w:tab/>
        </w:r>
        <w:r w:rsidR="00917FE1" w:rsidRPr="00DC1FD2">
          <w:rPr>
            <w:rStyle w:val="Hyperlink"/>
            <w:noProof/>
            <w:lang w:val="en-GB"/>
          </w:rPr>
          <w:t>NCD Financing</w:t>
        </w:r>
        <w:r w:rsidR="00917FE1">
          <w:rPr>
            <w:noProof/>
            <w:webHidden/>
          </w:rPr>
          <w:tab/>
        </w:r>
        <w:r w:rsidR="00917FE1">
          <w:rPr>
            <w:noProof/>
            <w:webHidden/>
          </w:rPr>
          <w:fldChar w:fldCharType="begin"/>
        </w:r>
        <w:r w:rsidR="00917FE1">
          <w:rPr>
            <w:noProof/>
            <w:webHidden/>
          </w:rPr>
          <w:instrText xml:space="preserve"> PAGEREF _Toc41370548 \h </w:instrText>
        </w:r>
        <w:r w:rsidR="00917FE1">
          <w:rPr>
            <w:noProof/>
            <w:webHidden/>
          </w:rPr>
        </w:r>
        <w:r w:rsidR="00917FE1">
          <w:rPr>
            <w:noProof/>
            <w:webHidden/>
          </w:rPr>
          <w:fldChar w:fldCharType="separate"/>
        </w:r>
        <w:r w:rsidR="00CB360C">
          <w:rPr>
            <w:noProof/>
            <w:webHidden/>
          </w:rPr>
          <w:t>28</w:t>
        </w:r>
        <w:r w:rsidR="00917FE1">
          <w:rPr>
            <w:noProof/>
            <w:webHidden/>
          </w:rPr>
          <w:fldChar w:fldCharType="end"/>
        </w:r>
      </w:hyperlink>
    </w:p>
    <w:p w14:paraId="2C407119" w14:textId="1FBF057F" w:rsidR="00917FE1" w:rsidRDefault="00504B06">
      <w:pPr>
        <w:pStyle w:val="TOC3"/>
        <w:tabs>
          <w:tab w:val="left" w:pos="1200"/>
          <w:tab w:val="right" w:leader="dot" w:pos="9010"/>
        </w:tabs>
        <w:rPr>
          <w:rFonts w:eastAsiaTheme="minorEastAsia"/>
          <w:noProof/>
          <w:sz w:val="24"/>
          <w:lang w:eastAsia="en-GB"/>
        </w:rPr>
      </w:pPr>
      <w:hyperlink w:anchor="_Toc41370549" w:history="1">
        <w:r w:rsidR="00917FE1" w:rsidRPr="00DC1FD2">
          <w:rPr>
            <w:rStyle w:val="Hyperlink"/>
            <w:noProof/>
            <w:lang w:val="en-GB"/>
          </w:rPr>
          <w:t>3.3.3</w:t>
        </w:r>
        <w:r w:rsidR="00917FE1">
          <w:rPr>
            <w:rFonts w:eastAsiaTheme="minorEastAsia"/>
            <w:noProof/>
            <w:sz w:val="24"/>
            <w:lang w:eastAsia="en-GB"/>
          </w:rPr>
          <w:tab/>
        </w:r>
        <w:r w:rsidR="00917FE1" w:rsidRPr="00DC1FD2">
          <w:rPr>
            <w:rStyle w:val="Hyperlink"/>
            <w:noProof/>
            <w:lang w:val="en-GB"/>
          </w:rPr>
          <w:t>HRH for NCD</w:t>
        </w:r>
        <w:r w:rsidR="00917FE1">
          <w:rPr>
            <w:noProof/>
            <w:webHidden/>
          </w:rPr>
          <w:tab/>
        </w:r>
        <w:r w:rsidR="00917FE1">
          <w:rPr>
            <w:noProof/>
            <w:webHidden/>
          </w:rPr>
          <w:fldChar w:fldCharType="begin"/>
        </w:r>
        <w:r w:rsidR="00917FE1">
          <w:rPr>
            <w:noProof/>
            <w:webHidden/>
          </w:rPr>
          <w:instrText xml:space="preserve"> PAGEREF _Toc41370549 \h </w:instrText>
        </w:r>
        <w:r w:rsidR="00917FE1">
          <w:rPr>
            <w:noProof/>
            <w:webHidden/>
          </w:rPr>
        </w:r>
        <w:r w:rsidR="00917FE1">
          <w:rPr>
            <w:noProof/>
            <w:webHidden/>
          </w:rPr>
          <w:fldChar w:fldCharType="separate"/>
        </w:r>
        <w:r w:rsidR="00CB360C">
          <w:rPr>
            <w:noProof/>
            <w:webHidden/>
          </w:rPr>
          <w:t>28</w:t>
        </w:r>
        <w:r w:rsidR="00917FE1">
          <w:rPr>
            <w:noProof/>
            <w:webHidden/>
          </w:rPr>
          <w:fldChar w:fldCharType="end"/>
        </w:r>
      </w:hyperlink>
    </w:p>
    <w:p w14:paraId="3F3FA58C" w14:textId="5EC7DEC7" w:rsidR="00917FE1" w:rsidRDefault="00504B06">
      <w:pPr>
        <w:pStyle w:val="TOC3"/>
        <w:tabs>
          <w:tab w:val="left" w:pos="1200"/>
          <w:tab w:val="right" w:leader="dot" w:pos="9010"/>
        </w:tabs>
        <w:rPr>
          <w:rFonts w:eastAsiaTheme="minorEastAsia"/>
          <w:noProof/>
          <w:sz w:val="24"/>
          <w:lang w:eastAsia="en-GB"/>
        </w:rPr>
      </w:pPr>
      <w:hyperlink w:anchor="_Toc41370550" w:history="1">
        <w:r w:rsidR="00917FE1" w:rsidRPr="00DC1FD2">
          <w:rPr>
            <w:rStyle w:val="Hyperlink"/>
            <w:noProof/>
            <w:lang w:val="en-GB"/>
          </w:rPr>
          <w:t>3.3.4</w:t>
        </w:r>
        <w:r w:rsidR="00917FE1">
          <w:rPr>
            <w:rFonts w:eastAsiaTheme="minorEastAsia"/>
            <w:noProof/>
            <w:sz w:val="24"/>
            <w:lang w:eastAsia="en-GB"/>
          </w:rPr>
          <w:tab/>
        </w:r>
        <w:r w:rsidR="00917FE1" w:rsidRPr="00DC1FD2">
          <w:rPr>
            <w:rStyle w:val="Hyperlink"/>
            <w:noProof/>
            <w:lang w:val="en-GB"/>
          </w:rPr>
          <w:t>NCD Service delivery</w:t>
        </w:r>
        <w:r w:rsidR="00917FE1">
          <w:rPr>
            <w:noProof/>
            <w:webHidden/>
          </w:rPr>
          <w:tab/>
        </w:r>
        <w:r w:rsidR="00917FE1">
          <w:rPr>
            <w:noProof/>
            <w:webHidden/>
          </w:rPr>
          <w:fldChar w:fldCharType="begin"/>
        </w:r>
        <w:r w:rsidR="00917FE1">
          <w:rPr>
            <w:noProof/>
            <w:webHidden/>
          </w:rPr>
          <w:instrText xml:space="preserve"> PAGEREF _Toc41370550 \h </w:instrText>
        </w:r>
        <w:r w:rsidR="00917FE1">
          <w:rPr>
            <w:noProof/>
            <w:webHidden/>
          </w:rPr>
        </w:r>
        <w:r w:rsidR="00917FE1">
          <w:rPr>
            <w:noProof/>
            <w:webHidden/>
          </w:rPr>
          <w:fldChar w:fldCharType="separate"/>
        </w:r>
        <w:r w:rsidR="00CB360C">
          <w:rPr>
            <w:noProof/>
            <w:webHidden/>
          </w:rPr>
          <w:t>28</w:t>
        </w:r>
        <w:r w:rsidR="00917FE1">
          <w:rPr>
            <w:noProof/>
            <w:webHidden/>
          </w:rPr>
          <w:fldChar w:fldCharType="end"/>
        </w:r>
      </w:hyperlink>
    </w:p>
    <w:p w14:paraId="07BEC10E" w14:textId="6C0D2717" w:rsidR="00917FE1" w:rsidRDefault="00504B06">
      <w:pPr>
        <w:pStyle w:val="TOC3"/>
        <w:tabs>
          <w:tab w:val="left" w:pos="1200"/>
          <w:tab w:val="right" w:leader="dot" w:pos="9010"/>
        </w:tabs>
        <w:rPr>
          <w:rFonts w:eastAsiaTheme="minorEastAsia"/>
          <w:noProof/>
          <w:sz w:val="24"/>
          <w:lang w:eastAsia="en-GB"/>
        </w:rPr>
      </w:pPr>
      <w:hyperlink w:anchor="_Toc41370551" w:history="1">
        <w:r w:rsidR="00917FE1" w:rsidRPr="00DC1FD2">
          <w:rPr>
            <w:rStyle w:val="Hyperlink"/>
            <w:noProof/>
            <w:lang w:val="en-GB"/>
          </w:rPr>
          <w:t>3.3.5</w:t>
        </w:r>
        <w:r w:rsidR="00917FE1">
          <w:rPr>
            <w:rFonts w:eastAsiaTheme="minorEastAsia"/>
            <w:noProof/>
            <w:sz w:val="24"/>
            <w:lang w:eastAsia="en-GB"/>
          </w:rPr>
          <w:tab/>
        </w:r>
        <w:r w:rsidR="00917FE1" w:rsidRPr="00DC1FD2">
          <w:rPr>
            <w:rStyle w:val="Hyperlink"/>
            <w:noProof/>
            <w:lang w:val="en-GB"/>
          </w:rPr>
          <w:t>Drugs, supplies, equipment</w:t>
        </w:r>
        <w:r w:rsidR="00917FE1">
          <w:rPr>
            <w:noProof/>
            <w:webHidden/>
          </w:rPr>
          <w:tab/>
        </w:r>
        <w:r w:rsidR="00917FE1">
          <w:rPr>
            <w:noProof/>
            <w:webHidden/>
          </w:rPr>
          <w:fldChar w:fldCharType="begin"/>
        </w:r>
        <w:r w:rsidR="00917FE1">
          <w:rPr>
            <w:noProof/>
            <w:webHidden/>
          </w:rPr>
          <w:instrText xml:space="preserve"> PAGEREF _Toc41370551 \h </w:instrText>
        </w:r>
        <w:r w:rsidR="00917FE1">
          <w:rPr>
            <w:noProof/>
            <w:webHidden/>
          </w:rPr>
        </w:r>
        <w:r w:rsidR="00917FE1">
          <w:rPr>
            <w:noProof/>
            <w:webHidden/>
          </w:rPr>
          <w:fldChar w:fldCharType="separate"/>
        </w:r>
        <w:r w:rsidR="00CB360C">
          <w:rPr>
            <w:noProof/>
            <w:webHidden/>
          </w:rPr>
          <w:t>33</w:t>
        </w:r>
        <w:r w:rsidR="00917FE1">
          <w:rPr>
            <w:noProof/>
            <w:webHidden/>
          </w:rPr>
          <w:fldChar w:fldCharType="end"/>
        </w:r>
      </w:hyperlink>
    </w:p>
    <w:p w14:paraId="3C00FDB8" w14:textId="01D0BA9F" w:rsidR="00917FE1" w:rsidRDefault="00504B06">
      <w:pPr>
        <w:pStyle w:val="TOC3"/>
        <w:tabs>
          <w:tab w:val="left" w:pos="1200"/>
          <w:tab w:val="right" w:leader="dot" w:pos="9010"/>
        </w:tabs>
        <w:rPr>
          <w:rFonts w:eastAsiaTheme="minorEastAsia"/>
          <w:noProof/>
          <w:sz w:val="24"/>
          <w:lang w:eastAsia="en-GB"/>
        </w:rPr>
      </w:pPr>
      <w:hyperlink w:anchor="_Toc41370552" w:history="1">
        <w:r w:rsidR="00917FE1" w:rsidRPr="00DC1FD2">
          <w:rPr>
            <w:rStyle w:val="Hyperlink"/>
            <w:noProof/>
            <w:lang w:val="en-GB"/>
          </w:rPr>
          <w:t>3.3.6</w:t>
        </w:r>
        <w:r w:rsidR="00917FE1">
          <w:rPr>
            <w:rFonts w:eastAsiaTheme="minorEastAsia"/>
            <w:noProof/>
            <w:sz w:val="24"/>
            <w:lang w:eastAsia="en-GB"/>
          </w:rPr>
          <w:tab/>
        </w:r>
        <w:r w:rsidR="00917FE1" w:rsidRPr="00DC1FD2">
          <w:rPr>
            <w:rStyle w:val="Hyperlink"/>
            <w:noProof/>
            <w:lang w:val="en-GB"/>
          </w:rPr>
          <w:t>M&amp;E including surveillance and research</w:t>
        </w:r>
        <w:r w:rsidR="00917FE1">
          <w:rPr>
            <w:noProof/>
            <w:webHidden/>
          </w:rPr>
          <w:tab/>
        </w:r>
        <w:r w:rsidR="00917FE1">
          <w:rPr>
            <w:noProof/>
            <w:webHidden/>
          </w:rPr>
          <w:fldChar w:fldCharType="begin"/>
        </w:r>
        <w:r w:rsidR="00917FE1">
          <w:rPr>
            <w:noProof/>
            <w:webHidden/>
          </w:rPr>
          <w:instrText xml:space="preserve"> PAGEREF _Toc41370552 \h </w:instrText>
        </w:r>
        <w:r w:rsidR="00917FE1">
          <w:rPr>
            <w:noProof/>
            <w:webHidden/>
          </w:rPr>
        </w:r>
        <w:r w:rsidR="00917FE1">
          <w:rPr>
            <w:noProof/>
            <w:webHidden/>
          </w:rPr>
          <w:fldChar w:fldCharType="separate"/>
        </w:r>
        <w:r w:rsidR="00CB360C">
          <w:rPr>
            <w:noProof/>
            <w:webHidden/>
          </w:rPr>
          <w:t>33</w:t>
        </w:r>
        <w:r w:rsidR="00917FE1">
          <w:rPr>
            <w:noProof/>
            <w:webHidden/>
          </w:rPr>
          <w:fldChar w:fldCharType="end"/>
        </w:r>
      </w:hyperlink>
    </w:p>
    <w:p w14:paraId="0D124833" w14:textId="2D7F8305" w:rsidR="00917FE1" w:rsidRDefault="00504B06">
      <w:pPr>
        <w:pStyle w:val="TOC3"/>
        <w:tabs>
          <w:tab w:val="left" w:pos="1200"/>
          <w:tab w:val="right" w:leader="dot" w:pos="9010"/>
        </w:tabs>
        <w:rPr>
          <w:rFonts w:eastAsiaTheme="minorEastAsia"/>
          <w:noProof/>
          <w:sz w:val="24"/>
          <w:lang w:eastAsia="en-GB"/>
        </w:rPr>
      </w:pPr>
      <w:hyperlink w:anchor="_Toc41370553" w:history="1">
        <w:r w:rsidR="00917FE1" w:rsidRPr="00DC1FD2">
          <w:rPr>
            <w:rStyle w:val="Hyperlink"/>
            <w:noProof/>
            <w:lang w:val="en-GB"/>
          </w:rPr>
          <w:t>3.3.7</w:t>
        </w:r>
        <w:r w:rsidR="00917FE1">
          <w:rPr>
            <w:rFonts w:eastAsiaTheme="minorEastAsia"/>
            <w:noProof/>
            <w:sz w:val="24"/>
            <w:lang w:eastAsia="en-GB"/>
          </w:rPr>
          <w:tab/>
        </w:r>
        <w:r w:rsidR="00917FE1" w:rsidRPr="00DC1FD2">
          <w:rPr>
            <w:rStyle w:val="Hyperlink"/>
            <w:noProof/>
            <w:lang w:val="en-GB"/>
          </w:rPr>
          <w:t>Partnerships</w:t>
        </w:r>
        <w:r w:rsidR="00917FE1">
          <w:rPr>
            <w:noProof/>
            <w:webHidden/>
          </w:rPr>
          <w:tab/>
        </w:r>
        <w:r w:rsidR="00917FE1">
          <w:rPr>
            <w:noProof/>
            <w:webHidden/>
          </w:rPr>
          <w:fldChar w:fldCharType="begin"/>
        </w:r>
        <w:r w:rsidR="00917FE1">
          <w:rPr>
            <w:noProof/>
            <w:webHidden/>
          </w:rPr>
          <w:instrText xml:space="preserve"> PAGEREF _Toc41370553 \h </w:instrText>
        </w:r>
        <w:r w:rsidR="00917FE1">
          <w:rPr>
            <w:noProof/>
            <w:webHidden/>
          </w:rPr>
        </w:r>
        <w:r w:rsidR="00917FE1">
          <w:rPr>
            <w:noProof/>
            <w:webHidden/>
          </w:rPr>
          <w:fldChar w:fldCharType="separate"/>
        </w:r>
        <w:r w:rsidR="00CB360C">
          <w:rPr>
            <w:noProof/>
            <w:webHidden/>
          </w:rPr>
          <w:t>34</w:t>
        </w:r>
        <w:r w:rsidR="00917FE1">
          <w:rPr>
            <w:noProof/>
            <w:webHidden/>
          </w:rPr>
          <w:fldChar w:fldCharType="end"/>
        </w:r>
      </w:hyperlink>
    </w:p>
    <w:p w14:paraId="11688387" w14:textId="0BC4442D" w:rsidR="00917FE1" w:rsidRDefault="00504B06">
      <w:pPr>
        <w:pStyle w:val="TOC3"/>
        <w:tabs>
          <w:tab w:val="left" w:pos="1200"/>
          <w:tab w:val="right" w:leader="dot" w:pos="9010"/>
        </w:tabs>
        <w:rPr>
          <w:rFonts w:eastAsiaTheme="minorEastAsia"/>
          <w:noProof/>
          <w:sz w:val="24"/>
          <w:lang w:eastAsia="en-GB"/>
        </w:rPr>
      </w:pPr>
      <w:hyperlink w:anchor="_Toc41370554" w:history="1">
        <w:r w:rsidR="00917FE1" w:rsidRPr="00DC1FD2">
          <w:rPr>
            <w:rStyle w:val="Hyperlink"/>
            <w:noProof/>
            <w:lang w:val="en-GB"/>
          </w:rPr>
          <w:t>3.3.8</w:t>
        </w:r>
        <w:r w:rsidR="00917FE1">
          <w:rPr>
            <w:rFonts w:eastAsiaTheme="minorEastAsia"/>
            <w:noProof/>
            <w:sz w:val="24"/>
            <w:lang w:eastAsia="en-GB"/>
          </w:rPr>
          <w:tab/>
        </w:r>
        <w:r w:rsidR="00917FE1" w:rsidRPr="00DC1FD2">
          <w:rPr>
            <w:rStyle w:val="Hyperlink"/>
            <w:noProof/>
            <w:lang w:val="en-GB"/>
          </w:rPr>
          <w:t>Communities</w:t>
        </w:r>
        <w:r w:rsidR="00917FE1">
          <w:rPr>
            <w:noProof/>
            <w:webHidden/>
          </w:rPr>
          <w:tab/>
        </w:r>
        <w:r w:rsidR="00917FE1">
          <w:rPr>
            <w:noProof/>
            <w:webHidden/>
          </w:rPr>
          <w:fldChar w:fldCharType="begin"/>
        </w:r>
        <w:r w:rsidR="00917FE1">
          <w:rPr>
            <w:noProof/>
            <w:webHidden/>
          </w:rPr>
          <w:instrText xml:space="preserve"> PAGEREF _Toc41370554 \h </w:instrText>
        </w:r>
        <w:r w:rsidR="00917FE1">
          <w:rPr>
            <w:noProof/>
            <w:webHidden/>
          </w:rPr>
        </w:r>
        <w:r w:rsidR="00917FE1">
          <w:rPr>
            <w:noProof/>
            <w:webHidden/>
          </w:rPr>
          <w:fldChar w:fldCharType="separate"/>
        </w:r>
        <w:r w:rsidR="00CB360C">
          <w:rPr>
            <w:noProof/>
            <w:webHidden/>
          </w:rPr>
          <w:t>35</w:t>
        </w:r>
        <w:r w:rsidR="00917FE1">
          <w:rPr>
            <w:noProof/>
            <w:webHidden/>
          </w:rPr>
          <w:fldChar w:fldCharType="end"/>
        </w:r>
      </w:hyperlink>
    </w:p>
    <w:p w14:paraId="718A91F4" w14:textId="32476D39" w:rsidR="00917FE1" w:rsidRDefault="00504B06">
      <w:pPr>
        <w:pStyle w:val="TOC1"/>
        <w:tabs>
          <w:tab w:val="left" w:pos="480"/>
          <w:tab w:val="right" w:leader="dot" w:pos="9010"/>
        </w:tabs>
        <w:rPr>
          <w:rFonts w:eastAsiaTheme="minorEastAsia"/>
          <w:noProof/>
          <w:sz w:val="24"/>
          <w:lang w:eastAsia="en-GB"/>
        </w:rPr>
      </w:pPr>
      <w:hyperlink w:anchor="_Toc41370555" w:history="1">
        <w:r w:rsidR="00917FE1" w:rsidRPr="00DC1FD2">
          <w:rPr>
            <w:rStyle w:val="Hyperlink"/>
            <w:noProof/>
            <w:lang w:val="en-GB"/>
          </w:rPr>
          <w:t>4</w:t>
        </w:r>
        <w:r w:rsidR="00917FE1">
          <w:rPr>
            <w:rFonts w:eastAsiaTheme="minorEastAsia"/>
            <w:noProof/>
            <w:sz w:val="24"/>
            <w:lang w:eastAsia="en-GB"/>
          </w:rPr>
          <w:tab/>
        </w:r>
        <w:r w:rsidR="00917FE1" w:rsidRPr="00DC1FD2">
          <w:rPr>
            <w:rStyle w:val="Hyperlink"/>
            <w:noProof/>
            <w:lang w:val="en-GB"/>
          </w:rPr>
          <w:t>Rationale for the strategic plan, its relation to policy and implementation plans and development process</w:t>
        </w:r>
        <w:r w:rsidR="00917FE1">
          <w:rPr>
            <w:noProof/>
            <w:webHidden/>
          </w:rPr>
          <w:tab/>
        </w:r>
        <w:r w:rsidR="00917FE1">
          <w:rPr>
            <w:noProof/>
            <w:webHidden/>
          </w:rPr>
          <w:fldChar w:fldCharType="begin"/>
        </w:r>
        <w:r w:rsidR="00917FE1">
          <w:rPr>
            <w:noProof/>
            <w:webHidden/>
          </w:rPr>
          <w:instrText xml:space="preserve"> PAGEREF _Toc41370555 \h </w:instrText>
        </w:r>
        <w:r w:rsidR="00917FE1">
          <w:rPr>
            <w:noProof/>
            <w:webHidden/>
          </w:rPr>
        </w:r>
        <w:r w:rsidR="00917FE1">
          <w:rPr>
            <w:noProof/>
            <w:webHidden/>
          </w:rPr>
          <w:fldChar w:fldCharType="separate"/>
        </w:r>
        <w:r w:rsidR="00CB360C">
          <w:rPr>
            <w:noProof/>
            <w:webHidden/>
          </w:rPr>
          <w:t>36</w:t>
        </w:r>
        <w:r w:rsidR="00917FE1">
          <w:rPr>
            <w:noProof/>
            <w:webHidden/>
          </w:rPr>
          <w:fldChar w:fldCharType="end"/>
        </w:r>
      </w:hyperlink>
    </w:p>
    <w:p w14:paraId="6C0E3B85" w14:textId="268EFE12" w:rsidR="00917FE1" w:rsidRDefault="00504B06">
      <w:pPr>
        <w:pStyle w:val="TOC1"/>
        <w:tabs>
          <w:tab w:val="left" w:pos="480"/>
          <w:tab w:val="right" w:leader="dot" w:pos="9010"/>
        </w:tabs>
        <w:rPr>
          <w:rFonts w:eastAsiaTheme="minorEastAsia"/>
          <w:noProof/>
          <w:sz w:val="24"/>
          <w:lang w:eastAsia="en-GB"/>
        </w:rPr>
      </w:pPr>
      <w:hyperlink w:anchor="_Toc41370556" w:history="1">
        <w:r w:rsidR="00917FE1" w:rsidRPr="00DC1FD2">
          <w:rPr>
            <w:rStyle w:val="Hyperlink"/>
            <w:noProof/>
            <w:lang w:val="en-GB"/>
          </w:rPr>
          <w:t>5</w:t>
        </w:r>
        <w:r w:rsidR="00917FE1">
          <w:rPr>
            <w:rFonts w:eastAsiaTheme="minorEastAsia"/>
            <w:noProof/>
            <w:sz w:val="24"/>
            <w:lang w:eastAsia="en-GB"/>
          </w:rPr>
          <w:tab/>
        </w:r>
        <w:r w:rsidR="00917FE1" w:rsidRPr="00DC1FD2">
          <w:rPr>
            <w:rStyle w:val="Hyperlink"/>
            <w:noProof/>
            <w:lang w:val="en-GB"/>
          </w:rPr>
          <w:t>Guiding principles</w:t>
        </w:r>
        <w:r w:rsidR="00917FE1">
          <w:rPr>
            <w:noProof/>
            <w:webHidden/>
          </w:rPr>
          <w:tab/>
        </w:r>
        <w:r w:rsidR="00917FE1">
          <w:rPr>
            <w:noProof/>
            <w:webHidden/>
          </w:rPr>
          <w:fldChar w:fldCharType="begin"/>
        </w:r>
        <w:r w:rsidR="00917FE1">
          <w:rPr>
            <w:noProof/>
            <w:webHidden/>
          </w:rPr>
          <w:instrText xml:space="preserve"> PAGEREF _Toc41370556 \h </w:instrText>
        </w:r>
        <w:r w:rsidR="00917FE1">
          <w:rPr>
            <w:noProof/>
            <w:webHidden/>
          </w:rPr>
        </w:r>
        <w:r w:rsidR="00917FE1">
          <w:rPr>
            <w:noProof/>
            <w:webHidden/>
          </w:rPr>
          <w:fldChar w:fldCharType="separate"/>
        </w:r>
        <w:r w:rsidR="00CB360C">
          <w:rPr>
            <w:noProof/>
            <w:webHidden/>
          </w:rPr>
          <w:t>37</w:t>
        </w:r>
        <w:r w:rsidR="00917FE1">
          <w:rPr>
            <w:noProof/>
            <w:webHidden/>
          </w:rPr>
          <w:fldChar w:fldCharType="end"/>
        </w:r>
      </w:hyperlink>
    </w:p>
    <w:p w14:paraId="790E3D26" w14:textId="1307E1F4" w:rsidR="00917FE1" w:rsidRDefault="00504B06">
      <w:pPr>
        <w:pStyle w:val="TOC1"/>
        <w:tabs>
          <w:tab w:val="left" w:pos="480"/>
          <w:tab w:val="right" w:leader="dot" w:pos="9010"/>
        </w:tabs>
        <w:rPr>
          <w:rFonts w:eastAsiaTheme="minorEastAsia"/>
          <w:noProof/>
          <w:sz w:val="24"/>
          <w:lang w:eastAsia="en-GB"/>
        </w:rPr>
      </w:pPr>
      <w:hyperlink w:anchor="_Toc41370557" w:history="1">
        <w:r w:rsidR="00917FE1" w:rsidRPr="00DC1FD2">
          <w:rPr>
            <w:rStyle w:val="Hyperlink"/>
            <w:noProof/>
            <w:lang w:val="en-GB"/>
          </w:rPr>
          <w:t>6</w:t>
        </w:r>
        <w:r w:rsidR="00917FE1">
          <w:rPr>
            <w:rFonts w:eastAsiaTheme="minorEastAsia"/>
            <w:noProof/>
            <w:sz w:val="24"/>
            <w:lang w:eastAsia="en-GB"/>
          </w:rPr>
          <w:tab/>
        </w:r>
        <w:r w:rsidR="00917FE1" w:rsidRPr="00DC1FD2">
          <w:rPr>
            <w:rStyle w:val="Hyperlink"/>
            <w:noProof/>
            <w:lang w:val="en-GB"/>
          </w:rPr>
          <w:t>Strategic Plan Goal and Objectives</w:t>
        </w:r>
        <w:r w:rsidR="00917FE1">
          <w:rPr>
            <w:noProof/>
            <w:webHidden/>
          </w:rPr>
          <w:tab/>
        </w:r>
        <w:r w:rsidR="00917FE1">
          <w:rPr>
            <w:noProof/>
            <w:webHidden/>
          </w:rPr>
          <w:fldChar w:fldCharType="begin"/>
        </w:r>
        <w:r w:rsidR="00917FE1">
          <w:rPr>
            <w:noProof/>
            <w:webHidden/>
          </w:rPr>
          <w:instrText xml:space="preserve"> PAGEREF _Toc41370557 \h </w:instrText>
        </w:r>
        <w:r w:rsidR="00917FE1">
          <w:rPr>
            <w:noProof/>
            <w:webHidden/>
          </w:rPr>
        </w:r>
        <w:r w:rsidR="00917FE1">
          <w:rPr>
            <w:noProof/>
            <w:webHidden/>
          </w:rPr>
          <w:fldChar w:fldCharType="separate"/>
        </w:r>
        <w:r w:rsidR="00CB360C">
          <w:rPr>
            <w:noProof/>
            <w:webHidden/>
          </w:rPr>
          <w:t>38</w:t>
        </w:r>
        <w:r w:rsidR="00917FE1">
          <w:rPr>
            <w:noProof/>
            <w:webHidden/>
          </w:rPr>
          <w:fldChar w:fldCharType="end"/>
        </w:r>
      </w:hyperlink>
    </w:p>
    <w:p w14:paraId="324CC0EF" w14:textId="71553FC9" w:rsidR="00917FE1" w:rsidRDefault="00504B06">
      <w:pPr>
        <w:pStyle w:val="TOC2"/>
        <w:tabs>
          <w:tab w:val="left" w:pos="960"/>
          <w:tab w:val="right" w:leader="dot" w:pos="9010"/>
        </w:tabs>
        <w:rPr>
          <w:rFonts w:eastAsiaTheme="minorEastAsia"/>
          <w:noProof/>
          <w:sz w:val="24"/>
          <w:lang w:eastAsia="en-GB"/>
        </w:rPr>
      </w:pPr>
      <w:hyperlink w:anchor="_Toc41370558" w:history="1">
        <w:r w:rsidR="00917FE1" w:rsidRPr="00DC1FD2">
          <w:rPr>
            <w:rStyle w:val="Hyperlink"/>
            <w:noProof/>
            <w:lang w:val="en-GB"/>
          </w:rPr>
          <w:t>6.1</w:t>
        </w:r>
        <w:r w:rsidR="00917FE1">
          <w:rPr>
            <w:rFonts w:eastAsiaTheme="minorEastAsia"/>
            <w:noProof/>
            <w:sz w:val="24"/>
            <w:lang w:eastAsia="en-GB"/>
          </w:rPr>
          <w:tab/>
        </w:r>
        <w:r w:rsidR="00917FE1" w:rsidRPr="00DC1FD2">
          <w:rPr>
            <w:rStyle w:val="Hyperlink"/>
            <w:noProof/>
            <w:lang w:val="en-GB"/>
          </w:rPr>
          <w:t>Goal</w:t>
        </w:r>
        <w:r w:rsidR="00917FE1">
          <w:rPr>
            <w:noProof/>
            <w:webHidden/>
          </w:rPr>
          <w:tab/>
        </w:r>
        <w:r w:rsidR="00917FE1">
          <w:rPr>
            <w:noProof/>
            <w:webHidden/>
          </w:rPr>
          <w:fldChar w:fldCharType="begin"/>
        </w:r>
        <w:r w:rsidR="00917FE1">
          <w:rPr>
            <w:noProof/>
            <w:webHidden/>
          </w:rPr>
          <w:instrText xml:space="preserve"> PAGEREF _Toc41370558 \h </w:instrText>
        </w:r>
        <w:r w:rsidR="00917FE1">
          <w:rPr>
            <w:noProof/>
            <w:webHidden/>
          </w:rPr>
        </w:r>
        <w:r w:rsidR="00917FE1">
          <w:rPr>
            <w:noProof/>
            <w:webHidden/>
          </w:rPr>
          <w:fldChar w:fldCharType="separate"/>
        </w:r>
        <w:r w:rsidR="00CB360C">
          <w:rPr>
            <w:noProof/>
            <w:webHidden/>
          </w:rPr>
          <w:t>38</w:t>
        </w:r>
        <w:r w:rsidR="00917FE1">
          <w:rPr>
            <w:noProof/>
            <w:webHidden/>
          </w:rPr>
          <w:fldChar w:fldCharType="end"/>
        </w:r>
      </w:hyperlink>
    </w:p>
    <w:p w14:paraId="45925A7B" w14:textId="4C91990A" w:rsidR="00917FE1" w:rsidRDefault="00504B06">
      <w:pPr>
        <w:pStyle w:val="TOC2"/>
        <w:tabs>
          <w:tab w:val="left" w:pos="960"/>
          <w:tab w:val="right" w:leader="dot" w:pos="9010"/>
        </w:tabs>
        <w:rPr>
          <w:rFonts w:eastAsiaTheme="minorEastAsia"/>
          <w:noProof/>
          <w:sz w:val="24"/>
          <w:lang w:eastAsia="en-GB"/>
        </w:rPr>
      </w:pPr>
      <w:hyperlink w:anchor="_Toc41370559" w:history="1">
        <w:r w:rsidR="00917FE1" w:rsidRPr="00DC1FD2">
          <w:rPr>
            <w:rStyle w:val="Hyperlink"/>
            <w:noProof/>
            <w:lang w:val="en-GB"/>
          </w:rPr>
          <w:t>6.2</w:t>
        </w:r>
        <w:r w:rsidR="00917FE1">
          <w:rPr>
            <w:rFonts w:eastAsiaTheme="minorEastAsia"/>
            <w:noProof/>
            <w:sz w:val="24"/>
            <w:lang w:eastAsia="en-GB"/>
          </w:rPr>
          <w:tab/>
        </w:r>
        <w:r w:rsidR="00917FE1" w:rsidRPr="00DC1FD2">
          <w:rPr>
            <w:rStyle w:val="Hyperlink"/>
            <w:noProof/>
            <w:lang w:val="en-GB"/>
          </w:rPr>
          <w:t>Strategic Objectives</w:t>
        </w:r>
        <w:r w:rsidR="00917FE1">
          <w:rPr>
            <w:noProof/>
            <w:webHidden/>
          </w:rPr>
          <w:tab/>
        </w:r>
        <w:r w:rsidR="00917FE1">
          <w:rPr>
            <w:noProof/>
            <w:webHidden/>
          </w:rPr>
          <w:fldChar w:fldCharType="begin"/>
        </w:r>
        <w:r w:rsidR="00917FE1">
          <w:rPr>
            <w:noProof/>
            <w:webHidden/>
          </w:rPr>
          <w:instrText xml:space="preserve"> PAGEREF _Toc41370559 \h </w:instrText>
        </w:r>
        <w:r w:rsidR="00917FE1">
          <w:rPr>
            <w:noProof/>
            <w:webHidden/>
          </w:rPr>
        </w:r>
        <w:r w:rsidR="00917FE1">
          <w:rPr>
            <w:noProof/>
            <w:webHidden/>
          </w:rPr>
          <w:fldChar w:fldCharType="separate"/>
        </w:r>
        <w:r w:rsidR="00CB360C">
          <w:rPr>
            <w:noProof/>
            <w:webHidden/>
          </w:rPr>
          <w:t>38</w:t>
        </w:r>
        <w:r w:rsidR="00917FE1">
          <w:rPr>
            <w:noProof/>
            <w:webHidden/>
          </w:rPr>
          <w:fldChar w:fldCharType="end"/>
        </w:r>
      </w:hyperlink>
    </w:p>
    <w:p w14:paraId="1AA5E95E" w14:textId="55A8D46B" w:rsidR="00917FE1" w:rsidRDefault="00504B06">
      <w:pPr>
        <w:pStyle w:val="TOC1"/>
        <w:tabs>
          <w:tab w:val="left" w:pos="480"/>
          <w:tab w:val="right" w:leader="dot" w:pos="9010"/>
        </w:tabs>
        <w:rPr>
          <w:rFonts w:eastAsiaTheme="minorEastAsia"/>
          <w:noProof/>
          <w:sz w:val="24"/>
          <w:lang w:eastAsia="en-GB"/>
        </w:rPr>
      </w:pPr>
      <w:hyperlink w:anchor="_Toc41370560" w:history="1">
        <w:r w:rsidR="00917FE1" w:rsidRPr="00DC1FD2">
          <w:rPr>
            <w:rStyle w:val="Hyperlink"/>
            <w:noProof/>
            <w:lang w:val="en-GB"/>
          </w:rPr>
          <w:t>7</w:t>
        </w:r>
        <w:r w:rsidR="00917FE1">
          <w:rPr>
            <w:rFonts w:eastAsiaTheme="minorEastAsia"/>
            <w:noProof/>
            <w:sz w:val="24"/>
            <w:lang w:eastAsia="en-GB"/>
          </w:rPr>
          <w:tab/>
        </w:r>
        <w:r w:rsidR="00917FE1" w:rsidRPr="00DC1FD2">
          <w:rPr>
            <w:rStyle w:val="Hyperlink"/>
            <w:noProof/>
            <w:lang w:val="en-GB"/>
          </w:rPr>
          <w:t>NCD Priority intervention areas</w:t>
        </w:r>
        <w:r w:rsidR="00917FE1">
          <w:rPr>
            <w:noProof/>
            <w:webHidden/>
          </w:rPr>
          <w:tab/>
        </w:r>
        <w:r w:rsidR="00917FE1">
          <w:rPr>
            <w:noProof/>
            <w:webHidden/>
          </w:rPr>
          <w:fldChar w:fldCharType="begin"/>
        </w:r>
        <w:r w:rsidR="00917FE1">
          <w:rPr>
            <w:noProof/>
            <w:webHidden/>
          </w:rPr>
          <w:instrText xml:space="preserve"> PAGEREF _Toc41370560 \h </w:instrText>
        </w:r>
        <w:r w:rsidR="00917FE1">
          <w:rPr>
            <w:noProof/>
            <w:webHidden/>
          </w:rPr>
        </w:r>
        <w:r w:rsidR="00917FE1">
          <w:rPr>
            <w:noProof/>
            <w:webHidden/>
          </w:rPr>
          <w:fldChar w:fldCharType="separate"/>
        </w:r>
        <w:r w:rsidR="00CB360C">
          <w:rPr>
            <w:noProof/>
            <w:webHidden/>
          </w:rPr>
          <w:t>38</w:t>
        </w:r>
        <w:r w:rsidR="00917FE1">
          <w:rPr>
            <w:noProof/>
            <w:webHidden/>
          </w:rPr>
          <w:fldChar w:fldCharType="end"/>
        </w:r>
      </w:hyperlink>
    </w:p>
    <w:p w14:paraId="69F675F7" w14:textId="5266CD37" w:rsidR="00917FE1" w:rsidRDefault="00504B06">
      <w:pPr>
        <w:pStyle w:val="TOC2"/>
        <w:tabs>
          <w:tab w:val="left" w:pos="960"/>
          <w:tab w:val="right" w:leader="dot" w:pos="9010"/>
        </w:tabs>
        <w:rPr>
          <w:rFonts w:eastAsiaTheme="minorEastAsia"/>
          <w:noProof/>
          <w:sz w:val="24"/>
          <w:lang w:eastAsia="en-GB"/>
        </w:rPr>
      </w:pPr>
      <w:hyperlink w:anchor="_Toc41370561" w:history="1">
        <w:r w:rsidR="00917FE1" w:rsidRPr="00DC1FD2">
          <w:rPr>
            <w:rStyle w:val="Hyperlink"/>
            <w:noProof/>
            <w:lang w:val="en-GB"/>
          </w:rPr>
          <w:t>7.1</w:t>
        </w:r>
        <w:r w:rsidR="00917FE1">
          <w:rPr>
            <w:rFonts w:eastAsiaTheme="minorEastAsia"/>
            <w:noProof/>
            <w:sz w:val="24"/>
            <w:lang w:eastAsia="en-GB"/>
          </w:rPr>
          <w:tab/>
        </w:r>
        <w:r w:rsidR="00917FE1" w:rsidRPr="00DC1FD2">
          <w:rPr>
            <w:rStyle w:val="Hyperlink"/>
            <w:noProof/>
            <w:lang w:val="en-GB"/>
          </w:rPr>
          <w:t>Leadership and Governance</w:t>
        </w:r>
        <w:r w:rsidR="00917FE1">
          <w:rPr>
            <w:noProof/>
            <w:webHidden/>
          </w:rPr>
          <w:tab/>
        </w:r>
        <w:r w:rsidR="00917FE1">
          <w:rPr>
            <w:noProof/>
            <w:webHidden/>
          </w:rPr>
          <w:fldChar w:fldCharType="begin"/>
        </w:r>
        <w:r w:rsidR="00917FE1">
          <w:rPr>
            <w:noProof/>
            <w:webHidden/>
          </w:rPr>
          <w:instrText xml:space="preserve"> PAGEREF _Toc41370561 \h </w:instrText>
        </w:r>
        <w:r w:rsidR="00917FE1">
          <w:rPr>
            <w:noProof/>
            <w:webHidden/>
          </w:rPr>
        </w:r>
        <w:r w:rsidR="00917FE1">
          <w:rPr>
            <w:noProof/>
            <w:webHidden/>
          </w:rPr>
          <w:fldChar w:fldCharType="separate"/>
        </w:r>
        <w:r w:rsidR="00CB360C">
          <w:rPr>
            <w:noProof/>
            <w:webHidden/>
          </w:rPr>
          <w:t>38</w:t>
        </w:r>
        <w:r w:rsidR="00917FE1">
          <w:rPr>
            <w:noProof/>
            <w:webHidden/>
          </w:rPr>
          <w:fldChar w:fldCharType="end"/>
        </w:r>
      </w:hyperlink>
    </w:p>
    <w:p w14:paraId="2F187520" w14:textId="21A273AF" w:rsidR="00917FE1" w:rsidRDefault="00504B06">
      <w:pPr>
        <w:pStyle w:val="TOC2"/>
        <w:tabs>
          <w:tab w:val="left" w:pos="960"/>
          <w:tab w:val="right" w:leader="dot" w:pos="9010"/>
        </w:tabs>
        <w:rPr>
          <w:rFonts w:eastAsiaTheme="minorEastAsia"/>
          <w:noProof/>
          <w:sz w:val="24"/>
          <w:lang w:eastAsia="en-GB"/>
        </w:rPr>
      </w:pPr>
      <w:hyperlink w:anchor="_Toc41370562" w:history="1">
        <w:r w:rsidR="00917FE1" w:rsidRPr="00DC1FD2">
          <w:rPr>
            <w:rStyle w:val="Hyperlink"/>
            <w:rFonts w:eastAsia="Times New Roman"/>
            <w:noProof/>
            <w:lang w:val="en-GB"/>
          </w:rPr>
          <w:t>7.2</w:t>
        </w:r>
        <w:r w:rsidR="00917FE1">
          <w:rPr>
            <w:rFonts w:eastAsiaTheme="minorEastAsia"/>
            <w:noProof/>
            <w:sz w:val="24"/>
            <w:lang w:eastAsia="en-GB"/>
          </w:rPr>
          <w:tab/>
        </w:r>
        <w:r w:rsidR="00917FE1" w:rsidRPr="00DC1FD2">
          <w:rPr>
            <w:rStyle w:val="Hyperlink"/>
            <w:rFonts w:eastAsia="Times New Roman"/>
            <w:noProof/>
            <w:lang w:val="en-GB"/>
          </w:rPr>
          <w:t>Health promotion</w:t>
        </w:r>
        <w:r w:rsidR="00917FE1">
          <w:rPr>
            <w:noProof/>
            <w:webHidden/>
          </w:rPr>
          <w:tab/>
        </w:r>
        <w:r w:rsidR="00917FE1">
          <w:rPr>
            <w:noProof/>
            <w:webHidden/>
          </w:rPr>
          <w:fldChar w:fldCharType="begin"/>
        </w:r>
        <w:r w:rsidR="00917FE1">
          <w:rPr>
            <w:noProof/>
            <w:webHidden/>
          </w:rPr>
          <w:instrText xml:space="preserve"> PAGEREF _Toc41370562 \h </w:instrText>
        </w:r>
        <w:r w:rsidR="00917FE1">
          <w:rPr>
            <w:noProof/>
            <w:webHidden/>
          </w:rPr>
        </w:r>
        <w:r w:rsidR="00917FE1">
          <w:rPr>
            <w:noProof/>
            <w:webHidden/>
          </w:rPr>
          <w:fldChar w:fldCharType="separate"/>
        </w:r>
        <w:r w:rsidR="00CB360C">
          <w:rPr>
            <w:noProof/>
            <w:webHidden/>
          </w:rPr>
          <w:t>39</w:t>
        </w:r>
        <w:r w:rsidR="00917FE1">
          <w:rPr>
            <w:noProof/>
            <w:webHidden/>
          </w:rPr>
          <w:fldChar w:fldCharType="end"/>
        </w:r>
      </w:hyperlink>
    </w:p>
    <w:p w14:paraId="585211C8" w14:textId="64EDDBB8" w:rsidR="00917FE1" w:rsidRDefault="00504B06">
      <w:pPr>
        <w:pStyle w:val="TOC2"/>
        <w:tabs>
          <w:tab w:val="left" w:pos="960"/>
          <w:tab w:val="right" w:leader="dot" w:pos="9010"/>
        </w:tabs>
        <w:rPr>
          <w:rFonts w:eastAsiaTheme="minorEastAsia"/>
          <w:noProof/>
          <w:sz w:val="24"/>
          <w:lang w:eastAsia="en-GB"/>
        </w:rPr>
      </w:pPr>
      <w:hyperlink w:anchor="_Toc41370563" w:history="1">
        <w:r w:rsidR="00917FE1" w:rsidRPr="00DC1FD2">
          <w:rPr>
            <w:rStyle w:val="Hyperlink"/>
            <w:rFonts w:eastAsia="Times New Roman"/>
            <w:noProof/>
            <w:lang w:val="en-GB"/>
          </w:rPr>
          <w:t>7.3</w:t>
        </w:r>
        <w:r w:rsidR="00917FE1">
          <w:rPr>
            <w:rFonts w:eastAsiaTheme="minorEastAsia"/>
            <w:noProof/>
            <w:sz w:val="24"/>
            <w:lang w:eastAsia="en-GB"/>
          </w:rPr>
          <w:tab/>
        </w:r>
        <w:r w:rsidR="00917FE1" w:rsidRPr="00DC1FD2">
          <w:rPr>
            <w:rStyle w:val="Hyperlink"/>
            <w:rFonts w:eastAsia="Times New Roman"/>
            <w:noProof/>
            <w:lang w:val="en-GB"/>
          </w:rPr>
          <w:t>NCD services</w:t>
        </w:r>
        <w:r w:rsidR="00917FE1">
          <w:rPr>
            <w:noProof/>
            <w:webHidden/>
          </w:rPr>
          <w:tab/>
        </w:r>
        <w:r w:rsidR="00917FE1">
          <w:rPr>
            <w:noProof/>
            <w:webHidden/>
          </w:rPr>
          <w:fldChar w:fldCharType="begin"/>
        </w:r>
        <w:r w:rsidR="00917FE1">
          <w:rPr>
            <w:noProof/>
            <w:webHidden/>
          </w:rPr>
          <w:instrText xml:space="preserve"> PAGEREF _Toc41370563 \h </w:instrText>
        </w:r>
        <w:r w:rsidR="00917FE1">
          <w:rPr>
            <w:noProof/>
            <w:webHidden/>
          </w:rPr>
        </w:r>
        <w:r w:rsidR="00917FE1">
          <w:rPr>
            <w:noProof/>
            <w:webHidden/>
          </w:rPr>
          <w:fldChar w:fldCharType="separate"/>
        </w:r>
        <w:r w:rsidR="00CB360C">
          <w:rPr>
            <w:noProof/>
            <w:webHidden/>
          </w:rPr>
          <w:t>39</w:t>
        </w:r>
        <w:r w:rsidR="00917FE1">
          <w:rPr>
            <w:noProof/>
            <w:webHidden/>
          </w:rPr>
          <w:fldChar w:fldCharType="end"/>
        </w:r>
      </w:hyperlink>
    </w:p>
    <w:p w14:paraId="5F811898" w14:textId="39F49BBA" w:rsidR="00917FE1" w:rsidRDefault="00504B06">
      <w:pPr>
        <w:pStyle w:val="TOC1"/>
        <w:tabs>
          <w:tab w:val="left" w:pos="480"/>
          <w:tab w:val="right" w:leader="dot" w:pos="9010"/>
        </w:tabs>
        <w:rPr>
          <w:rFonts w:eastAsiaTheme="minorEastAsia"/>
          <w:noProof/>
          <w:sz w:val="24"/>
          <w:lang w:eastAsia="en-GB"/>
        </w:rPr>
      </w:pPr>
      <w:hyperlink w:anchor="_Toc41370564" w:history="1">
        <w:r w:rsidR="00917FE1" w:rsidRPr="00DC1FD2">
          <w:rPr>
            <w:rStyle w:val="Hyperlink"/>
            <w:noProof/>
            <w:lang w:val="en-GB"/>
          </w:rPr>
          <w:t>8</w:t>
        </w:r>
        <w:r w:rsidR="00917FE1">
          <w:rPr>
            <w:rFonts w:eastAsiaTheme="minorEastAsia"/>
            <w:noProof/>
            <w:sz w:val="24"/>
            <w:lang w:eastAsia="en-GB"/>
          </w:rPr>
          <w:tab/>
        </w:r>
        <w:r w:rsidR="00917FE1" w:rsidRPr="00DC1FD2">
          <w:rPr>
            <w:rStyle w:val="Hyperlink"/>
            <w:noProof/>
            <w:lang w:val="en-GB"/>
          </w:rPr>
          <w:t>Strategic objectives and broad activities</w:t>
        </w:r>
        <w:r w:rsidR="00917FE1">
          <w:rPr>
            <w:noProof/>
            <w:webHidden/>
          </w:rPr>
          <w:tab/>
        </w:r>
        <w:r w:rsidR="00917FE1">
          <w:rPr>
            <w:noProof/>
            <w:webHidden/>
          </w:rPr>
          <w:fldChar w:fldCharType="begin"/>
        </w:r>
        <w:r w:rsidR="00917FE1">
          <w:rPr>
            <w:noProof/>
            <w:webHidden/>
          </w:rPr>
          <w:instrText xml:space="preserve"> PAGEREF _Toc41370564 \h </w:instrText>
        </w:r>
        <w:r w:rsidR="00917FE1">
          <w:rPr>
            <w:noProof/>
            <w:webHidden/>
          </w:rPr>
        </w:r>
        <w:r w:rsidR="00917FE1">
          <w:rPr>
            <w:noProof/>
            <w:webHidden/>
          </w:rPr>
          <w:fldChar w:fldCharType="separate"/>
        </w:r>
        <w:r w:rsidR="00CB360C">
          <w:rPr>
            <w:noProof/>
            <w:webHidden/>
          </w:rPr>
          <w:t>40</w:t>
        </w:r>
        <w:r w:rsidR="00917FE1">
          <w:rPr>
            <w:noProof/>
            <w:webHidden/>
          </w:rPr>
          <w:fldChar w:fldCharType="end"/>
        </w:r>
      </w:hyperlink>
    </w:p>
    <w:p w14:paraId="7699717B" w14:textId="3EC3CDDF" w:rsidR="00917FE1" w:rsidRDefault="00504B06">
      <w:pPr>
        <w:pStyle w:val="TOC2"/>
        <w:tabs>
          <w:tab w:val="left" w:pos="960"/>
          <w:tab w:val="right" w:leader="dot" w:pos="9010"/>
        </w:tabs>
        <w:rPr>
          <w:rFonts w:eastAsiaTheme="minorEastAsia"/>
          <w:noProof/>
          <w:sz w:val="24"/>
          <w:lang w:eastAsia="en-GB"/>
        </w:rPr>
      </w:pPr>
      <w:hyperlink w:anchor="_Toc41370565" w:history="1">
        <w:r w:rsidR="00917FE1" w:rsidRPr="00DC1FD2">
          <w:rPr>
            <w:rStyle w:val="Hyperlink"/>
            <w:noProof/>
            <w:lang w:val="en-GB"/>
          </w:rPr>
          <w:t>8.1</w:t>
        </w:r>
        <w:r w:rsidR="00917FE1">
          <w:rPr>
            <w:rFonts w:eastAsiaTheme="minorEastAsia"/>
            <w:noProof/>
            <w:sz w:val="24"/>
            <w:lang w:eastAsia="en-GB"/>
          </w:rPr>
          <w:tab/>
        </w:r>
        <w:r w:rsidR="00917FE1" w:rsidRPr="00DC1FD2">
          <w:rPr>
            <w:rStyle w:val="Hyperlink"/>
            <w:noProof/>
            <w:lang w:val="en-GB"/>
          </w:rPr>
          <w:t>SO1:  To reinforce leadership and strengthen capacity of the health system for prevention and control of NCDs</w:t>
        </w:r>
        <w:r w:rsidR="00917FE1">
          <w:rPr>
            <w:noProof/>
            <w:webHidden/>
          </w:rPr>
          <w:tab/>
        </w:r>
        <w:r w:rsidR="00917FE1">
          <w:rPr>
            <w:noProof/>
            <w:webHidden/>
          </w:rPr>
          <w:fldChar w:fldCharType="begin"/>
        </w:r>
        <w:r w:rsidR="00917FE1">
          <w:rPr>
            <w:noProof/>
            <w:webHidden/>
          </w:rPr>
          <w:instrText xml:space="preserve"> PAGEREF _Toc41370565 \h </w:instrText>
        </w:r>
        <w:r w:rsidR="00917FE1">
          <w:rPr>
            <w:noProof/>
            <w:webHidden/>
          </w:rPr>
        </w:r>
        <w:r w:rsidR="00917FE1">
          <w:rPr>
            <w:noProof/>
            <w:webHidden/>
          </w:rPr>
          <w:fldChar w:fldCharType="separate"/>
        </w:r>
        <w:r w:rsidR="00CB360C">
          <w:rPr>
            <w:noProof/>
            <w:webHidden/>
          </w:rPr>
          <w:t>41</w:t>
        </w:r>
        <w:r w:rsidR="00917FE1">
          <w:rPr>
            <w:noProof/>
            <w:webHidden/>
          </w:rPr>
          <w:fldChar w:fldCharType="end"/>
        </w:r>
      </w:hyperlink>
    </w:p>
    <w:p w14:paraId="77A37BF5" w14:textId="21FB27F0" w:rsidR="00917FE1" w:rsidRDefault="00504B06">
      <w:pPr>
        <w:pStyle w:val="TOC2"/>
        <w:tabs>
          <w:tab w:val="left" w:pos="960"/>
          <w:tab w:val="right" w:leader="dot" w:pos="9010"/>
        </w:tabs>
        <w:rPr>
          <w:rFonts w:eastAsiaTheme="minorEastAsia"/>
          <w:noProof/>
          <w:sz w:val="24"/>
          <w:lang w:eastAsia="en-GB"/>
        </w:rPr>
      </w:pPr>
      <w:hyperlink w:anchor="_Toc41370566" w:history="1">
        <w:r w:rsidR="00917FE1" w:rsidRPr="00DC1FD2">
          <w:rPr>
            <w:rStyle w:val="Hyperlink"/>
            <w:noProof/>
            <w:lang w:val="en-GB"/>
          </w:rPr>
          <w:t>8.2</w:t>
        </w:r>
        <w:r w:rsidR="00917FE1">
          <w:rPr>
            <w:rFonts w:eastAsiaTheme="minorEastAsia"/>
            <w:noProof/>
            <w:sz w:val="24"/>
            <w:lang w:eastAsia="en-GB"/>
          </w:rPr>
          <w:tab/>
        </w:r>
        <w:r w:rsidR="00917FE1" w:rsidRPr="00DC1FD2">
          <w:rPr>
            <w:rStyle w:val="Hyperlink"/>
            <w:noProof/>
            <w:lang w:val="en-GB"/>
          </w:rPr>
          <w:t>SO2: To mobilize sustainable funding for NCD activities at all levels</w:t>
        </w:r>
        <w:r w:rsidR="00917FE1">
          <w:rPr>
            <w:noProof/>
            <w:webHidden/>
          </w:rPr>
          <w:tab/>
        </w:r>
        <w:r w:rsidR="00917FE1">
          <w:rPr>
            <w:noProof/>
            <w:webHidden/>
          </w:rPr>
          <w:fldChar w:fldCharType="begin"/>
        </w:r>
        <w:r w:rsidR="00917FE1">
          <w:rPr>
            <w:noProof/>
            <w:webHidden/>
          </w:rPr>
          <w:instrText xml:space="preserve"> PAGEREF _Toc41370566 \h </w:instrText>
        </w:r>
        <w:r w:rsidR="00917FE1">
          <w:rPr>
            <w:noProof/>
            <w:webHidden/>
          </w:rPr>
        </w:r>
        <w:r w:rsidR="00917FE1">
          <w:rPr>
            <w:noProof/>
            <w:webHidden/>
          </w:rPr>
          <w:fldChar w:fldCharType="separate"/>
        </w:r>
        <w:r w:rsidR="00CB360C">
          <w:rPr>
            <w:noProof/>
            <w:webHidden/>
          </w:rPr>
          <w:t>45</w:t>
        </w:r>
        <w:r w:rsidR="00917FE1">
          <w:rPr>
            <w:noProof/>
            <w:webHidden/>
          </w:rPr>
          <w:fldChar w:fldCharType="end"/>
        </w:r>
      </w:hyperlink>
    </w:p>
    <w:p w14:paraId="55D76502" w14:textId="6C22FD5A" w:rsidR="00917FE1" w:rsidRDefault="00504B06">
      <w:pPr>
        <w:pStyle w:val="TOC2"/>
        <w:tabs>
          <w:tab w:val="left" w:pos="960"/>
          <w:tab w:val="right" w:leader="dot" w:pos="9010"/>
        </w:tabs>
        <w:rPr>
          <w:rFonts w:eastAsiaTheme="minorEastAsia"/>
          <w:noProof/>
          <w:sz w:val="24"/>
          <w:lang w:eastAsia="en-GB"/>
        </w:rPr>
      </w:pPr>
      <w:hyperlink w:anchor="_Toc41370567" w:history="1">
        <w:r w:rsidR="00917FE1" w:rsidRPr="00DC1FD2">
          <w:rPr>
            <w:rStyle w:val="Hyperlink"/>
            <w:noProof/>
            <w:lang w:val="en-GB"/>
          </w:rPr>
          <w:t>8.3</w:t>
        </w:r>
        <w:r w:rsidR="00917FE1">
          <w:rPr>
            <w:rFonts w:eastAsiaTheme="minorEastAsia"/>
            <w:noProof/>
            <w:sz w:val="24"/>
            <w:lang w:eastAsia="en-GB"/>
          </w:rPr>
          <w:tab/>
        </w:r>
        <w:r w:rsidR="00917FE1" w:rsidRPr="00DC1FD2">
          <w:rPr>
            <w:rStyle w:val="Hyperlink"/>
            <w:noProof/>
            <w:lang w:val="en-GB"/>
          </w:rPr>
          <w:t>SO3: To promote healthy lifestyles and reduce risk factors using health promotion strategies.</w:t>
        </w:r>
        <w:r w:rsidR="00917FE1">
          <w:rPr>
            <w:noProof/>
            <w:webHidden/>
          </w:rPr>
          <w:tab/>
        </w:r>
        <w:r w:rsidR="00917FE1">
          <w:rPr>
            <w:noProof/>
            <w:webHidden/>
          </w:rPr>
          <w:fldChar w:fldCharType="begin"/>
        </w:r>
        <w:r w:rsidR="00917FE1">
          <w:rPr>
            <w:noProof/>
            <w:webHidden/>
          </w:rPr>
          <w:instrText xml:space="preserve"> PAGEREF _Toc41370567 \h </w:instrText>
        </w:r>
        <w:r w:rsidR="00917FE1">
          <w:rPr>
            <w:noProof/>
            <w:webHidden/>
          </w:rPr>
        </w:r>
        <w:r w:rsidR="00917FE1">
          <w:rPr>
            <w:noProof/>
            <w:webHidden/>
          </w:rPr>
          <w:fldChar w:fldCharType="separate"/>
        </w:r>
        <w:r w:rsidR="00CB360C">
          <w:rPr>
            <w:noProof/>
            <w:webHidden/>
          </w:rPr>
          <w:t>46</w:t>
        </w:r>
        <w:r w:rsidR="00917FE1">
          <w:rPr>
            <w:noProof/>
            <w:webHidden/>
          </w:rPr>
          <w:fldChar w:fldCharType="end"/>
        </w:r>
      </w:hyperlink>
    </w:p>
    <w:p w14:paraId="434AD312" w14:textId="60D141CD" w:rsidR="00917FE1" w:rsidRDefault="00504B06">
      <w:pPr>
        <w:pStyle w:val="TOC2"/>
        <w:tabs>
          <w:tab w:val="left" w:pos="960"/>
          <w:tab w:val="right" w:leader="dot" w:pos="9010"/>
        </w:tabs>
        <w:rPr>
          <w:rFonts w:eastAsiaTheme="minorEastAsia"/>
          <w:noProof/>
          <w:sz w:val="24"/>
          <w:lang w:eastAsia="en-GB"/>
        </w:rPr>
      </w:pPr>
      <w:hyperlink w:anchor="_Toc41370568" w:history="1">
        <w:r w:rsidR="00917FE1" w:rsidRPr="00DC1FD2">
          <w:rPr>
            <w:rStyle w:val="Hyperlink"/>
            <w:noProof/>
            <w:lang w:val="en-GB"/>
          </w:rPr>
          <w:t>8.4</w:t>
        </w:r>
        <w:r w:rsidR="00917FE1">
          <w:rPr>
            <w:rFonts w:eastAsiaTheme="minorEastAsia"/>
            <w:noProof/>
            <w:sz w:val="24"/>
            <w:lang w:eastAsia="en-GB"/>
          </w:rPr>
          <w:tab/>
        </w:r>
        <w:r w:rsidR="00917FE1" w:rsidRPr="00DC1FD2">
          <w:rPr>
            <w:rStyle w:val="Hyperlink"/>
            <w:noProof/>
            <w:lang w:val="en-GB"/>
          </w:rPr>
          <w:t>SO4: To strengthen NCD prevention, screening, diagnosis, management and care at all levels through implementation of practical, cost-effective and evidence-based interventions at all levels of care</w:t>
        </w:r>
        <w:r w:rsidR="00917FE1">
          <w:rPr>
            <w:noProof/>
            <w:webHidden/>
          </w:rPr>
          <w:tab/>
        </w:r>
        <w:r w:rsidR="00917FE1">
          <w:rPr>
            <w:noProof/>
            <w:webHidden/>
          </w:rPr>
          <w:fldChar w:fldCharType="begin"/>
        </w:r>
        <w:r w:rsidR="00917FE1">
          <w:rPr>
            <w:noProof/>
            <w:webHidden/>
          </w:rPr>
          <w:instrText xml:space="preserve"> PAGEREF _Toc41370568 \h </w:instrText>
        </w:r>
        <w:r w:rsidR="00917FE1">
          <w:rPr>
            <w:noProof/>
            <w:webHidden/>
          </w:rPr>
        </w:r>
        <w:r w:rsidR="00917FE1">
          <w:rPr>
            <w:noProof/>
            <w:webHidden/>
          </w:rPr>
          <w:fldChar w:fldCharType="separate"/>
        </w:r>
        <w:r w:rsidR="00CB360C">
          <w:rPr>
            <w:noProof/>
            <w:webHidden/>
          </w:rPr>
          <w:t>47</w:t>
        </w:r>
        <w:r w:rsidR="00917FE1">
          <w:rPr>
            <w:noProof/>
            <w:webHidden/>
          </w:rPr>
          <w:fldChar w:fldCharType="end"/>
        </w:r>
      </w:hyperlink>
    </w:p>
    <w:p w14:paraId="28902F1C" w14:textId="742F2738" w:rsidR="00917FE1" w:rsidRDefault="00504B06">
      <w:pPr>
        <w:pStyle w:val="TOC2"/>
        <w:tabs>
          <w:tab w:val="left" w:pos="960"/>
          <w:tab w:val="right" w:leader="dot" w:pos="9010"/>
        </w:tabs>
        <w:rPr>
          <w:rFonts w:eastAsiaTheme="minorEastAsia"/>
          <w:noProof/>
          <w:sz w:val="24"/>
          <w:lang w:eastAsia="en-GB"/>
        </w:rPr>
      </w:pPr>
      <w:hyperlink w:anchor="_Toc41370569" w:history="1">
        <w:r w:rsidR="00917FE1" w:rsidRPr="00DC1FD2">
          <w:rPr>
            <w:rStyle w:val="Hyperlink"/>
            <w:noProof/>
            <w:lang w:val="en-GB"/>
          </w:rPr>
          <w:t>8.5</w:t>
        </w:r>
        <w:r w:rsidR="00917FE1">
          <w:rPr>
            <w:rFonts w:eastAsiaTheme="minorEastAsia"/>
            <w:noProof/>
            <w:sz w:val="24"/>
            <w:lang w:eastAsia="en-GB"/>
          </w:rPr>
          <w:tab/>
        </w:r>
        <w:r w:rsidR="00917FE1" w:rsidRPr="00DC1FD2">
          <w:rPr>
            <w:rStyle w:val="Hyperlink"/>
            <w:noProof/>
            <w:lang w:val="en-GB"/>
          </w:rPr>
          <w:t>SO5: To strengthen partnerships and establish a network of relevant stakeholders for surveillance, prevention, screening, diagnosis, management and care of NCDs.</w:t>
        </w:r>
        <w:r w:rsidR="00917FE1">
          <w:rPr>
            <w:noProof/>
            <w:webHidden/>
          </w:rPr>
          <w:tab/>
        </w:r>
        <w:r w:rsidR="00917FE1">
          <w:rPr>
            <w:noProof/>
            <w:webHidden/>
          </w:rPr>
          <w:fldChar w:fldCharType="begin"/>
        </w:r>
        <w:r w:rsidR="00917FE1">
          <w:rPr>
            <w:noProof/>
            <w:webHidden/>
          </w:rPr>
          <w:instrText xml:space="preserve"> PAGEREF _Toc41370569 \h </w:instrText>
        </w:r>
        <w:r w:rsidR="00917FE1">
          <w:rPr>
            <w:noProof/>
            <w:webHidden/>
          </w:rPr>
        </w:r>
        <w:r w:rsidR="00917FE1">
          <w:rPr>
            <w:noProof/>
            <w:webHidden/>
          </w:rPr>
          <w:fldChar w:fldCharType="separate"/>
        </w:r>
        <w:r w:rsidR="00CB360C">
          <w:rPr>
            <w:noProof/>
            <w:webHidden/>
          </w:rPr>
          <w:t>49</w:t>
        </w:r>
        <w:r w:rsidR="00917FE1">
          <w:rPr>
            <w:noProof/>
            <w:webHidden/>
          </w:rPr>
          <w:fldChar w:fldCharType="end"/>
        </w:r>
      </w:hyperlink>
    </w:p>
    <w:p w14:paraId="3E6C0948" w14:textId="405EE1E1" w:rsidR="00917FE1" w:rsidRDefault="00504B06">
      <w:pPr>
        <w:pStyle w:val="TOC2"/>
        <w:tabs>
          <w:tab w:val="left" w:pos="960"/>
          <w:tab w:val="right" w:leader="dot" w:pos="9010"/>
        </w:tabs>
        <w:rPr>
          <w:rFonts w:eastAsiaTheme="minorEastAsia"/>
          <w:noProof/>
          <w:sz w:val="24"/>
          <w:lang w:eastAsia="en-GB"/>
        </w:rPr>
      </w:pPr>
      <w:hyperlink w:anchor="_Toc41370570" w:history="1">
        <w:r w:rsidR="00917FE1" w:rsidRPr="00DC1FD2">
          <w:rPr>
            <w:rStyle w:val="Hyperlink"/>
            <w:noProof/>
            <w:lang w:val="en-GB"/>
          </w:rPr>
          <w:t>8.6</w:t>
        </w:r>
        <w:r w:rsidR="00917FE1">
          <w:rPr>
            <w:rFonts w:eastAsiaTheme="minorEastAsia"/>
            <w:noProof/>
            <w:sz w:val="24"/>
            <w:lang w:eastAsia="en-GB"/>
          </w:rPr>
          <w:tab/>
        </w:r>
        <w:r w:rsidR="00917FE1" w:rsidRPr="00DC1FD2">
          <w:rPr>
            <w:rStyle w:val="Hyperlink"/>
            <w:noProof/>
            <w:lang w:val="en-GB"/>
          </w:rPr>
          <w:t>SO6: To establish systems for monitoring and evaluation (including research and surveillance) to provide evidence for decision making and to assess effectiveness of promotion, prevention and control measures for NCDs at all levels of the healthcare system</w:t>
        </w:r>
        <w:r w:rsidR="00917FE1">
          <w:rPr>
            <w:noProof/>
            <w:webHidden/>
          </w:rPr>
          <w:tab/>
        </w:r>
        <w:r w:rsidR="00917FE1">
          <w:rPr>
            <w:noProof/>
            <w:webHidden/>
          </w:rPr>
          <w:fldChar w:fldCharType="begin"/>
        </w:r>
        <w:r w:rsidR="00917FE1">
          <w:rPr>
            <w:noProof/>
            <w:webHidden/>
          </w:rPr>
          <w:instrText xml:space="preserve"> PAGEREF _Toc41370570 \h </w:instrText>
        </w:r>
        <w:r w:rsidR="00917FE1">
          <w:rPr>
            <w:noProof/>
            <w:webHidden/>
          </w:rPr>
        </w:r>
        <w:r w:rsidR="00917FE1">
          <w:rPr>
            <w:noProof/>
            <w:webHidden/>
          </w:rPr>
          <w:fldChar w:fldCharType="separate"/>
        </w:r>
        <w:r w:rsidR="00CB360C">
          <w:rPr>
            <w:noProof/>
            <w:webHidden/>
          </w:rPr>
          <w:t>50</w:t>
        </w:r>
        <w:r w:rsidR="00917FE1">
          <w:rPr>
            <w:noProof/>
            <w:webHidden/>
          </w:rPr>
          <w:fldChar w:fldCharType="end"/>
        </w:r>
      </w:hyperlink>
    </w:p>
    <w:p w14:paraId="51ACED44" w14:textId="5B34E9AB" w:rsidR="00917FE1" w:rsidRDefault="00504B06">
      <w:pPr>
        <w:pStyle w:val="TOC1"/>
        <w:tabs>
          <w:tab w:val="left" w:pos="480"/>
          <w:tab w:val="right" w:leader="dot" w:pos="9010"/>
        </w:tabs>
        <w:rPr>
          <w:rFonts w:eastAsiaTheme="minorEastAsia"/>
          <w:noProof/>
          <w:sz w:val="24"/>
          <w:lang w:eastAsia="en-GB"/>
        </w:rPr>
      </w:pPr>
      <w:hyperlink w:anchor="_Toc41370571" w:history="1">
        <w:r w:rsidR="00917FE1" w:rsidRPr="00DC1FD2">
          <w:rPr>
            <w:rStyle w:val="Hyperlink"/>
            <w:noProof/>
            <w:lang w:val="en-GB"/>
          </w:rPr>
          <w:t>9</w:t>
        </w:r>
        <w:r w:rsidR="00917FE1">
          <w:rPr>
            <w:rFonts w:eastAsiaTheme="minorEastAsia"/>
            <w:noProof/>
            <w:sz w:val="24"/>
            <w:lang w:eastAsia="en-GB"/>
          </w:rPr>
          <w:tab/>
        </w:r>
        <w:r w:rsidR="00917FE1" w:rsidRPr="00DC1FD2">
          <w:rPr>
            <w:rStyle w:val="Hyperlink"/>
            <w:noProof/>
            <w:lang w:val="en-GB"/>
          </w:rPr>
          <w:t>Indicative budget by Strategic Objective</w:t>
        </w:r>
        <w:r w:rsidR="00917FE1">
          <w:rPr>
            <w:noProof/>
            <w:webHidden/>
          </w:rPr>
          <w:tab/>
        </w:r>
        <w:r w:rsidR="00917FE1">
          <w:rPr>
            <w:noProof/>
            <w:webHidden/>
          </w:rPr>
          <w:fldChar w:fldCharType="begin"/>
        </w:r>
        <w:r w:rsidR="00917FE1">
          <w:rPr>
            <w:noProof/>
            <w:webHidden/>
          </w:rPr>
          <w:instrText xml:space="preserve"> PAGEREF _Toc41370571 \h </w:instrText>
        </w:r>
        <w:r w:rsidR="00917FE1">
          <w:rPr>
            <w:noProof/>
            <w:webHidden/>
          </w:rPr>
        </w:r>
        <w:r w:rsidR="00917FE1">
          <w:rPr>
            <w:noProof/>
            <w:webHidden/>
          </w:rPr>
          <w:fldChar w:fldCharType="separate"/>
        </w:r>
        <w:r w:rsidR="00CB360C">
          <w:rPr>
            <w:noProof/>
            <w:webHidden/>
          </w:rPr>
          <w:t>52</w:t>
        </w:r>
        <w:r w:rsidR="00917FE1">
          <w:rPr>
            <w:noProof/>
            <w:webHidden/>
          </w:rPr>
          <w:fldChar w:fldCharType="end"/>
        </w:r>
      </w:hyperlink>
    </w:p>
    <w:p w14:paraId="721728EF" w14:textId="32EAE6F2" w:rsidR="00917FE1" w:rsidRDefault="00504B06">
      <w:pPr>
        <w:pStyle w:val="TOC1"/>
        <w:tabs>
          <w:tab w:val="left" w:pos="480"/>
          <w:tab w:val="right" w:leader="dot" w:pos="9010"/>
        </w:tabs>
        <w:rPr>
          <w:rFonts w:eastAsiaTheme="minorEastAsia"/>
          <w:noProof/>
          <w:sz w:val="24"/>
          <w:lang w:eastAsia="en-GB"/>
        </w:rPr>
      </w:pPr>
      <w:hyperlink w:anchor="_Toc41370572" w:history="1">
        <w:r w:rsidR="00917FE1" w:rsidRPr="00DC1FD2">
          <w:rPr>
            <w:rStyle w:val="Hyperlink"/>
            <w:noProof/>
            <w:lang w:val="en-GB"/>
          </w:rPr>
          <w:t>10</w:t>
        </w:r>
        <w:r w:rsidR="00917FE1">
          <w:rPr>
            <w:rFonts w:eastAsiaTheme="minorEastAsia"/>
            <w:noProof/>
            <w:sz w:val="24"/>
            <w:lang w:eastAsia="en-GB"/>
          </w:rPr>
          <w:tab/>
        </w:r>
        <w:r w:rsidR="00917FE1" w:rsidRPr="00DC1FD2">
          <w:rPr>
            <w:rStyle w:val="Hyperlink"/>
            <w:noProof/>
            <w:lang w:val="en-GB"/>
          </w:rPr>
          <w:t>Proposed M&amp;E Framework</w:t>
        </w:r>
        <w:r w:rsidR="00917FE1">
          <w:rPr>
            <w:noProof/>
            <w:webHidden/>
          </w:rPr>
          <w:tab/>
        </w:r>
        <w:r w:rsidR="00917FE1">
          <w:rPr>
            <w:noProof/>
            <w:webHidden/>
          </w:rPr>
          <w:fldChar w:fldCharType="begin"/>
        </w:r>
        <w:r w:rsidR="00917FE1">
          <w:rPr>
            <w:noProof/>
            <w:webHidden/>
          </w:rPr>
          <w:instrText xml:space="preserve"> PAGEREF _Toc41370572 \h </w:instrText>
        </w:r>
        <w:r w:rsidR="00917FE1">
          <w:rPr>
            <w:noProof/>
            <w:webHidden/>
          </w:rPr>
        </w:r>
        <w:r w:rsidR="00917FE1">
          <w:rPr>
            <w:noProof/>
            <w:webHidden/>
          </w:rPr>
          <w:fldChar w:fldCharType="separate"/>
        </w:r>
        <w:r w:rsidR="00CB360C">
          <w:rPr>
            <w:noProof/>
            <w:webHidden/>
          </w:rPr>
          <w:t>52</w:t>
        </w:r>
        <w:r w:rsidR="00917FE1">
          <w:rPr>
            <w:noProof/>
            <w:webHidden/>
          </w:rPr>
          <w:fldChar w:fldCharType="end"/>
        </w:r>
      </w:hyperlink>
    </w:p>
    <w:p w14:paraId="7D8A53DA" w14:textId="42672C82" w:rsidR="00917FE1" w:rsidRDefault="00504B06">
      <w:pPr>
        <w:pStyle w:val="TOC1"/>
        <w:tabs>
          <w:tab w:val="right" w:leader="dot" w:pos="9010"/>
        </w:tabs>
        <w:rPr>
          <w:rFonts w:eastAsiaTheme="minorEastAsia"/>
          <w:noProof/>
          <w:sz w:val="24"/>
          <w:lang w:eastAsia="en-GB"/>
        </w:rPr>
      </w:pPr>
      <w:hyperlink w:anchor="_Toc41370573" w:history="1">
        <w:r w:rsidR="00917FE1" w:rsidRPr="00DC1FD2">
          <w:rPr>
            <w:rStyle w:val="Hyperlink"/>
            <w:noProof/>
            <w:lang w:val="en-GB"/>
          </w:rPr>
          <w:t>Annex 1:  Country Health System</w:t>
        </w:r>
        <w:r w:rsidR="00917FE1">
          <w:rPr>
            <w:noProof/>
            <w:webHidden/>
          </w:rPr>
          <w:tab/>
        </w:r>
        <w:r w:rsidR="00917FE1">
          <w:rPr>
            <w:noProof/>
            <w:webHidden/>
          </w:rPr>
          <w:fldChar w:fldCharType="begin"/>
        </w:r>
        <w:r w:rsidR="00917FE1">
          <w:rPr>
            <w:noProof/>
            <w:webHidden/>
          </w:rPr>
          <w:instrText xml:space="preserve"> PAGEREF _Toc41370573 \h </w:instrText>
        </w:r>
        <w:r w:rsidR="00917FE1">
          <w:rPr>
            <w:noProof/>
            <w:webHidden/>
          </w:rPr>
        </w:r>
        <w:r w:rsidR="00917FE1">
          <w:rPr>
            <w:noProof/>
            <w:webHidden/>
          </w:rPr>
          <w:fldChar w:fldCharType="separate"/>
        </w:r>
        <w:r w:rsidR="00CB360C">
          <w:rPr>
            <w:noProof/>
            <w:webHidden/>
          </w:rPr>
          <w:t>60</w:t>
        </w:r>
        <w:r w:rsidR="00917FE1">
          <w:rPr>
            <w:noProof/>
            <w:webHidden/>
          </w:rPr>
          <w:fldChar w:fldCharType="end"/>
        </w:r>
      </w:hyperlink>
    </w:p>
    <w:p w14:paraId="3EBFDC4A" w14:textId="62C7A36B" w:rsidR="00917FE1" w:rsidRDefault="00504B06">
      <w:pPr>
        <w:pStyle w:val="TOC1"/>
        <w:tabs>
          <w:tab w:val="right" w:leader="dot" w:pos="9010"/>
        </w:tabs>
        <w:rPr>
          <w:rFonts w:eastAsiaTheme="minorEastAsia"/>
          <w:noProof/>
          <w:sz w:val="24"/>
          <w:lang w:eastAsia="en-GB"/>
        </w:rPr>
      </w:pPr>
      <w:hyperlink w:anchor="_Toc41370574" w:history="1">
        <w:r w:rsidR="00917FE1" w:rsidRPr="00DC1FD2">
          <w:rPr>
            <w:rStyle w:val="Hyperlink"/>
            <w:noProof/>
            <w:lang w:val="en-GB"/>
          </w:rPr>
          <w:t>Annex 2:  NCD status in Sierra Leone</w:t>
        </w:r>
        <w:r w:rsidR="00917FE1">
          <w:rPr>
            <w:noProof/>
            <w:webHidden/>
          </w:rPr>
          <w:tab/>
        </w:r>
        <w:r w:rsidR="00917FE1">
          <w:rPr>
            <w:noProof/>
            <w:webHidden/>
          </w:rPr>
          <w:fldChar w:fldCharType="begin"/>
        </w:r>
        <w:r w:rsidR="00917FE1">
          <w:rPr>
            <w:noProof/>
            <w:webHidden/>
          </w:rPr>
          <w:instrText xml:space="preserve"> PAGEREF _Toc41370574 \h </w:instrText>
        </w:r>
        <w:r w:rsidR="00917FE1">
          <w:rPr>
            <w:noProof/>
            <w:webHidden/>
          </w:rPr>
        </w:r>
        <w:r w:rsidR="00917FE1">
          <w:rPr>
            <w:noProof/>
            <w:webHidden/>
          </w:rPr>
          <w:fldChar w:fldCharType="separate"/>
        </w:r>
        <w:r w:rsidR="00CB360C">
          <w:rPr>
            <w:noProof/>
            <w:webHidden/>
          </w:rPr>
          <w:t>64</w:t>
        </w:r>
        <w:r w:rsidR="00917FE1">
          <w:rPr>
            <w:noProof/>
            <w:webHidden/>
          </w:rPr>
          <w:fldChar w:fldCharType="end"/>
        </w:r>
      </w:hyperlink>
    </w:p>
    <w:p w14:paraId="6172D3BB" w14:textId="4F929268" w:rsidR="00917FE1" w:rsidRDefault="00504B06">
      <w:pPr>
        <w:pStyle w:val="TOC1"/>
        <w:tabs>
          <w:tab w:val="right" w:leader="dot" w:pos="9010"/>
        </w:tabs>
        <w:rPr>
          <w:rFonts w:eastAsiaTheme="minorEastAsia"/>
          <w:noProof/>
          <w:sz w:val="24"/>
          <w:lang w:eastAsia="en-GB"/>
        </w:rPr>
      </w:pPr>
      <w:hyperlink w:anchor="_Toc41370575" w:history="1">
        <w:r w:rsidR="00917FE1" w:rsidRPr="00DC1FD2">
          <w:rPr>
            <w:rStyle w:val="Hyperlink"/>
            <w:noProof/>
            <w:lang w:val="en-GB"/>
          </w:rPr>
          <w:t>Annex 3:  NCD Risk Factors in Sierra Leone</w:t>
        </w:r>
        <w:r w:rsidR="00917FE1">
          <w:rPr>
            <w:noProof/>
            <w:webHidden/>
          </w:rPr>
          <w:tab/>
        </w:r>
        <w:r w:rsidR="00917FE1">
          <w:rPr>
            <w:noProof/>
            <w:webHidden/>
          </w:rPr>
          <w:fldChar w:fldCharType="begin"/>
        </w:r>
        <w:r w:rsidR="00917FE1">
          <w:rPr>
            <w:noProof/>
            <w:webHidden/>
          </w:rPr>
          <w:instrText xml:space="preserve"> PAGEREF _Toc41370575 \h </w:instrText>
        </w:r>
        <w:r w:rsidR="00917FE1">
          <w:rPr>
            <w:noProof/>
            <w:webHidden/>
          </w:rPr>
        </w:r>
        <w:r w:rsidR="00917FE1">
          <w:rPr>
            <w:noProof/>
            <w:webHidden/>
          </w:rPr>
          <w:fldChar w:fldCharType="separate"/>
        </w:r>
        <w:r w:rsidR="00CB360C">
          <w:rPr>
            <w:noProof/>
            <w:webHidden/>
          </w:rPr>
          <w:t>70</w:t>
        </w:r>
        <w:r w:rsidR="00917FE1">
          <w:rPr>
            <w:noProof/>
            <w:webHidden/>
          </w:rPr>
          <w:fldChar w:fldCharType="end"/>
        </w:r>
      </w:hyperlink>
    </w:p>
    <w:p w14:paraId="0D318667" w14:textId="4B3ED585" w:rsidR="00917FE1" w:rsidRDefault="00504B06">
      <w:pPr>
        <w:pStyle w:val="TOC1"/>
        <w:tabs>
          <w:tab w:val="right" w:leader="dot" w:pos="9010"/>
        </w:tabs>
        <w:rPr>
          <w:rFonts w:eastAsiaTheme="minorEastAsia"/>
          <w:noProof/>
          <w:sz w:val="24"/>
          <w:lang w:eastAsia="en-GB"/>
        </w:rPr>
      </w:pPr>
      <w:hyperlink w:anchor="_Toc41370576" w:history="1">
        <w:r w:rsidR="00917FE1" w:rsidRPr="00DC1FD2">
          <w:rPr>
            <w:rStyle w:val="Hyperlink"/>
            <w:noProof/>
            <w:lang w:val="en-GB"/>
          </w:rPr>
          <w:t>Annex 4:  NCD Programs and supporters / implementers in Sierra Leone</w:t>
        </w:r>
        <w:r w:rsidR="00917FE1">
          <w:rPr>
            <w:noProof/>
            <w:webHidden/>
          </w:rPr>
          <w:tab/>
        </w:r>
        <w:r w:rsidR="00917FE1">
          <w:rPr>
            <w:noProof/>
            <w:webHidden/>
          </w:rPr>
          <w:fldChar w:fldCharType="begin"/>
        </w:r>
        <w:r w:rsidR="00917FE1">
          <w:rPr>
            <w:noProof/>
            <w:webHidden/>
          </w:rPr>
          <w:instrText xml:space="preserve"> PAGEREF _Toc41370576 \h </w:instrText>
        </w:r>
        <w:r w:rsidR="00917FE1">
          <w:rPr>
            <w:noProof/>
            <w:webHidden/>
          </w:rPr>
        </w:r>
        <w:r w:rsidR="00917FE1">
          <w:rPr>
            <w:noProof/>
            <w:webHidden/>
          </w:rPr>
          <w:fldChar w:fldCharType="separate"/>
        </w:r>
        <w:r w:rsidR="00CB360C">
          <w:rPr>
            <w:noProof/>
            <w:webHidden/>
          </w:rPr>
          <w:t>75</w:t>
        </w:r>
        <w:r w:rsidR="00917FE1">
          <w:rPr>
            <w:noProof/>
            <w:webHidden/>
          </w:rPr>
          <w:fldChar w:fldCharType="end"/>
        </w:r>
      </w:hyperlink>
    </w:p>
    <w:p w14:paraId="3FFDCC40" w14:textId="35B7BB69" w:rsidR="00917FE1" w:rsidRDefault="00504B06">
      <w:pPr>
        <w:pStyle w:val="TOC1"/>
        <w:tabs>
          <w:tab w:val="right" w:leader="dot" w:pos="9010"/>
        </w:tabs>
        <w:rPr>
          <w:rFonts w:eastAsiaTheme="minorEastAsia"/>
          <w:noProof/>
          <w:sz w:val="24"/>
          <w:lang w:eastAsia="en-GB"/>
        </w:rPr>
      </w:pPr>
      <w:hyperlink w:anchor="_Toc41370577" w:history="1">
        <w:r w:rsidR="00917FE1" w:rsidRPr="00DC1FD2">
          <w:rPr>
            <w:rStyle w:val="Hyperlink"/>
            <w:noProof/>
            <w:lang w:val="en-GB"/>
          </w:rPr>
          <w:t>Annex 5:  Proposed M&amp;E framework - Indicator definitions and calculations</w:t>
        </w:r>
        <w:r w:rsidR="00917FE1">
          <w:rPr>
            <w:noProof/>
            <w:webHidden/>
          </w:rPr>
          <w:tab/>
        </w:r>
        <w:r w:rsidR="00917FE1">
          <w:rPr>
            <w:noProof/>
            <w:webHidden/>
          </w:rPr>
          <w:fldChar w:fldCharType="begin"/>
        </w:r>
        <w:r w:rsidR="00917FE1">
          <w:rPr>
            <w:noProof/>
            <w:webHidden/>
          </w:rPr>
          <w:instrText xml:space="preserve"> PAGEREF _Toc41370577 \h </w:instrText>
        </w:r>
        <w:r w:rsidR="00917FE1">
          <w:rPr>
            <w:noProof/>
            <w:webHidden/>
          </w:rPr>
        </w:r>
        <w:r w:rsidR="00917FE1">
          <w:rPr>
            <w:noProof/>
            <w:webHidden/>
          </w:rPr>
          <w:fldChar w:fldCharType="separate"/>
        </w:r>
        <w:r w:rsidR="00CB360C">
          <w:rPr>
            <w:noProof/>
            <w:webHidden/>
          </w:rPr>
          <w:t>77</w:t>
        </w:r>
        <w:r w:rsidR="00917FE1">
          <w:rPr>
            <w:noProof/>
            <w:webHidden/>
          </w:rPr>
          <w:fldChar w:fldCharType="end"/>
        </w:r>
      </w:hyperlink>
    </w:p>
    <w:p w14:paraId="06917AE3" w14:textId="0AD83FA7" w:rsidR="00917FE1" w:rsidRDefault="00504B06">
      <w:pPr>
        <w:pStyle w:val="TOC1"/>
        <w:tabs>
          <w:tab w:val="right" w:leader="dot" w:pos="9010"/>
        </w:tabs>
        <w:rPr>
          <w:rFonts w:eastAsiaTheme="minorEastAsia"/>
          <w:noProof/>
          <w:sz w:val="24"/>
          <w:lang w:eastAsia="en-GB"/>
        </w:rPr>
      </w:pPr>
      <w:hyperlink w:anchor="_Toc41370578" w:history="1">
        <w:r w:rsidR="00917FE1" w:rsidRPr="00DC1FD2">
          <w:rPr>
            <w:rStyle w:val="Hyperlink"/>
            <w:noProof/>
            <w:lang w:val="en-GB"/>
          </w:rPr>
          <w:t>Annex 6: References and notes</w:t>
        </w:r>
        <w:r w:rsidR="00917FE1">
          <w:rPr>
            <w:noProof/>
            <w:webHidden/>
          </w:rPr>
          <w:tab/>
        </w:r>
        <w:r w:rsidR="00917FE1">
          <w:rPr>
            <w:noProof/>
            <w:webHidden/>
          </w:rPr>
          <w:fldChar w:fldCharType="begin"/>
        </w:r>
        <w:r w:rsidR="00917FE1">
          <w:rPr>
            <w:noProof/>
            <w:webHidden/>
          </w:rPr>
          <w:instrText xml:space="preserve"> PAGEREF _Toc41370578 \h </w:instrText>
        </w:r>
        <w:r w:rsidR="00917FE1">
          <w:rPr>
            <w:noProof/>
            <w:webHidden/>
          </w:rPr>
        </w:r>
        <w:r w:rsidR="00917FE1">
          <w:rPr>
            <w:noProof/>
            <w:webHidden/>
          </w:rPr>
          <w:fldChar w:fldCharType="separate"/>
        </w:r>
        <w:r w:rsidR="00CB360C">
          <w:rPr>
            <w:noProof/>
            <w:webHidden/>
          </w:rPr>
          <w:t>85</w:t>
        </w:r>
        <w:r w:rsidR="00917FE1">
          <w:rPr>
            <w:noProof/>
            <w:webHidden/>
          </w:rPr>
          <w:fldChar w:fldCharType="end"/>
        </w:r>
      </w:hyperlink>
    </w:p>
    <w:p w14:paraId="70F7AC99" w14:textId="77777777" w:rsidR="00917FE1" w:rsidRDefault="00282C4D" w:rsidP="00F0634E">
      <w:pPr>
        <w:rPr>
          <w:szCs w:val="21"/>
          <w:lang w:val="en-GB"/>
        </w:rPr>
      </w:pPr>
      <w:r w:rsidRPr="005505BF">
        <w:rPr>
          <w:szCs w:val="21"/>
          <w:lang w:val="en-GB"/>
        </w:rPr>
        <w:fldChar w:fldCharType="end"/>
      </w:r>
    </w:p>
    <w:p w14:paraId="73E8A9FF" w14:textId="2FA8920C" w:rsidR="00F0634E" w:rsidRPr="00F0634E" w:rsidRDefault="005505BF" w:rsidP="00F0634E">
      <w:pPr>
        <w:rPr>
          <w:noProof/>
          <w:sz w:val="24"/>
        </w:rPr>
      </w:pPr>
      <w:r w:rsidRPr="00F0634E">
        <w:rPr>
          <w:color w:val="4472C4" w:themeColor="accent1"/>
          <w:sz w:val="24"/>
          <w:lang w:val="en-GB"/>
        </w:rPr>
        <w:t>List of Figures</w:t>
      </w:r>
      <w:r>
        <w:rPr>
          <w:sz w:val="24"/>
          <w:lang w:val="en-GB"/>
        </w:rPr>
        <w:fldChar w:fldCharType="begin"/>
      </w:r>
      <w:r w:rsidRPr="00F0634E">
        <w:rPr>
          <w:sz w:val="24"/>
          <w:lang w:val="en-GB"/>
        </w:rPr>
        <w:instrText xml:space="preserve"> TOC \h \z \c "Figure" </w:instrText>
      </w:r>
      <w:r>
        <w:rPr>
          <w:sz w:val="24"/>
          <w:lang w:val="en-GB"/>
        </w:rPr>
        <w:fldChar w:fldCharType="separate"/>
      </w:r>
    </w:p>
    <w:p w14:paraId="3FCE7F84" w14:textId="3CE8E387" w:rsidR="00F0634E" w:rsidRDefault="00504B06" w:rsidP="00F0634E">
      <w:pPr>
        <w:rPr>
          <w:rFonts w:eastAsiaTheme="minorEastAsia"/>
          <w:noProof/>
          <w:sz w:val="24"/>
          <w:lang w:eastAsia="en-GB"/>
        </w:rPr>
      </w:pPr>
      <w:hyperlink w:anchor="_Toc34804972" w:history="1">
        <w:r w:rsidR="00F0634E" w:rsidRPr="00093FC3">
          <w:rPr>
            <w:rStyle w:val="Hyperlink"/>
            <w:noProof/>
            <w:lang w:val="en-GB"/>
          </w:rPr>
          <w:t xml:space="preserve">Figure 1: Poverty contributes to NCDs and NCDs contribute to poverty. (source WHO, 2011 </w:t>
        </w:r>
        <w:r w:rsidR="00F0634E" w:rsidRPr="00093FC3">
          <w:rPr>
            <w:rStyle w:val="Hyperlink"/>
            <w:noProof/>
            <w:vertAlign w:val="superscript"/>
            <w:lang w:val="en-GB"/>
          </w:rPr>
          <w:t>16</w:t>
        </w:r>
        <w:r w:rsidR="00F0634E" w:rsidRPr="00093FC3">
          <w:rPr>
            <w:rStyle w:val="Hyperlink"/>
            <w:noProof/>
            <w:lang w:val="en-GB"/>
          </w:rPr>
          <w:t>)</w:t>
        </w:r>
        <w:r w:rsidR="00F0634E">
          <w:rPr>
            <w:noProof/>
            <w:webHidden/>
          </w:rPr>
          <w:tab/>
        </w:r>
        <w:r w:rsidR="00F0634E">
          <w:rPr>
            <w:noProof/>
            <w:webHidden/>
          </w:rPr>
          <w:fldChar w:fldCharType="begin"/>
        </w:r>
        <w:r w:rsidR="00F0634E">
          <w:rPr>
            <w:noProof/>
            <w:webHidden/>
          </w:rPr>
          <w:instrText xml:space="preserve"> PAGEREF _Toc34804972 \h </w:instrText>
        </w:r>
        <w:r w:rsidR="00F0634E">
          <w:rPr>
            <w:noProof/>
            <w:webHidden/>
          </w:rPr>
        </w:r>
        <w:r w:rsidR="00F0634E">
          <w:rPr>
            <w:noProof/>
            <w:webHidden/>
          </w:rPr>
          <w:fldChar w:fldCharType="separate"/>
        </w:r>
        <w:r w:rsidR="00CB360C">
          <w:rPr>
            <w:noProof/>
            <w:webHidden/>
          </w:rPr>
          <w:t>19</w:t>
        </w:r>
        <w:r w:rsidR="00F0634E">
          <w:rPr>
            <w:noProof/>
            <w:webHidden/>
          </w:rPr>
          <w:fldChar w:fldCharType="end"/>
        </w:r>
      </w:hyperlink>
    </w:p>
    <w:p w14:paraId="6FFEC9BC" w14:textId="7DB07960" w:rsidR="00F0634E" w:rsidRDefault="00504B06" w:rsidP="00F0634E">
      <w:pPr>
        <w:rPr>
          <w:rFonts w:eastAsiaTheme="minorEastAsia"/>
          <w:noProof/>
          <w:sz w:val="24"/>
          <w:lang w:eastAsia="en-GB"/>
        </w:rPr>
      </w:pPr>
      <w:hyperlink r:id="rId11" w:anchor="_Toc34804973" w:history="1">
        <w:r w:rsidR="00F0634E" w:rsidRPr="00093FC3">
          <w:rPr>
            <w:rStyle w:val="Hyperlink"/>
            <w:noProof/>
          </w:rPr>
          <w:t>Figure 2: NCDs in the Sustainable Development Goals (SDGs)</w:t>
        </w:r>
        <w:r w:rsidR="00F0634E">
          <w:rPr>
            <w:noProof/>
            <w:webHidden/>
          </w:rPr>
          <w:tab/>
        </w:r>
        <w:r w:rsidR="00F0634E">
          <w:rPr>
            <w:noProof/>
            <w:webHidden/>
          </w:rPr>
          <w:fldChar w:fldCharType="begin"/>
        </w:r>
        <w:r w:rsidR="00F0634E">
          <w:rPr>
            <w:noProof/>
            <w:webHidden/>
          </w:rPr>
          <w:instrText xml:space="preserve"> PAGEREF _Toc34804973 \h </w:instrText>
        </w:r>
        <w:r w:rsidR="00F0634E">
          <w:rPr>
            <w:noProof/>
            <w:webHidden/>
          </w:rPr>
        </w:r>
        <w:r w:rsidR="00F0634E">
          <w:rPr>
            <w:noProof/>
            <w:webHidden/>
          </w:rPr>
          <w:fldChar w:fldCharType="separate"/>
        </w:r>
        <w:r w:rsidR="00CB360C">
          <w:rPr>
            <w:noProof/>
            <w:webHidden/>
          </w:rPr>
          <w:t>19</w:t>
        </w:r>
        <w:r w:rsidR="00F0634E">
          <w:rPr>
            <w:noProof/>
            <w:webHidden/>
          </w:rPr>
          <w:fldChar w:fldCharType="end"/>
        </w:r>
      </w:hyperlink>
    </w:p>
    <w:p w14:paraId="1C8E28E3" w14:textId="436DD676" w:rsidR="00F0634E" w:rsidRDefault="00504B06" w:rsidP="00F0634E">
      <w:pPr>
        <w:rPr>
          <w:rFonts w:eastAsiaTheme="minorEastAsia"/>
          <w:noProof/>
          <w:sz w:val="24"/>
          <w:lang w:eastAsia="en-GB"/>
        </w:rPr>
      </w:pPr>
      <w:hyperlink r:id="rId12" w:anchor="_Toc34804974" w:history="1">
        <w:r w:rsidR="00F0634E" w:rsidRPr="00093FC3">
          <w:rPr>
            <w:rStyle w:val="Hyperlink"/>
            <w:noProof/>
          </w:rPr>
          <w:t>Figure 3: Global Voluntary Targets for NCD, 2013</w:t>
        </w:r>
        <w:r w:rsidR="00F0634E">
          <w:rPr>
            <w:noProof/>
            <w:webHidden/>
          </w:rPr>
          <w:tab/>
        </w:r>
        <w:r w:rsidR="00F0634E">
          <w:rPr>
            <w:noProof/>
            <w:webHidden/>
          </w:rPr>
          <w:fldChar w:fldCharType="begin"/>
        </w:r>
        <w:r w:rsidR="00F0634E">
          <w:rPr>
            <w:noProof/>
            <w:webHidden/>
          </w:rPr>
          <w:instrText xml:space="preserve"> PAGEREF _Toc34804974 \h </w:instrText>
        </w:r>
        <w:r w:rsidR="00F0634E">
          <w:rPr>
            <w:noProof/>
            <w:webHidden/>
          </w:rPr>
        </w:r>
        <w:r w:rsidR="00F0634E">
          <w:rPr>
            <w:noProof/>
            <w:webHidden/>
          </w:rPr>
          <w:fldChar w:fldCharType="separate"/>
        </w:r>
        <w:r w:rsidR="00CB360C">
          <w:rPr>
            <w:noProof/>
            <w:webHidden/>
          </w:rPr>
          <w:t>19</w:t>
        </w:r>
        <w:r w:rsidR="00F0634E">
          <w:rPr>
            <w:noProof/>
            <w:webHidden/>
          </w:rPr>
          <w:fldChar w:fldCharType="end"/>
        </w:r>
      </w:hyperlink>
    </w:p>
    <w:p w14:paraId="14C33C0C" w14:textId="31A448AA" w:rsidR="00F0634E" w:rsidRDefault="00504B06" w:rsidP="00F0634E">
      <w:pPr>
        <w:rPr>
          <w:rFonts w:eastAsiaTheme="minorEastAsia"/>
          <w:noProof/>
          <w:sz w:val="24"/>
          <w:lang w:eastAsia="en-GB"/>
        </w:rPr>
      </w:pPr>
      <w:hyperlink r:id="rId13" w:anchor="_Toc34804975" w:history="1">
        <w:r w:rsidR="00F0634E" w:rsidRPr="00093FC3">
          <w:rPr>
            <w:rStyle w:val="Hyperlink"/>
            <w:noProof/>
          </w:rPr>
          <w:t>Figure 4: 5x5 NCD Agenda</w:t>
        </w:r>
        <w:r w:rsidR="00F0634E">
          <w:rPr>
            <w:noProof/>
            <w:webHidden/>
          </w:rPr>
          <w:tab/>
        </w:r>
        <w:r w:rsidR="00F0634E">
          <w:rPr>
            <w:noProof/>
            <w:webHidden/>
          </w:rPr>
          <w:fldChar w:fldCharType="begin"/>
        </w:r>
        <w:r w:rsidR="00F0634E">
          <w:rPr>
            <w:noProof/>
            <w:webHidden/>
          </w:rPr>
          <w:instrText xml:space="preserve"> PAGEREF _Toc34804975 \h </w:instrText>
        </w:r>
        <w:r w:rsidR="00F0634E">
          <w:rPr>
            <w:noProof/>
            <w:webHidden/>
          </w:rPr>
        </w:r>
        <w:r w:rsidR="00F0634E">
          <w:rPr>
            <w:noProof/>
            <w:webHidden/>
          </w:rPr>
          <w:fldChar w:fldCharType="separate"/>
        </w:r>
        <w:r w:rsidR="00CB360C">
          <w:rPr>
            <w:noProof/>
            <w:webHidden/>
          </w:rPr>
          <w:t>20</w:t>
        </w:r>
        <w:r w:rsidR="00F0634E">
          <w:rPr>
            <w:noProof/>
            <w:webHidden/>
          </w:rPr>
          <w:fldChar w:fldCharType="end"/>
        </w:r>
      </w:hyperlink>
    </w:p>
    <w:p w14:paraId="20E358F3" w14:textId="23FF28D3" w:rsidR="00F0634E" w:rsidRDefault="00504B06" w:rsidP="00F0634E">
      <w:pPr>
        <w:rPr>
          <w:rFonts w:eastAsiaTheme="minorEastAsia"/>
          <w:noProof/>
          <w:sz w:val="24"/>
          <w:lang w:eastAsia="en-GB"/>
        </w:rPr>
      </w:pPr>
      <w:hyperlink r:id="rId14" w:anchor="_Toc34804976" w:history="1">
        <w:r w:rsidR="00F0634E" w:rsidRPr="00093FC3">
          <w:rPr>
            <w:rStyle w:val="Hyperlink"/>
            <w:noProof/>
          </w:rPr>
          <w:t>Figure 5: Components of WHO PEN (Adapted from 2018 New Delhi training manual)</w:t>
        </w:r>
        <w:r w:rsidR="00F0634E" w:rsidRPr="00093FC3">
          <w:rPr>
            <w:rStyle w:val="Hyperlink"/>
            <w:noProof/>
            <w:vertAlign w:val="superscript"/>
          </w:rPr>
          <w:t>34</w:t>
        </w:r>
        <w:r w:rsidR="00F0634E">
          <w:rPr>
            <w:noProof/>
            <w:webHidden/>
          </w:rPr>
          <w:tab/>
        </w:r>
        <w:r w:rsidR="00F0634E">
          <w:rPr>
            <w:noProof/>
            <w:webHidden/>
          </w:rPr>
          <w:fldChar w:fldCharType="begin"/>
        </w:r>
        <w:r w:rsidR="00F0634E">
          <w:rPr>
            <w:noProof/>
            <w:webHidden/>
          </w:rPr>
          <w:instrText xml:space="preserve"> PAGEREF _Toc34804976 \h </w:instrText>
        </w:r>
        <w:r w:rsidR="00F0634E">
          <w:rPr>
            <w:noProof/>
            <w:webHidden/>
          </w:rPr>
        </w:r>
        <w:r w:rsidR="00F0634E">
          <w:rPr>
            <w:noProof/>
            <w:webHidden/>
          </w:rPr>
          <w:fldChar w:fldCharType="separate"/>
        </w:r>
        <w:r w:rsidR="00CB360C">
          <w:rPr>
            <w:noProof/>
            <w:webHidden/>
          </w:rPr>
          <w:t>21</w:t>
        </w:r>
        <w:r w:rsidR="00F0634E">
          <w:rPr>
            <w:noProof/>
            <w:webHidden/>
          </w:rPr>
          <w:fldChar w:fldCharType="end"/>
        </w:r>
      </w:hyperlink>
    </w:p>
    <w:p w14:paraId="4CD82BC8" w14:textId="0CF3561C" w:rsidR="00F0634E" w:rsidRDefault="00504B06" w:rsidP="00F0634E">
      <w:pPr>
        <w:rPr>
          <w:rFonts w:eastAsiaTheme="minorEastAsia"/>
          <w:noProof/>
          <w:sz w:val="24"/>
          <w:lang w:eastAsia="en-GB"/>
        </w:rPr>
      </w:pPr>
      <w:hyperlink w:anchor="_Toc34804977" w:history="1">
        <w:r w:rsidR="00F0634E" w:rsidRPr="00093FC3">
          <w:rPr>
            <w:rStyle w:val="Hyperlink"/>
            <w:noProof/>
            <w:lang w:val="en-GB"/>
          </w:rPr>
          <w:t>Figure 6: Estimated Sierra Leone Mortality contributions – 2016  Figure 7: Projected premature mortality trends against global voluntary mortality reduction targets, 2016-2025</w:t>
        </w:r>
        <w:r w:rsidR="00F0634E">
          <w:rPr>
            <w:noProof/>
            <w:webHidden/>
          </w:rPr>
          <w:tab/>
        </w:r>
        <w:r w:rsidR="00F0634E">
          <w:rPr>
            <w:noProof/>
            <w:webHidden/>
          </w:rPr>
          <w:fldChar w:fldCharType="begin"/>
        </w:r>
        <w:r w:rsidR="00F0634E">
          <w:rPr>
            <w:noProof/>
            <w:webHidden/>
          </w:rPr>
          <w:instrText xml:space="preserve"> PAGEREF _Toc34804977 \h </w:instrText>
        </w:r>
        <w:r w:rsidR="00F0634E">
          <w:rPr>
            <w:noProof/>
            <w:webHidden/>
          </w:rPr>
        </w:r>
        <w:r w:rsidR="00F0634E">
          <w:rPr>
            <w:noProof/>
            <w:webHidden/>
          </w:rPr>
          <w:fldChar w:fldCharType="separate"/>
        </w:r>
        <w:r w:rsidR="00CB360C">
          <w:rPr>
            <w:noProof/>
            <w:webHidden/>
          </w:rPr>
          <w:t>22</w:t>
        </w:r>
        <w:r w:rsidR="00F0634E">
          <w:rPr>
            <w:noProof/>
            <w:webHidden/>
          </w:rPr>
          <w:fldChar w:fldCharType="end"/>
        </w:r>
      </w:hyperlink>
    </w:p>
    <w:p w14:paraId="1C1478C4" w14:textId="6C8BB7B8" w:rsidR="00F0634E" w:rsidRDefault="00504B06" w:rsidP="00F0634E">
      <w:pPr>
        <w:rPr>
          <w:rFonts w:eastAsiaTheme="minorEastAsia"/>
          <w:noProof/>
          <w:sz w:val="24"/>
          <w:lang w:eastAsia="en-GB"/>
        </w:rPr>
      </w:pPr>
      <w:hyperlink w:anchor="_Toc34804978" w:history="1">
        <w:r w:rsidR="00F0634E" w:rsidRPr="00093FC3">
          <w:rPr>
            <w:rStyle w:val="Hyperlink"/>
            <w:noProof/>
            <w:lang w:val="en-GB"/>
          </w:rPr>
          <w:t>Figure 8: Estimated Sierra Leone Mortality contributions – 2016  Figure 9: Projected premature mortality trends against global voluntary mortality reduction targets, 2016-2025</w:t>
        </w:r>
        <w:r w:rsidR="00F0634E">
          <w:rPr>
            <w:noProof/>
            <w:webHidden/>
          </w:rPr>
          <w:tab/>
        </w:r>
        <w:r w:rsidR="00F0634E">
          <w:rPr>
            <w:noProof/>
            <w:webHidden/>
          </w:rPr>
          <w:fldChar w:fldCharType="begin"/>
        </w:r>
        <w:r w:rsidR="00F0634E">
          <w:rPr>
            <w:noProof/>
            <w:webHidden/>
          </w:rPr>
          <w:instrText xml:space="preserve"> PAGEREF _Toc34804978 \h </w:instrText>
        </w:r>
        <w:r w:rsidR="00F0634E">
          <w:rPr>
            <w:noProof/>
            <w:webHidden/>
          </w:rPr>
        </w:r>
        <w:r w:rsidR="00F0634E">
          <w:rPr>
            <w:noProof/>
            <w:webHidden/>
          </w:rPr>
          <w:fldChar w:fldCharType="separate"/>
        </w:r>
        <w:r w:rsidR="00CB360C">
          <w:rPr>
            <w:noProof/>
            <w:webHidden/>
          </w:rPr>
          <w:t>64</w:t>
        </w:r>
        <w:r w:rsidR="00F0634E">
          <w:rPr>
            <w:noProof/>
            <w:webHidden/>
          </w:rPr>
          <w:fldChar w:fldCharType="end"/>
        </w:r>
      </w:hyperlink>
    </w:p>
    <w:p w14:paraId="7A7683BB" w14:textId="77777777" w:rsidR="00917FE1" w:rsidRDefault="005505BF" w:rsidP="00F0634E">
      <w:pPr>
        <w:rPr>
          <w:lang w:val="en-GB"/>
        </w:rPr>
      </w:pPr>
      <w:r>
        <w:rPr>
          <w:lang w:val="en-GB"/>
        </w:rPr>
        <w:fldChar w:fldCharType="end"/>
      </w:r>
    </w:p>
    <w:p w14:paraId="206E7986" w14:textId="3DAB94C1" w:rsidR="00F0634E" w:rsidRPr="00F0634E" w:rsidRDefault="005505BF" w:rsidP="00F0634E">
      <w:pPr>
        <w:rPr>
          <w:noProof/>
          <w:color w:val="4472C4" w:themeColor="accent1"/>
          <w:sz w:val="24"/>
        </w:rPr>
      </w:pPr>
      <w:r w:rsidRPr="00F0634E">
        <w:rPr>
          <w:color w:val="4472C4" w:themeColor="accent1"/>
          <w:sz w:val="24"/>
          <w:lang w:val="en-GB"/>
        </w:rPr>
        <w:t>List of Tables</w:t>
      </w:r>
      <w:r>
        <w:rPr>
          <w:color w:val="4472C4" w:themeColor="accent1"/>
          <w:sz w:val="24"/>
          <w:lang w:val="en-GB"/>
        </w:rPr>
        <w:fldChar w:fldCharType="begin"/>
      </w:r>
      <w:r w:rsidRPr="00F0634E">
        <w:rPr>
          <w:color w:val="4472C4" w:themeColor="accent1"/>
          <w:sz w:val="24"/>
          <w:lang w:val="en-GB"/>
        </w:rPr>
        <w:instrText xml:space="preserve"> TOC \h \z \c "Table" </w:instrText>
      </w:r>
      <w:r>
        <w:rPr>
          <w:color w:val="4472C4" w:themeColor="accent1"/>
          <w:sz w:val="24"/>
          <w:lang w:val="en-GB"/>
        </w:rPr>
        <w:fldChar w:fldCharType="separate"/>
      </w:r>
    </w:p>
    <w:p w14:paraId="4938C52C" w14:textId="6304E6CD" w:rsidR="00F0634E" w:rsidRDefault="00504B06" w:rsidP="00F0634E">
      <w:pPr>
        <w:rPr>
          <w:rFonts w:eastAsiaTheme="minorEastAsia"/>
          <w:noProof/>
          <w:sz w:val="24"/>
          <w:lang w:eastAsia="en-GB"/>
        </w:rPr>
      </w:pPr>
      <w:hyperlink w:anchor="_Toc34804979" w:history="1">
        <w:r w:rsidR="00F0634E" w:rsidRPr="008D6313">
          <w:rPr>
            <w:rStyle w:val="Hyperlink"/>
            <w:noProof/>
            <w:lang w:val="en-GB"/>
          </w:rPr>
          <w:t>Table 1:  Selected Key Health indicators, Sierra Leone</w:t>
        </w:r>
        <w:r w:rsidR="00F0634E">
          <w:rPr>
            <w:noProof/>
            <w:webHidden/>
          </w:rPr>
          <w:tab/>
        </w:r>
        <w:r w:rsidR="00F0634E">
          <w:rPr>
            <w:noProof/>
            <w:webHidden/>
          </w:rPr>
          <w:fldChar w:fldCharType="begin"/>
        </w:r>
        <w:r w:rsidR="00F0634E">
          <w:rPr>
            <w:noProof/>
            <w:webHidden/>
          </w:rPr>
          <w:instrText xml:space="preserve"> PAGEREF _Toc34804979 \h </w:instrText>
        </w:r>
        <w:r w:rsidR="00F0634E">
          <w:rPr>
            <w:noProof/>
            <w:webHidden/>
          </w:rPr>
        </w:r>
        <w:r w:rsidR="00F0634E">
          <w:rPr>
            <w:noProof/>
            <w:webHidden/>
          </w:rPr>
          <w:fldChar w:fldCharType="separate"/>
        </w:r>
        <w:r w:rsidR="00CB360C">
          <w:rPr>
            <w:noProof/>
            <w:webHidden/>
          </w:rPr>
          <w:t>15</w:t>
        </w:r>
        <w:r w:rsidR="00F0634E">
          <w:rPr>
            <w:noProof/>
            <w:webHidden/>
          </w:rPr>
          <w:fldChar w:fldCharType="end"/>
        </w:r>
      </w:hyperlink>
    </w:p>
    <w:p w14:paraId="21F10B5E" w14:textId="69DA7C3D" w:rsidR="00F0634E" w:rsidRDefault="00504B06" w:rsidP="00F0634E">
      <w:pPr>
        <w:rPr>
          <w:rFonts w:eastAsiaTheme="minorEastAsia"/>
          <w:noProof/>
          <w:sz w:val="24"/>
          <w:lang w:eastAsia="en-GB"/>
        </w:rPr>
      </w:pPr>
      <w:hyperlink w:anchor="_Toc34804980" w:history="1">
        <w:r w:rsidR="00F0634E" w:rsidRPr="008D6313">
          <w:rPr>
            <w:rStyle w:val="Hyperlink"/>
            <w:noProof/>
            <w:lang w:val="en-GB"/>
          </w:rPr>
          <w:t>Table 2: Overview of the 16 "Best Buys"</w:t>
        </w:r>
        <w:r w:rsidR="00F0634E" w:rsidRPr="008D6313">
          <w:rPr>
            <w:rStyle w:val="Hyperlink"/>
            <w:noProof/>
            <w:vertAlign w:val="superscript"/>
            <w:lang w:val="en-GB"/>
          </w:rPr>
          <w:t>99</w:t>
        </w:r>
        <w:r w:rsidR="00F0634E">
          <w:rPr>
            <w:noProof/>
            <w:webHidden/>
          </w:rPr>
          <w:tab/>
        </w:r>
        <w:r w:rsidR="00F0634E">
          <w:rPr>
            <w:noProof/>
            <w:webHidden/>
          </w:rPr>
          <w:fldChar w:fldCharType="begin"/>
        </w:r>
        <w:r w:rsidR="00F0634E">
          <w:rPr>
            <w:noProof/>
            <w:webHidden/>
          </w:rPr>
          <w:instrText xml:space="preserve"> PAGEREF _Toc34804980 \h </w:instrText>
        </w:r>
        <w:r w:rsidR="00F0634E">
          <w:rPr>
            <w:noProof/>
            <w:webHidden/>
          </w:rPr>
        </w:r>
        <w:r w:rsidR="00F0634E">
          <w:rPr>
            <w:noProof/>
            <w:webHidden/>
          </w:rPr>
          <w:fldChar w:fldCharType="separate"/>
        </w:r>
        <w:r w:rsidR="00CB360C">
          <w:rPr>
            <w:noProof/>
            <w:webHidden/>
          </w:rPr>
          <w:t>20</w:t>
        </w:r>
        <w:r w:rsidR="00F0634E">
          <w:rPr>
            <w:noProof/>
            <w:webHidden/>
          </w:rPr>
          <w:fldChar w:fldCharType="end"/>
        </w:r>
      </w:hyperlink>
    </w:p>
    <w:p w14:paraId="374DDB95" w14:textId="27702A29" w:rsidR="00F0634E" w:rsidRDefault="00504B06" w:rsidP="00F0634E">
      <w:pPr>
        <w:rPr>
          <w:rFonts w:eastAsiaTheme="minorEastAsia"/>
          <w:noProof/>
          <w:sz w:val="24"/>
          <w:lang w:eastAsia="en-GB"/>
        </w:rPr>
      </w:pPr>
      <w:hyperlink w:anchor="_Toc34804981" w:history="1">
        <w:r w:rsidR="00F0634E" w:rsidRPr="008D6313">
          <w:rPr>
            <w:rStyle w:val="Hyperlink"/>
            <w:noProof/>
            <w:lang w:val="en-GB"/>
          </w:rPr>
          <w:t>Table 3: NCD, Injuries, Mental Health – Current and Planned (bold) Governance/ coordination</w:t>
        </w:r>
        <w:r w:rsidR="00F0634E">
          <w:rPr>
            <w:noProof/>
            <w:webHidden/>
          </w:rPr>
          <w:tab/>
        </w:r>
        <w:r w:rsidR="00F0634E">
          <w:rPr>
            <w:noProof/>
            <w:webHidden/>
          </w:rPr>
          <w:fldChar w:fldCharType="begin"/>
        </w:r>
        <w:r w:rsidR="00F0634E">
          <w:rPr>
            <w:noProof/>
            <w:webHidden/>
          </w:rPr>
          <w:instrText xml:space="preserve"> PAGEREF _Toc34804981 \h </w:instrText>
        </w:r>
        <w:r w:rsidR="00F0634E">
          <w:rPr>
            <w:noProof/>
            <w:webHidden/>
          </w:rPr>
        </w:r>
        <w:r w:rsidR="00F0634E">
          <w:rPr>
            <w:noProof/>
            <w:webHidden/>
          </w:rPr>
          <w:fldChar w:fldCharType="separate"/>
        </w:r>
        <w:r w:rsidR="00CB360C">
          <w:rPr>
            <w:noProof/>
            <w:webHidden/>
          </w:rPr>
          <w:t>27</w:t>
        </w:r>
        <w:r w:rsidR="00F0634E">
          <w:rPr>
            <w:noProof/>
            <w:webHidden/>
          </w:rPr>
          <w:fldChar w:fldCharType="end"/>
        </w:r>
      </w:hyperlink>
    </w:p>
    <w:p w14:paraId="40EDB314" w14:textId="5C01DE8F" w:rsidR="00F0634E" w:rsidRDefault="00504B06" w:rsidP="00F0634E">
      <w:pPr>
        <w:rPr>
          <w:rFonts w:eastAsiaTheme="minorEastAsia"/>
          <w:noProof/>
          <w:sz w:val="24"/>
          <w:lang w:eastAsia="en-GB"/>
        </w:rPr>
      </w:pPr>
      <w:hyperlink w:anchor="_Toc34804982" w:history="1">
        <w:r w:rsidR="00F0634E" w:rsidRPr="008D6313">
          <w:rPr>
            <w:rStyle w:val="Hyperlink"/>
            <w:noProof/>
            <w:lang w:val="en-GB"/>
          </w:rPr>
          <w:t>Table 4: 2018 Morbidities in DHIS 2.0 by level and type*</w:t>
        </w:r>
        <w:r w:rsidR="00F0634E" w:rsidRPr="008D6313">
          <w:rPr>
            <w:rStyle w:val="Hyperlink"/>
            <w:noProof/>
            <w:vertAlign w:val="superscript"/>
            <w:lang w:val="en-GB"/>
          </w:rPr>
          <w:t>153</w:t>
        </w:r>
        <w:r w:rsidR="00F0634E">
          <w:rPr>
            <w:noProof/>
            <w:webHidden/>
          </w:rPr>
          <w:tab/>
        </w:r>
        <w:r w:rsidR="00F0634E">
          <w:rPr>
            <w:noProof/>
            <w:webHidden/>
          </w:rPr>
          <w:fldChar w:fldCharType="begin"/>
        </w:r>
        <w:r w:rsidR="00F0634E">
          <w:rPr>
            <w:noProof/>
            <w:webHidden/>
          </w:rPr>
          <w:instrText xml:space="preserve"> PAGEREF _Toc34804982 \h </w:instrText>
        </w:r>
        <w:r w:rsidR="00F0634E">
          <w:rPr>
            <w:noProof/>
            <w:webHidden/>
          </w:rPr>
        </w:r>
        <w:r w:rsidR="00F0634E">
          <w:rPr>
            <w:noProof/>
            <w:webHidden/>
          </w:rPr>
          <w:fldChar w:fldCharType="separate"/>
        </w:r>
        <w:r w:rsidR="00CB360C">
          <w:rPr>
            <w:noProof/>
            <w:webHidden/>
          </w:rPr>
          <w:t>64</w:t>
        </w:r>
        <w:r w:rsidR="00F0634E">
          <w:rPr>
            <w:noProof/>
            <w:webHidden/>
          </w:rPr>
          <w:fldChar w:fldCharType="end"/>
        </w:r>
      </w:hyperlink>
    </w:p>
    <w:p w14:paraId="79FBD8D5" w14:textId="4DDC6C2D" w:rsidR="00F0634E" w:rsidRDefault="00504B06" w:rsidP="00F0634E">
      <w:pPr>
        <w:rPr>
          <w:rFonts w:eastAsiaTheme="minorEastAsia"/>
          <w:noProof/>
          <w:sz w:val="24"/>
          <w:lang w:eastAsia="en-GB"/>
        </w:rPr>
      </w:pPr>
      <w:hyperlink w:anchor="_Toc34804983" w:history="1">
        <w:r w:rsidR="00F0634E" w:rsidRPr="008D6313">
          <w:rPr>
            <w:rStyle w:val="Hyperlink"/>
            <w:noProof/>
            <w:lang w:val="en-GB"/>
          </w:rPr>
          <w:t>Table 5: Other NCD conditions: prevalence and incidence, 2017, Sierra Leone</w:t>
        </w:r>
        <w:r w:rsidR="00F0634E">
          <w:rPr>
            <w:noProof/>
            <w:webHidden/>
          </w:rPr>
          <w:tab/>
        </w:r>
        <w:r w:rsidR="00F0634E">
          <w:rPr>
            <w:noProof/>
            <w:webHidden/>
          </w:rPr>
          <w:fldChar w:fldCharType="begin"/>
        </w:r>
        <w:r w:rsidR="00F0634E">
          <w:rPr>
            <w:noProof/>
            <w:webHidden/>
          </w:rPr>
          <w:instrText xml:space="preserve"> PAGEREF _Toc34804983 \h </w:instrText>
        </w:r>
        <w:r w:rsidR="00F0634E">
          <w:rPr>
            <w:noProof/>
            <w:webHidden/>
          </w:rPr>
        </w:r>
        <w:r w:rsidR="00F0634E">
          <w:rPr>
            <w:noProof/>
            <w:webHidden/>
          </w:rPr>
          <w:fldChar w:fldCharType="separate"/>
        </w:r>
        <w:r w:rsidR="00CB360C">
          <w:rPr>
            <w:noProof/>
            <w:webHidden/>
          </w:rPr>
          <w:t>68</w:t>
        </w:r>
        <w:r w:rsidR="00F0634E">
          <w:rPr>
            <w:noProof/>
            <w:webHidden/>
          </w:rPr>
          <w:fldChar w:fldCharType="end"/>
        </w:r>
      </w:hyperlink>
    </w:p>
    <w:p w14:paraId="4DBA6A06" w14:textId="4A3616A1" w:rsidR="00F0634E" w:rsidRDefault="00504B06" w:rsidP="00F0634E">
      <w:pPr>
        <w:rPr>
          <w:rFonts w:eastAsiaTheme="minorEastAsia"/>
          <w:noProof/>
          <w:sz w:val="24"/>
          <w:lang w:eastAsia="en-GB"/>
        </w:rPr>
      </w:pPr>
      <w:hyperlink w:anchor="_Toc34804984" w:history="1">
        <w:r w:rsidR="00F0634E" w:rsidRPr="008D6313">
          <w:rPr>
            <w:rStyle w:val="Hyperlink"/>
            <w:noProof/>
            <w:lang w:val="en-GB"/>
          </w:rPr>
          <w:t xml:space="preserve">Table 6: Health problems that cause the most disability, Sierra Leone 2017 (adapted from IHME </w:t>
        </w:r>
        <w:r w:rsidR="00F0634E" w:rsidRPr="008D6313">
          <w:rPr>
            <w:rStyle w:val="Hyperlink"/>
            <w:noProof/>
            <w:vertAlign w:val="superscript"/>
            <w:lang w:val="en-GB"/>
          </w:rPr>
          <w:t>129</w:t>
        </w:r>
        <w:r w:rsidR="00F0634E" w:rsidRPr="008D6313">
          <w:rPr>
            <w:rStyle w:val="Hyperlink"/>
            <w:noProof/>
            <w:lang w:val="en-GB"/>
          </w:rPr>
          <w:t>)</w:t>
        </w:r>
        <w:r w:rsidR="00F0634E">
          <w:rPr>
            <w:noProof/>
            <w:webHidden/>
          </w:rPr>
          <w:tab/>
        </w:r>
        <w:r w:rsidR="00F0634E">
          <w:rPr>
            <w:noProof/>
            <w:webHidden/>
          </w:rPr>
          <w:fldChar w:fldCharType="begin"/>
        </w:r>
        <w:r w:rsidR="00F0634E">
          <w:rPr>
            <w:noProof/>
            <w:webHidden/>
          </w:rPr>
          <w:instrText xml:space="preserve"> PAGEREF _Toc34804984 \h </w:instrText>
        </w:r>
        <w:r w:rsidR="00F0634E">
          <w:rPr>
            <w:noProof/>
            <w:webHidden/>
          </w:rPr>
        </w:r>
        <w:r w:rsidR="00F0634E">
          <w:rPr>
            <w:noProof/>
            <w:webHidden/>
          </w:rPr>
          <w:fldChar w:fldCharType="separate"/>
        </w:r>
        <w:r w:rsidR="00CB360C">
          <w:rPr>
            <w:noProof/>
            <w:webHidden/>
          </w:rPr>
          <w:t>69</w:t>
        </w:r>
        <w:r w:rsidR="00F0634E">
          <w:rPr>
            <w:noProof/>
            <w:webHidden/>
          </w:rPr>
          <w:fldChar w:fldCharType="end"/>
        </w:r>
      </w:hyperlink>
    </w:p>
    <w:p w14:paraId="038251C2" w14:textId="10A74835" w:rsidR="00F0634E" w:rsidRDefault="00504B06" w:rsidP="00F0634E">
      <w:pPr>
        <w:rPr>
          <w:rFonts w:eastAsiaTheme="minorEastAsia"/>
          <w:noProof/>
          <w:sz w:val="24"/>
          <w:lang w:eastAsia="en-GB"/>
        </w:rPr>
      </w:pPr>
      <w:hyperlink w:anchor="_Toc34804985" w:history="1">
        <w:r w:rsidR="00F0634E" w:rsidRPr="008D6313">
          <w:rPr>
            <w:rStyle w:val="Hyperlink"/>
            <w:noProof/>
            <w:lang w:val="en-GB"/>
          </w:rPr>
          <w:t xml:space="preserve">Table 7: Risk factors for death and disability (DALY) combined, Sierra Leone 2017 – NCD risk factors in bold (adapted from IHME </w:t>
        </w:r>
        <w:r w:rsidR="00F0634E" w:rsidRPr="008D6313">
          <w:rPr>
            <w:rStyle w:val="Hyperlink"/>
            <w:noProof/>
            <w:vertAlign w:val="superscript"/>
            <w:lang w:val="en-GB"/>
          </w:rPr>
          <w:t>129</w:t>
        </w:r>
        <w:r w:rsidR="00F0634E" w:rsidRPr="008D6313">
          <w:rPr>
            <w:rStyle w:val="Hyperlink"/>
            <w:noProof/>
            <w:lang w:val="en-GB"/>
          </w:rPr>
          <w:t>)</w:t>
        </w:r>
        <w:r w:rsidR="00F0634E">
          <w:rPr>
            <w:noProof/>
            <w:webHidden/>
          </w:rPr>
          <w:tab/>
        </w:r>
        <w:r w:rsidR="00F0634E">
          <w:rPr>
            <w:noProof/>
            <w:webHidden/>
          </w:rPr>
          <w:fldChar w:fldCharType="begin"/>
        </w:r>
        <w:r w:rsidR="00F0634E">
          <w:rPr>
            <w:noProof/>
            <w:webHidden/>
          </w:rPr>
          <w:instrText xml:space="preserve"> PAGEREF _Toc34804985 \h </w:instrText>
        </w:r>
        <w:r w:rsidR="00F0634E">
          <w:rPr>
            <w:noProof/>
            <w:webHidden/>
          </w:rPr>
        </w:r>
        <w:r w:rsidR="00F0634E">
          <w:rPr>
            <w:noProof/>
            <w:webHidden/>
          </w:rPr>
          <w:fldChar w:fldCharType="separate"/>
        </w:r>
        <w:r w:rsidR="00CB360C">
          <w:rPr>
            <w:noProof/>
            <w:webHidden/>
          </w:rPr>
          <w:t>70</w:t>
        </w:r>
        <w:r w:rsidR="00F0634E">
          <w:rPr>
            <w:noProof/>
            <w:webHidden/>
          </w:rPr>
          <w:fldChar w:fldCharType="end"/>
        </w:r>
      </w:hyperlink>
    </w:p>
    <w:p w14:paraId="39873055" w14:textId="513A48AB" w:rsidR="00F0634E" w:rsidRDefault="00504B06" w:rsidP="00F0634E">
      <w:pPr>
        <w:rPr>
          <w:rFonts w:eastAsiaTheme="minorEastAsia"/>
          <w:noProof/>
          <w:sz w:val="24"/>
          <w:lang w:eastAsia="en-GB"/>
        </w:rPr>
      </w:pPr>
      <w:hyperlink w:anchor="_Toc34804986" w:history="1">
        <w:r w:rsidR="00F0634E" w:rsidRPr="008D6313">
          <w:rPr>
            <w:rStyle w:val="Hyperlink"/>
            <w:noProof/>
            <w:lang w:val="en-GB"/>
          </w:rPr>
          <w:t>Table 8: Combined risk factors from STEPS 2009</w:t>
        </w:r>
        <w:r w:rsidR="00F0634E">
          <w:rPr>
            <w:noProof/>
            <w:webHidden/>
          </w:rPr>
          <w:tab/>
        </w:r>
        <w:r w:rsidR="00F0634E">
          <w:rPr>
            <w:noProof/>
            <w:webHidden/>
          </w:rPr>
          <w:fldChar w:fldCharType="begin"/>
        </w:r>
        <w:r w:rsidR="00F0634E">
          <w:rPr>
            <w:noProof/>
            <w:webHidden/>
          </w:rPr>
          <w:instrText xml:space="preserve"> PAGEREF _Toc34804986 \h </w:instrText>
        </w:r>
        <w:r w:rsidR="00F0634E">
          <w:rPr>
            <w:noProof/>
            <w:webHidden/>
          </w:rPr>
        </w:r>
        <w:r w:rsidR="00F0634E">
          <w:rPr>
            <w:noProof/>
            <w:webHidden/>
          </w:rPr>
          <w:fldChar w:fldCharType="separate"/>
        </w:r>
        <w:r w:rsidR="00CB360C">
          <w:rPr>
            <w:noProof/>
            <w:webHidden/>
          </w:rPr>
          <w:t>74</w:t>
        </w:r>
        <w:r w:rsidR="00F0634E">
          <w:rPr>
            <w:noProof/>
            <w:webHidden/>
          </w:rPr>
          <w:fldChar w:fldCharType="end"/>
        </w:r>
      </w:hyperlink>
    </w:p>
    <w:p w14:paraId="793A15D2" w14:textId="3C542327" w:rsidR="00F9237E" w:rsidRPr="00610088" w:rsidRDefault="005505BF" w:rsidP="00917FE1">
      <w:pPr>
        <w:pStyle w:val="Heading1"/>
        <w:numPr>
          <w:ilvl w:val="0"/>
          <w:numId w:val="0"/>
        </w:numPr>
        <w:rPr>
          <w:lang w:val="en-GB"/>
        </w:rPr>
      </w:pPr>
      <w:r>
        <w:rPr>
          <w:rFonts w:asciiTheme="minorHAnsi" w:eastAsiaTheme="minorHAnsi" w:hAnsiTheme="minorHAnsi" w:cstheme="minorBidi"/>
          <w:color w:val="auto"/>
          <w:sz w:val="20"/>
          <w:szCs w:val="24"/>
          <w:lang w:val="en-GB"/>
        </w:rPr>
        <w:fldChar w:fldCharType="end"/>
      </w:r>
      <w:r w:rsidR="001F6F97" w:rsidRPr="00610088">
        <w:rPr>
          <w:lang w:val="en-GB"/>
        </w:rPr>
        <w:br w:type="page"/>
      </w:r>
      <w:bookmarkStart w:id="0" w:name="_Toc41370529"/>
      <w:r w:rsidR="00F9237E" w:rsidRPr="00610088">
        <w:rPr>
          <w:lang w:val="en-GB"/>
        </w:rPr>
        <w:lastRenderedPageBreak/>
        <w:t>Foreword</w:t>
      </w:r>
      <w:bookmarkEnd w:id="0"/>
    </w:p>
    <w:p w14:paraId="1A3FF295" w14:textId="77777777" w:rsidR="0099187F" w:rsidRPr="00610088" w:rsidRDefault="0099187F" w:rsidP="0099187F">
      <w:pPr>
        <w:jc w:val="both"/>
        <w:rPr>
          <w:rFonts w:ascii="Times New Roman" w:hAnsi="Times New Roman" w:cs="Times New Roman"/>
          <w:b/>
          <w:sz w:val="32"/>
          <w:szCs w:val="36"/>
          <w:lang w:val="en-GB"/>
        </w:rPr>
      </w:pPr>
    </w:p>
    <w:p w14:paraId="13338941" w14:textId="259B5A08" w:rsidR="0099187F" w:rsidRPr="00610088" w:rsidRDefault="00917FE1" w:rsidP="00610088">
      <w:pPr>
        <w:rPr>
          <w:sz w:val="22"/>
          <w:szCs w:val="22"/>
          <w:lang w:val="en-GB"/>
        </w:rPr>
      </w:pPr>
      <w:r w:rsidRPr="00610088">
        <w:rPr>
          <w:rFonts w:ascii="Algerian" w:hAnsi="Algerian"/>
          <w:b/>
          <w:noProof/>
          <w:sz w:val="36"/>
          <w:szCs w:val="36"/>
          <w:lang w:val="en-GB"/>
        </w:rPr>
        <w:drawing>
          <wp:anchor distT="0" distB="0" distL="114300" distR="114300" simplePos="0" relativeHeight="251671552" behindDoc="1" locked="0" layoutInCell="1" allowOverlap="1" wp14:anchorId="53D9BDD9" wp14:editId="5F876E83">
            <wp:simplePos x="0" y="0"/>
            <wp:positionH relativeFrom="column">
              <wp:posOffset>0</wp:posOffset>
            </wp:positionH>
            <wp:positionV relativeFrom="paragraph">
              <wp:posOffset>635</wp:posOffset>
            </wp:positionV>
            <wp:extent cx="1323975" cy="1485900"/>
            <wp:effectExtent l="0" t="0" r="0" b="0"/>
            <wp:wrapTight wrapText="bothSides">
              <wp:wrapPolygon edited="0">
                <wp:start x="0" y="0"/>
                <wp:lineTo x="0" y="21415"/>
                <wp:lineTo x="21341" y="21415"/>
                <wp:lineTo x="21341" y="0"/>
                <wp:lineTo x="0" y="0"/>
              </wp:wrapPolygon>
            </wp:wrapTight>
            <wp:docPr id="6" name="Picture 6" descr="F:\DSC_6019.jp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C_6019.jpg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9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87F" w:rsidRPr="00610088">
        <w:rPr>
          <w:sz w:val="22"/>
          <w:szCs w:val="22"/>
          <w:lang w:val="en-GB"/>
        </w:rPr>
        <w:t xml:space="preserve">Non-communicable Diseases (NCDs) are a major cause of disability and premature death and contributes substantially to the escalating costs of health care. Their onset is often deceptive and in Sierra Leone, patients often present themselves when the disease is advanced, and generally when in middle age. Over 80% of mortality from NCDs is caused by four main NCDs- cardiovascular disorders, cancer, diabetes mellitus and chronic obstructive pulmonary disease. </w:t>
      </w:r>
    </w:p>
    <w:p w14:paraId="1D794374" w14:textId="77777777" w:rsidR="0099187F" w:rsidRPr="00610088" w:rsidRDefault="0099187F" w:rsidP="00610088">
      <w:pPr>
        <w:rPr>
          <w:sz w:val="22"/>
          <w:szCs w:val="22"/>
          <w:lang w:val="en-GB"/>
        </w:rPr>
      </w:pPr>
    </w:p>
    <w:p w14:paraId="506AE166" w14:textId="3B253544" w:rsidR="0099187F" w:rsidRPr="00610088" w:rsidRDefault="0099187F" w:rsidP="00610088">
      <w:pPr>
        <w:rPr>
          <w:sz w:val="22"/>
          <w:szCs w:val="22"/>
          <w:lang w:val="en-GB"/>
        </w:rPr>
      </w:pPr>
      <w:r w:rsidRPr="00610088">
        <w:rPr>
          <w:sz w:val="22"/>
          <w:szCs w:val="22"/>
          <w:lang w:val="en-GB"/>
        </w:rPr>
        <w:t>These four major NCDs share similar risk factors. Modification of risk factors has been shown to reduce mortality and morbidity in people with diagnosed or undiagnosed NCDs.</w:t>
      </w:r>
    </w:p>
    <w:p w14:paraId="14D6CFD2" w14:textId="77777777" w:rsidR="0099187F" w:rsidRPr="00610088" w:rsidRDefault="0099187F" w:rsidP="00610088">
      <w:pPr>
        <w:rPr>
          <w:sz w:val="22"/>
          <w:szCs w:val="22"/>
          <w:lang w:val="en-GB"/>
        </w:rPr>
      </w:pPr>
    </w:p>
    <w:p w14:paraId="2F55DA6D" w14:textId="501D7322" w:rsidR="0099187F" w:rsidRPr="00610088" w:rsidRDefault="0099187F" w:rsidP="00610088">
      <w:pPr>
        <w:rPr>
          <w:sz w:val="22"/>
          <w:szCs w:val="22"/>
          <w:lang w:val="en-GB"/>
        </w:rPr>
      </w:pPr>
      <w:r w:rsidRPr="00610088">
        <w:rPr>
          <w:sz w:val="22"/>
          <w:szCs w:val="22"/>
          <w:lang w:val="en-GB"/>
        </w:rPr>
        <w:t>Recommendations have been made for the reduction of NCD risk factors through changes in lifestyles, primary prevention, screening and early diagnosis. This strategic plan provides guidance on the interventions needed to reduce the burden of NCDs in the country.</w:t>
      </w:r>
    </w:p>
    <w:p w14:paraId="70C50C53" w14:textId="77777777" w:rsidR="0099187F" w:rsidRPr="00610088" w:rsidRDefault="0099187F" w:rsidP="00610088">
      <w:pPr>
        <w:rPr>
          <w:sz w:val="22"/>
          <w:szCs w:val="22"/>
          <w:lang w:val="en-GB"/>
        </w:rPr>
      </w:pPr>
    </w:p>
    <w:p w14:paraId="0BA94F4F" w14:textId="0FEF776B" w:rsidR="0099187F" w:rsidRPr="00610088" w:rsidRDefault="0099187F" w:rsidP="00610088">
      <w:pPr>
        <w:rPr>
          <w:sz w:val="22"/>
          <w:szCs w:val="22"/>
          <w:lang w:val="en-GB"/>
        </w:rPr>
      </w:pPr>
      <w:r w:rsidRPr="00610088">
        <w:rPr>
          <w:sz w:val="22"/>
          <w:szCs w:val="22"/>
          <w:lang w:val="en-GB"/>
        </w:rPr>
        <w:t>Given that many conditions are preventable, every health care interaction should include prevention support. When patients are thoroughly provided with information and skills to reduce health risks, they are more likely to reduce/stop alcohol and substance abuse, stop using tobacco products, eat healthy foods, engage in physical activity, request for screening, and subsequently seek medical attention early. These risk reducing behaviours can intensely reduce the long-term burden and health care demands of chronic conditions.</w:t>
      </w:r>
    </w:p>
    <w:p w14:paraId="3082484A" w14:textId="77777777" w:rsidR="0099187F" w:rsidRPr="00610088" w:rsidRDefault="0099187F" w:rsidP="00610088">
      <w:pPr>
        <w:rPr>
          <w:sz w:val="22"/>
          <w:szCs w:val="22"/>
          <w:lang w:val="en-GB"/>
        </w:rPr>
      </w:pPr>
    </w:p>
    <w:p w14:paraId="795436A7" w14:textId="5276BECB" w:rsidR="0099187F" w:rsidRPr="00610088" w:rsidRDefault="0099187F" w:rsidP="00610088">
      <w:pPr>
        <w:rPr>
          <w:sz w:val="22"/>
          <w:szCs w:val="22"/>
          <w:lang w:val="en-GB"/>
        </w:rPr>
      </w:pPr>
      <w:r w:rsidRPr="00610088">
        <w:rPr>
          <w:sz w:val="22"/>
          <w:szCs w:val="22"/>
          <w:lang w:val="en-GB"/>
        </w:rPr>
        <w:t xml:space="preserve">A collaborative management approach at the primary health care level with patients, their families and other health care actors is a must to efficiently prevent many major contributors to the burden of disease. Screening for NCDs should be integrated at the primary health care (PHC) level. </w:t>
      </w:r>
    </w:p>
    <w:p w14:paraId="7CBF7074" w14:textId="77777777" w:rsidR="0099187F" w:rsidRPr="00610088" w:rsidRDefault="0099187F" w:rsidP="00610088">
      <w:pPr>
        <w:rPr>
          <w:sz w:val="22"/>
          <w:szCs w:val="22"/>
          <w:lang w:val="en-GB"/>
        </w:rPr>
      </w:pPr>
    </w:p>
    <w:p w14:paraId="2EC1A446" w14:textId="111C10DC" w:rsidR="0099187F" w:rsidRPr="00610088" w:rsidRDefault="0099187F" w:rsidP="00610088">
      <w:pPr>
        <w:rPr>
          <w:sz w:val="22"/>
          <w:szCs w:val="22"/>
          <w:lang w:val="en-GB"/>
        </w:rPr>
      </w:pPr>
      <w:r w:rsidRPr="00610088">
        <w:rPr>
          <w:sz w:val="22"/>
          <w:szCs w:val="22"/>
          <w:lang w:val="en-GB"/>
        </w:rPr>
        <w:t>In conclusion, this strategic plan is intended to be the basis of national response to burden of NCDs in line with the UN political declaration on NCDs and the Global Action Plan 2013-2020.</w:t>
      </w:r>
    </w:p>
    <w:p w14:paraId="55C7D1CB" w14:textId="77777777" w:rsidR="0099187F" w:rsidRPr="00610088" w:rsidRDefault="0099187F" w:rsidP="00610088">
      <w:pPr>
        <w:rPr>
          <w:lang w:val="en-GB"/>
        </w:rPr>
      </w:pPr>
    </w:p>
    <w:p w14:paraId="7E0301E6" w14:textId="77777777" w:rsidR="008643C6" w:rsidRDefault="008643C6" w:rsidP="008643C6">
      <w:pPr>
        <w:rPr>
          <w:rFonts w:cstheme="minorHAnsi"/>
          <w:b/>
          <w:sz w:val="24"/>
          <w:lang w:val="en-GB"/>
        </w:rPr>
      </w:pPr>
    </w:p>
    <w:p w14:paraId="73CF41E5" w14:textId="63B7DCAA" w:rsidR="00CF5668" w:rsidRPr="00CF5668" w:rsidRDefault="00CF5668" w:rsidP="00CF5668">
      <w:pPr>
        <w:rPr>
          <w:rFonts w:ascii="Times New Roman" w:eastAsia="Times New Roman" w:hAnsi="Times New Roman" w:cs="Times New Roman"/>
          <w:sz w:val="24"/>
          <w:lang w:eastAsia="en-GB"/>
        </w:rPr>
      </w:pPr>
      <w:r w:rsidRPr="00CF5668">
        <w:rPr>
          <w:rFonts w:ascii="Times New Roman" w:eastAsia="Times New Roman" w:hAnsi="Times New Roman" w:cs="Times New Roman"/>
          <w:sz w:val="24"/>
          <w:lang w:eastAsia="en-GB"/>
        </w:rPr>
        <w:fldChar w:fldCharType="begin"/>
      </w:r>
      <w:r w:rsidR="006C1A6C">
        <w:rPr>
          <w:rFonts w:ascii="Times New Roman" w:eastAsia="Times New Roman" w:hAnsi="Times New Roman" w:cs="Times New Roman"/>
          <w:sz w:val="24"/>
          <w:lang w:eastAsia="en-GB"/>
        </w:rPr>
        <w:instrText xml:space="preserve"> INCLUDEPICTURE "C:\\var\\folders\\wv\\wkq97bvs52qgm52ynjhdtrnc0000gn\\T\\com.microsoft.Word\\WebArchiveCopyPasteTempFiles\\page3image60466944" \* MERGEFORMAT </w:instrText>
      </w:r>
      <w:r w:rsidRPr="00CF5668">
        <w:rPr>
          <w:rFonts w:ascii="Times New Roman" w:eastAsia="Times New Roman" w:hAnsi="Times New Roman" w:cs="Times New Roman"/>
          <w:sz w:val="24"/>
          <w:lang w:eastAsia="en-GB"/>
        </w:rPr>
        <w:fldChar w:fldCharType="separate"/>
      </w:r>
      <w:r w:rsidRPr="00CF5668">
        <w:rPr>
          <w:rFonts w:ascii="Times New Roman" w:eastAsia="Times New Roman" w:hAnsi="Times New Roman" w:cs="Times New Roman"/>
          <w:noProof/>
          <w:sz w:val="24"/>
          <w:lang w:eastAsia="en-GB"/>
        </w:rPr>
        <w:drawing>
          <wp:inline distT="0" distB="0" distL="0" distR="0" wp14:anchorId="39F7D5BB" wp14:editId="6439F036">
            <wp:extent cx="3113405" cy="1243965"/>
            <wp:effectExtent l="0" t="0" r="0" b="635"/>
            <wp:docPr id="10" name="Picture 10" descr="page3image6046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60466944"/>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bright="14000"/>
                              </a14:imgEffect>
                            </a14:imgLayer>
                          </a14:imgProps>
                        </a:ext>
                        <a:ext uri="{28A0092B-C50C-407E-A947-70E740481C1C}">
                          <a14:useLocalDpi xmlns:a14="http://schemas.microsoft.com/office/drawing/2010/main" val="0"/>
                        </a:ext>
                      </a:extLst>
                    </a:blip>
                    <a:srcRect/>
                    <a:stretch>
                      <a:fillRect/>
                    </a:stretch>
                  </pic:blipFill>
                  <pic:spPr bwMode="auto">
                    <a:xfrm>
                      <a:off x="0" y="0"/>
                      <a:ext cx="3113405" cy="1243965"/>
                    </a:xfrm>
                    <a:prstGeom prst="rect">
                      <a:avLst/>
                    </a:prstGeom>
                    <a:noFill/>
                    <a:ln>
                      <a:noFill/>
                    </a:ln>
                  </pic:spPr>
                </pic:pic>
              </a:graphicData>
            </a:graphic>
          </wp:inline>
        </w:drawing>
      </w:r>
      <w:r w:rsidRPr="00CF5668">
        <w:rPr>
          <w:rFonts w:ascii="Times New Roman" w:eastAsia="Times New Roman" w:hAnsi="Times New Roman" w:cs="Times New Roman"/>
          <w:sz w:val="24"/>
          <w:lang w:eastAsia="en-GB"/>
        </w:rPr>
        <w:fldChar w:fldCharType="end"/>
      </w:r>
    </w:p>
    <w:p w14:paraId="6532DE83" w14:textId="77777777" w:rsidR="008643C6" w:rsidRPr="00212204" w:rsidRDefault="008643C6" w:rsidP="008643C6">
      <w:pPr>
        <w:rPr>
          <w:color w:val="000000" w:themeColor="text1"/>
          <w:lang w:val="en-GB"/>
        </w:rPr>
      </w:pPr>
    </w:p>
    <w:p w14:paraId="22850F50" w14:textId="5A24ABB7" w:rsidR="00140F58" w:rsidRPr="00140F58" w:rsidRDefault="00140F58" w:rsidP="00140F58">
      <w:pPr>
        <w:rPr>
          <w:rFonts w:ascii="Times New Roman" w:eastAsia="Times New Roman" w:hAnsi="Times New Roman" w:cs="Times New Roman"/>
          <w:sz w:val="24"/>
          <w:lang w:eastAsia="en-GB"/>
        </w:rPr>
      </w:pPr>
    </w:p>
    <w:p w14:paraId="2E98F444" w14:textId="3B3EDE67" w:rsidR="00917FE1" w:rsidRPr="00917FE1" w:rsidRDefault="00917FE1" w:rsidP="00917FE1">
      <w:pPr>
        <w:rPr>
          <w:rFonts w:ascii="Times New Roman" w:eastAsia="Times New Roman" w:hAnsi="Times New Roman" w:cs="Times New Roman"/>
          <w:sz w:val="24"/>
          <w:lang w:eastAsia="en-GB"/>
        </w:rPr>
      </w:pPr>
    </w:p>
    <w:p w14:paraId="23B795B0" w14:textId="77777777" w:rsidR="00C1414E" w:rsidRPr="00610088" w:rsidRDefault="00C1414E">
      <w:pPr>
        <w:rPr>
          <w:color w:val="000000" w:themeColor="text1"/>
          <w:lang w:val="en-GB"/>
        </w:rPr>
      </w:pPr>
    </w:p>
    <w:p w14:paraId="54F65455" w14:textId="77777777" w:rsidR="00F9237E" w:rsidRPr="00610088" w:rsidRDefault="00F9237E">
      <w:pPr>
        <w:rPr>
          <w:lang w:val="en-GB"/>
        </w:rPr>
      </w:pPr>
    </w:p>
    <w:p w14:paraId="7AC34016" w14:textId="77777777" w:rsidR="0057323A" w:rsidRPr="00610088" w:rsidRDefault="0057323A">
      <w:pPr>
        <w:rPr>
          <w:rFonts w:asciiTheme="majorHAnsi" w:eastAsiaTheme="majorEastAsia" w:hAnsiTheme="majorHAnsi" w:cstheme="majorBidi"/>
          <w:color w:val="2F5496" w:themeColor="accent1" w:themeShade="BF"/>
          <w:sz w:val="28"/>
          <w:szCs w:val="32"/>
          <w:lang w:val="en-GB"/>
        </w:rPr>
      </w:pPr>
      <w:r w:rsidRPr="00610088">
        <w:rPr>
          <w:lang w:val="en-GB"/>
        </w:rPr>
        <w:br w:type="page"/>
      </w:r>
    </w:p>
    <w:p w14:paraId="090E2117" w14:textId="538B2E8E" w:rsidR="00F9237E" w:rsidRPr="00610088" w:rsidRDefault="00917FE1" w:rsidP="00917FE1">
      <w:pPr>
        <w:pStyle w:val="Heading1"/>
        <w:numPr>
          <w:ilvl w:val="0"/>
          <w:numId w:val="0"/>
        </w:numPr>
        <w:ind w:left="432" w:hanging="432"/>
        <w:rPr>
          <w:color w:val="FF0000"/>
          <w:lang w:val="en-GB"/>
        </w:rPr>
      </w:pPr>
      <w:bookmarkStart w:id="1" w:name="_Toc41370530"/>
      <w:r>
        <w:rPr>
          <w:lang w:val="en-GB"/>
        </w:rPr>
        <w:lastRenderedPageBreak/>
        <w:t>Acknowledgements</w:t>
      </w:r>
      <w:bookmarkEnd w:id="1"/>
    </w:p>
    <w:p w14:paraId="7E182B85" w14:textId="08A1418F" w:rsidR="00F9237E" w:rsidRPr="00610088" w:rsidRDefault="008643C6" w:rsidP="00EA600F">
      <w:pPr>
        <w:rPr>
          <w:color w:val="000000" w:themeColor="text1"/>
          <w:lang w:val="en-GB"/>
        </w:rPr>
      </w:pPr>
      <w:r>
        <w:rPr>
          <w:rFonts w:ascii="Times New Roman" w:hAnsi="Times New Roman" w:cs="Times New Roman"/>
          <w:b/>
          <w:noProof/>
          <w:sz w:val="24"/>
          <w:lang w:val="en-GB"/>
        </w:rPr>
        <w:drawing>
          <wp:anchor distT="0" distB="0" distL="114300" distR="114300" simplePos="0" relativeHeight="251670528" behindDoc="1" locked="0" layoutInCell="1" allowOverlap="1" wp14:anchorId="7358642E" wp14:editId="44AF4009">
            <wp:simplePos x="0" y="0"/>
            <wp:positionH relativeFrom="column">
              <wp:posOffset>0</wp:posOffset>
            </wp:positionH>
            <wp:positionV relativeFrom="paragraph">
              <wp:posOffset>164465</wp:posOffset>
            </wp:positionV>
            <wp:extent cx="1111250" cy="1701165"/>
            <wp:effectExtent l="0" t="0" r="6350" b="635"/>
            <wp:wrapTight wrapText="bothSides">
              <wp:wrapPolygon edited="0">
                <wp:start x="0" y="0"/>
                <wp:lineTo x="0" y="21447"/>
                <wp:lineTo x="21477" y="21447"/>
                <wp:lineTo x="21477" y="0"/>
                <wp:lineTo x="0" y="0"/>
              </wp:wrapPolygon>
            </wp:wrapTight>
            <wp:docPr id="7" name="Picture 7" descr="A person wearing a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5-20 at 09.20.57.jpeg"/>
                    <pic:cNvPicPr/>
                  </pic:nvPicPr>
                  <pic:blipFill>
                    <a:blip r:embed="rId18">
                      <a:extLst>
                        <a:ext uri="{28A0092B-C50C-407E-A947-70E740481C1C}">
                          <a14:useLocalDpi xmlns:a14="http://schemas.microsoft.com/office/drawing/2010/main" val="0"/>
                        </a:ext>
                      </a:extLst>
                    </a:blip>
                    <a:stretch>
                      <a:fillRect/>
                    </a:stretch>
                  </pic:blipFill>
                  <pic:spPr>
                    <a:xfrm>
                      <a:off x="0" y="0"/>
                      <a:ext cx="1111250" cy="1701165"/>
                    </a:xfrm>
                    <a:prstGeom prst="rect">
                      <a:avLst/>
                    </a:prstGeom>
                  </pic:spPr>
                </pic:pic>
              </a:graphicData>
            </a:graphic>
            <wp14:sizeRelH relativeFrom="page">
              <wp14:pctWidth>0</wp14:pctWidth>
            </wp14:sizeRelH>
            <wp14:sizeRelV relativeFrom="page">
              <wp14:pctHeight>0</wp14:pctHeight>
            </wp14:sizeRelV>
          </wp:anchor>
        </w:drawing>
      </w:r>
    </w:p>
    <w:p w14:paraId="342CFCF9" w14:textId="75102D28" w:rsidR="0099187F" w:rsidRDefault="0099187F" w:rsidP="00917FE1">
      <w:pPr>
        <w:rPr>
          <w:sz w:val="22"/>
          <w:szCs w:val="22"/>
          <w:lang w:val="en-GB"/>
        </w:rPr>
      </w:pPr>
      <w:r w:rsidRPr="00610088">
        <w:rPr>
          <w:sz w:val="22"/>
          <w:szCs w:val="22"/>
          <w:lang w:val="en-GB"/>
        </w:rPr>
        <w:t xml:space="preserve">The </w:t>
      </w:r>
      <w:r w:rsidR="00917FE1">
        <w:rPr>
          <w:sz w:val="22"/>
          <w:szCs w:val="22"/>
          <w:lang w:val="en-GB"/>
        </w:rPr>
        <w:t xml:space="preserve">Ministry of Health and Sanitation would like to take this opportunity to first and foremost thank the World Bank for funding the development of this strategic plan. Special thanks are also extended to member of the Non-communicable Diseases and Mental Health (NCD&amp;MH) Directorate within the Ministry of Health and Sanitation for overseeing and coordinating the development of this plan. </w:t>
      </w:r>
    </w:p>
    <w:p w14:paraId="2CCA1B85" w14:textId="608E8FF6" w:rsidR="00917FE1" w:rsidRDefault="00917FE1" w:rsidP="00917FE1">
      <w:pPr>
        <w:rPr>
          <w:sz w:val="22"/>
          <w:szCs w:val="22"/>
          <w:lang w:val="en-GB"/>
        </w:rPr>
      </w:pPr>
    </w:p>
    <w:p w14:paraId="5835B79E" w14:textId="60C9C419" w:rsidR="00917FE1" w:rsidRDefault="00917FE1" w:rsidP="00917FE1">
      <w:pPr>
        <w:rPr>
          <w:sz w:val="22"/>
          <w:szCs w:val="22"/>
          <w:lang w:val="en-GB"/>
        </w:rPr>
      </w:pPr>
      <w:r>
        <w:rPr>
          <w:sz w:val="22"/>
          <w:szCs w:val="22"/>
          <w:lang w:val="en-GB"/>
        </w:rPr>
        <w:t xml:space="preserve">The Ministry would like to acknowledge the multitude of  contributions made by the World Bank, World Health Organization (WHO), Sierra Leone Cancer Registry, Sierra Leone Police, Clinton Health Access Initiative, Partners in Health, Health Education Division, Food and Nutrition Directorate, School and Adolescent Health Programme, Directorate of Policy, Planning and Information, King’s Partnership, Office of the Chief Community Health Officer and Foundation for Rural Development Sierra Leone, for their determined efforts in making this plan a reality. Special appreciations are also extended to </w:t>
      </w:r>
      <w:proofErr w:type="spellStart"/>
      <w:r>
        <w:rPr>
          <w:sz w:val="22"/>
          <w:szCs w:val="22"/>
          <w:lang w:val="en-GB"/>
        </w:rPr>
        <w:t>Dr.</w:t>
      </w:r>
      <w:proofErr w:type="spellEnd"/>
      <w:r>
        <w:rPr>
          <w:sz w:val="22"/>
          <w:szCs w:val="22"/>
          <w:lang w:val="en-GB"/>
        </w:rPr>
        <w:t xml:space="preserve"> </w:t>
      </w:r>
      <w:proofErr w:type="spellStart"/>
      <w:r>
        <w:rPr>
          <w:sz w:val="22"/>
          <w:szCs w:val="22"/>
          <w:lang w:val="en-GB"/>
        </w:rPr>
        <w:t>Owizz</w:t>
      </w:r>
      <w:proofErr w:type="spellEnd"/>
      <w:r>
        <w:rPr>
          <w:sz w:val="22"/>
          <w:szCs w:val="22"/>
          <w:lang w:val="en-GB"/>
        </w:rPr>
        <w:t xml:space="preserve"> Koroma, Forensic Pathologist and </w:t>
      </w:r>
      <w:proofErr w:type="spellStart"/>
      <w:r>
        <w:rPr>
          <w:sz w:val="22"/>
          <w:szCs w:val="22"/>
          <w:lang w:val="en-GB"/>
        </w:rPr>
        <w:t>Dr.</w:t>
      </w:r>
      <w:proofErr w:type="spellEnd"/>
      <w:r>
        <w:rPr>
          <w:sz w:val="22"/>
          <w:szCs w:val="22"/>
          <w:lang w:val="en-GB"/>
        </w:rPr>
        <w:t xml:space="preserve"> James B. W. Russell, Consultant Physician, for their tireless efforts in bringing this plan to completion. Lastly, the Ministry of Health and Sanitation would like to acknowledge </w:t>
      </w:r>
      <w:proofErr w:type="spellStart"/>
      <w:r>
        <w:rPr>
          <w:sz w:val="22"/>
          <w:szCs w:val="22"/>
          <w:lang w:val="en-GB"/>
        </w:rPr>
        <w:t>Dr.</w:t>
      </w:r>
      <w:proofErr w:type="spellEnd"/>
      <w:r>
        <w:rPr>
          <w:sz w:val="22"/>
          <w:szCs w:val="22"/>
          <w:lang w:val="en-GB"/>
        </w:rPr>
        <w:t xml:space="preserve"> Heidi Jalloh-Vos and Mr. Michael Conteh for coordinating the various stakeholders who participated in the development of this strategic plan.</w:t>
      </w:r>
    </w:p>
    <w:p w14:paraId="240288A3" w14:textId="30DDCA2D" w:rsidR="00917FE1" w:rsidRDefault="00917FE1" w:rsidP="00917FE1">
      <w:pPr>
        <w:rPr>
          <w:sz w:val="22"/>
          <w:szCs w:val="22"/>
          <w:lang w:val="en-GB"/>
        </w:rPr>
      </w:pPr>
    </w:p>
    <w:p w14:paraId="50B7FEC6" w14:textId="204C0371" w:rsidR="00CB360C" w:rsidRPr="00CB360C" w:rsidRDefault="00CB360C" w:rsidP="00CB360C">
      <w:pPr>
        <w:rPr>
          <w:rFonts w:ascii="Times New Roman" w:eastAsia="Times New Roman" w:hAnsi="Times New Roman" w:cs="Times New Roman"/>
          <w:sz w:val="24"/>
          <w:lang w:eastAsia="en-GB"/>
        </w:rPr>
      </w:pPr>
      <w:r w:rsidRPr="00CB360C">
        <w:rPr>
          <w:rFonts w:ascii="Times New Roman" w:eastAsia="Times New Roman" w:hAnsi="Times New Roman" w:cs="Times New Roman"/>
          <w:sz w:val="24"/>
          <w:lang w:eastAsia="en-GB"/>
        </w:rPr>
        <w:fldChar w:fldCharType="begin"/>
      </w:r>
      <w:r w:rsidR="006C1A6C">
        <w:rPr>
          <w:rFonts w:ascii="Times New Roman" w:eastAsia="Times New Roman" w:hAnsi="Times New Roman" w:cs="Times New Roman"/>
          <w:sz w:val="24"/>
          <w:lang w:eastAsia="en-GB"/>
        </w:rPr>
        <w:instrText xml:space="preserve"> INCLUDEPICTURE "C:\\var\\folders\\wv\\wkq97bvs52qgm52ynjhdtrnc0000gn\\T\\com.microsoft.Word\\WebArchiveCopyPasteTempFiles\\page7image60343312" \* MERGEFORMAT </w:instrText>
      </w:r>
      <w:r w:rsidRPr="00CB360C">
        <w:rPr>
          <w:rFonts w:ascii="Times New Roman" w:eastAsia="Times New Roman" w:hAnsi="Times New Roman" w:cs="Times New Roman"/>
          <w:sz w:val="24"/>
          <w:lang w:eastAsia="en-GB"/>
        </w:rPr>
        <w:fldChar w:fldCharType="separate"/>
      </w:r>
      <w:r w:rsidRPr="00CB360C">
        <w:rPr>
          <w:rFonts w:ascii="Times New Roman" w:eastAsia="Times New Roman" w:hAnsi="Times New Roman" w:cs="Times New Roman"/>
          <w:noProof/>
          <w:sz w:val="24"/>
          <w:lang w:eastAsia="en-GB"/>
        </w:rPr>
        <w:drawing>
          <wp:inline distT="0" distB="0" distL="0" distR="0" wp14:anchorId="753D6E29" wp14:editId="41CA72BE">
            <wp:extent cx="1267460" cy="584835"/>
            <wp:effectExtent l="0" t="0" r="2540" b="0"/>
            <wp:docPr id="9" name="Picture 9" descr="page7image6034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60343312"/>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bright="35000"/>
                              </a14:imgEffect>
                            </a14:imgLayer>
                          </a14:imgProps>
                        </a:ext>
                        <a:ext uri="{28A0092B-C50C-407E-A947-70E740481C1C}">
                          <a14:useLocalDpi xmlns:a14="http://schemas.microsoft.com/office/drawing/2010/main" val="0"/>
                        </a:ext>
                      </a:extLst>
                    </a:blip>
                    <a:srcRect/>
                    <a:stretch>
                      <a:fillRect/>
                    </a:stretch>
                  </pic:blipFill>
                  <pic:spPr bwMode="auto">
                    <a:xfrm>
                      <a:off x="0" y="0"/>
                      <a:ext cx="1267460" cy="584835"/>
                    </a:xfrm>
                    <a:prstGeom prst="rect">
                      <a:avLst/>
                    </a:prstGeom>
                    <a:noFill/>
                    <a:ln>
                      <a:noFill/>
                    </a:ln>
                  </pic:spPr>
                </pic:pic>
              </a:graphicData>
            </a:graphic>
          </wp:inline>
        </w:drawing>
      </w:r>
      <w:r w:rsidRPr="00CB360C">
        <w:rPr>
          <w:rFonts w:ascii="Times New Roman" w:eastAsia="Times New Roman" w:hAnsi="Times New Roman" w:cs="Times New Roman"/>
          <w:sz w:val="24"/>
          <w:lang w:eastAsia="en-GB"/>
        </w:rPr>
        <w:fldChar w:fldCharType="end"/>
      </w:r>
    </w:p>
    <w:p w14:paraId="3FC6D227" w14:textId="2D5CBF53" w:rsidR="00917FE1" w:rsidRDefault="00917FE1" w:rsidP="00917FE1">
      <w:pPr>
        <w:rPr>
          <w:sz w:val="22"/>
          <w:szCs w:val="22"/>
          <w:lang w:val="en-GB"/>
        </w:rPr>
      </w:pPr>
    </w:p>
    <w:p w14:paraId="6DABA82C" w14:textId="4C327F87" w:rsidR="00917FE1" w:rsidRDefault="00917FE1" w:rsidP="00917FE1">
      <w:pPr>
        <w:jc w:val="both"/>
        <w:rPr>
          <w:rFonts w:ascii="Times New Roman" w:hAnsi="Times New Roman" w:cs="Times New Roman"/>
          <w:b/>
          <w:sz w:val="24"/>
          <w:lang w:val="en-GB"/>
        </w:rPr>
      </w:pPr>
      <w:r>
        <w:rPr>
          <w:rFonts w:ascii="Times New Roman" w:hAnsi="Times New Roman" w:cs="Times New Roman"/>
          <w:b/>
          <w:sz w:val="24"/>
          <w:lang w:val="en-GB"/>
        </w:rPr>
        <w:t xml:space="preserve">Rev. Canon </w:t>
      </w:r>
      <w:proofErr w:type="spellStart"/>
      <w:r>
        <w:rPr>
          <w:rFonts w:ascii="Times New Roman" w:hAnsi="Times New Roman" w:cs="Times New Roman"/>
          <w:b/>
          <w:sz w:val="24"/>
          <w:lang w:val="en-GB"/>
        </w:rPr>
        <w:t>Dr.</w:t>
      </w:r>
      <w:proofErr w:type="spellEnd"/>
      <w:r>
        <w:rPr>
          <w:rFonts w:ascii="Times New Roman" w:hAnsi="Times New Roman" w:cs="Times New Roman"/>
          <w:b/>
          <w:sz w:val="24"/>
          <w:lang w:val="en-GB"/>
        </w:rPr>
        <w:t xml:space="preserve"> Thomas T. Samba</w:t>
      </w:r>
    </w:p>
    <w:p w14:paraId="48532B85" w14:textId="3D988EA2" w:rsidR="00917FE1" w:rsidRPr="00610088" w:rsidRDefault="00917FE1" w:rsidP="00917FE1">
      <w:pPr>
        <w:jc w:val="both"/>
        <w:rPr>
          <w:rFonts w:ascii="Times New Roman" w:hAnsi="Times New Roman" w:cs="Times New Roman"/>
          <w:b/>
          <w:sz w:val="24"/>
          <w:lang w:val="en-GB"/>
        </w:rPr>
      </w:pPr>
      <w:r>
        <w:rPr>
          <w:rFonts w:ascii="Times New Roman" w:hAnsi="Times New Roman" w:cs="Times New Roman"/>
          <w:b/>
          <w:sz w:val="24"/>
          <w:lang w:val="en-GB"/>
        </w:rPr>
        <w:t>Chief Medical Officer</w:t>
      </w:r>
    </w:p>
    <w:p w14:paraId="08ED1F0D" w14:textId="77777777" w:rsidR="00917FE1" w:rsidRPr="00610088" w:rsidRDefault="00917FE1" w:rsidP="00917FE1">
      <w:pPr>
        <w:rPr>
          <w:color w:val="000000" w:themeColor="text1"/>
          <w:lang w:val="en-GB"/>
        </w:rPr>
      </w:pPr>
    </w:p>
    <w:p w14:paraId="7E37DC18" w14:textId="77777777" w:rsidR="0057323A" w:rsidRPr="00610088" w:rsidRDefault="0057323A">
      <w:pPr>
        <w:rPr>
          <w:rFonts w:asciiTheme="majorHAnsi" w:eastAsiaTheme="majorEastAsia" w:hAnsiTheme="majorHAnsi" w:cstheme="majorBidi"/>
          <w:color w:val="FF0000"/>
          <w:sz w:val="28"/>
          <w:szCs w:val="32"/>
          <w:lang w:val="en-GB"/>
        </w:rPr>
      </w:pPr>
      <w:r w:rsidRPr="00610088">
        <w:rPr>
          <w:color w:val="FF0000"/>
          <w:lang w:val="en-GB"/>
        </w:rPr>
        <w:br w:type="page"/>
      </w:r>
    </w:p>
    <w:p w14:paraId="31304779" w14:textId="2D56E7DD" w:rsidR="00F9237E" w:rsidRPr="00610088" w:rsidRDefault="00F9237E" w:rsidP="00C1414E">
      <w:pPr>
        <w:pStyle w:val="Heading1"/>
        <w:numPr>
          <w:ilvl w:val="0"/>
          <w:numId w:val="0"/>
        </w:numPr>
        <w:ind w:left="360" w:hanging="360"/>
        <w:rPr>
          <w:lang w:val="en-GB"/>
        </w:rPr>
      </w:pPr>
      <w:bookmarkStart w:id="2" w:name="_Toc41370531"/>
      <w:r w:rsidRPr="00610088">
        <w:rPr>
          <w:lang w:val="en-GB"/>
        </w:rPr>
        <w:lastRenderedPageBreak/>
        <w:t>A</w:t>
      </w:r>
      <w:r w:rsidR="006837ED" w:rsidRPr="00610088">
        <w:rPr>
          <w:lang w:val="en-GB"/>
        </w:rPr>
        <w:t>bbreviations</w:t>
      </w:r>
      <w:bookmarkEnd w:id="2"/>
    </w:p>
    <w:p w14:paraId="01C99A40" w14:textId="77777777" w:rsidR="00D26A30" w:rsidRPr="00610088" w:rsidRDefault="00D26A30" w:rsidP="00D26A30">
      <w:pPr>
        <w:rPr>
          <w:color w:val="000000" w:themeColor="text1"/>
          <w:lang w:val="en-GB"/>
        </w:rPr>
      </w:pPr>
    </w:p>
    <w:tbl>
      <w:tblPr>
        <w:tblW w:w="0" w:type="auto"/>
        <w:tblLook w:val="04A0" w:firstRow="1" w:lastRow="0" w:firstColumn="1" w:lastColumn="0" w:noHBand="0" w:noVBand="1"/>
      </w:tblPr>
      <w:tblGrid>
        <w:gridCol w:w="4505"/>
        <w:gridCol w:w="4505"/>
      </w:tblGrid>
      <w:tr w:rsidR="005505BF" w:rsidRPr="00610088" w14:paraId="0F1B2325" w14:textId="77777777" w:rsidTr="00AD0FA5">
        <w:tc>
          <w:tcPr>
            <w:tcW w:w="4505" w:type="dxa"/>
            <w:vAlign w:val="center"/>
          </w:tcPr>
          <w:p w14:paraId="3A58E7F2" w14:textId="3A71BF8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ACE</w:t>
            </w:r>
          </w:p>
        </w:tc>
        <w:tc>
          <w:tcPr>
            <w:tcW w:w="4505" w:type="dxa"/>
            <w:vAlign w:val="center"/>
          </w:tcPr>
          <w:p w14:paraId="7FC6F7BE" w14:textId="28555E6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Angiotensin-Converting Enzyme</w:t>
            </w:r>
          </w:p>
        </w:tc>
      </w:tr>
      <w:tr w:rsidR="005505BF" w:rsidRPr="00610088" w14:paraId="20B9BD8A" w14:textId="77777777" w:rsidTr="00AD0FA5">
        <w:tc>
          <w:tcPr>
            <w:tcW w:w="4505" w:type="dxa"/>
            <w:vAlign w:val="center"/>
          </w:tcPr>
          <w:p w14:paraId="3803C92F" w14:textId="1980E50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AIDS</w:t>
            </w:r>
          </w:p>
        </w:tc>
        <w:tc>
          <w:tcPr>
            <w:tcW w:w="4505" w:type="dxa"/>
            <w:vAlign w:val="center"/>
          </w:tcPr>
          <w:p w14:paraId="0449DD41" w14:textId="64A5857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Acquired Immune Deficiency Syndrome</w:t>
            </w:r>
          </w:p>
        </w:tc>
      </w:tr>
      <w:tr w:rsidR="005505BF" w:rsidRPr="00610088" w14:paraId="66CA24F3" w14:textId="77777777" w:rsidTr="00AD0FA5">
        <w:tc>
          <w:tcPr>
            <w:tcW w:w="4505" w:type="dxa"/>
            <w:vAlign w:val="center"/>
          </w:tcPr>
          <w:p w14:paraId="0996211B" w14:textId="266D314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B-</w:t>
            </w:r>
            <w:proofErr w:type="spellStart"/>
            <w:r>
              <w:rPr>
                <w:rFonts w:ascii="Calibri" w:hAnsi="Calibri" w:cs="Calibri"/>
                <w:color w:val="000000"/>
                <w:sz w:val="18"/>
                <w:szCs w:val="18"/>
              </w:rPr>
              <w:t>EmONC</w:t>
            </w:r>
            <w:proofErr w:type="spellEnd"/>
          </w:p>
        </w:tc>
        <w:tc>
          <w:tcPr>
            <w:tcW w:w="4505" w:type="dxa"/>
            <w:vAlign w:val="center"/>
          </w:tcPr>
          <w:p w14:paraId="5F80AF18" w14:textId="4E5687A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Basic Emergency Obstetric and Neonatal Care</w:t>
            </w:r>
          </w:p>
        </w:tc>
      </w:tr>
      <w:tr w:rsidR="005505BF" w:rsidRPr="00610088" w14:paraId="12ECB68B" w14:textId="77777777" w:rsidTr="001B16D1">
        <w:tc>
          <w:tcPr>
            <w:tcW w:w="4505" w:type="dxa"/>
            <w:vAlign w:val="center"/>
          </w:tcPr>
          <w:p w14:paraId="2E2F3AEE" w14:textId="0C4012BE" w:rsidR="005505BF" w:rsidRPr="00610088" w:rsidRDefault="005505BF" w:rsidP="005505BF">
            <w:pPr>
              <w:rPr>
                <w:color w:val="000000" w:themeColor="text1"/>
                <w:sz w:val="18"/>
                <w:szCs w:val="18"/>
                <w:lang w:val="en-GB"/>
              </w:rPr>
            </w:pPr>
            <w:r>
              <w:rPr>
                <w:rFonts w:ascii="Calibri" w:hAnsi="Calibri" w:cs="Calibri"/>
                <w:color w:val="000000"/>
                <w:sz w:val="18"/>
                <w:szCs w:val="18"/>
              </w:rPr>
              <w:t>BMI</w:t>
            </w:r>
          </w:p>
        </w:tc>
        <w:tc>
          <w:tcPr>
            <w:tcW w:w="4505" w:type="dxa"/>
            <w:vAlign w:val="center"/>
          </w:tcPr>
          <w:p w14:paraId="64F48059" w14:textId="6E018C02" w:rsidR="005505BF" w:rsidRPr="00610088" w:rsidRDefault="005505BF" w:rsidP="005505BF">
            <w:pPr>
              <w:rPr>
                <w:color w:val="000000" w:themeColor="text1"/>
                <w:sz w:val="18"/>
                <w:szCs w:val="18"/>
                <w:lang w:val="en-GB"/>
              </w:rPr>
            </w:pPr>
            <w:r>
              <w:rPr>
                <w:rFonts w:ascii="Calibri" w:hAnsi="Calibri" w:cs="Calibri"/>
                <w:color w:val="000000"/>
                <w:sz w:val="18"/>
                <w:szCs w:val="18"/>
              </w:rPr>
              <w:t>Body Mass Index</w:t>
            </w:r>
          </w:p>
        </w:tc>
      </w:tr>
      <w:tr w:rsidR="005505BF" w:rsidRPr="00610088" w14:paraId="7B09ADB1" w14:textId="77777777" w:rsidTr="001B16D1">
        <w:tc>
          <w:tcPr>
            <w:tcW w:w="4505" w:type="dxa"/>
            <w:vAlign w:val="center"/>
          </w:tcPr>
          <w:p w14:paraId="1E23AEAA" w14:textId="5CE6468D" w:rsidR="005505BF" w:rsidRPr="00610088" w:rsidRDefault="005505BF" w:rsidP="005505BF">
            <w:pPr>
              <w:rPr>
                <w:color w:val="000000" w:themeColor="text1"/>
                <w:sz w:val="18"/>
                <w:szCs w:val="18"/>
                <w:lang w:val="en-GB"/>
              </w:rPr>
            </w:pPr>
            <w:r>
              <w:rPr>
                <w:rFonts w:ascii="Calibri" w:hAnsi="Calibri" w:cs="Calibri"/>
                <w:color w:val="000000"/>
                <w:sz w:val="18"/>
                <w:szCs w:val="18"/>
              </w:rPr>
              <w:t>BP</w:t>
            </w:r>
          </w:p>
        </w:tc>
        <w:tc>
          <w:tcPr>
            <w:tcW w:w="4505" w:type="dxa"/>
            <w:vAlign w:val="center"/>
          </w:tcPr>
          <w:p w14:paraId="59F08420" w14:textId="32D8C64C" w:rsidR="005505BF" w:rsidRPr="00610088" w:rsidRDefault="005505BF" w:rsidP="005505BF">
            <w:pPr>
              <w:rPr>
                <w:color w:val="000000" w:themeColor="text1"/>
                <w:sz w:val="18"/>
                <w:szCs w:val="18"/>
                <w:lang w:val="en-GB"/>
              </w:rPr>
            </w:pPr>
            <w:r>
              <w:rPr>
                <w:rFonts w:ascii="Calibri" w:hAnsi="Calibri" w:cs="Calibri"/>
                <w:color w:val="000000"/>
                <w:sz w:val="18"/>
                <w:szCs w:val="18"/>
              </w:rPr>
              <w:t>Blood Pressure</w:t>
            </w:r>
          </w:p>
        </w:tc>
      </w:tr>
      <w:tr w:rsidR="005505BF" w:rsidRPr="00610088" w14:paraId="48D3C9AC" w14:textId="77777777" w:rsidTr="00AD0FA5">
        <w:tc>
          <w:tcPr>
            <w:tcW w:w="4505" w:type="dxa"/>
            <w:vAlign w:val="center"/>
          </w:tcPr>
          <w:p w14:paraId="3D5958FC" w14:textId="3C3C0DDF" w:rsidR="005505BF" w:rsidRPr="00610088" w:rsidRDefault="005505BF" w:rsidP="005505BF">
            <w:pPr>
              <w:rPr>
                <w:color w:val="000000" w:themeColor="text1"/>
                <w:sz w:val="18"/>
                <w:szCs w:val="18"/>
                <w:lang w:val="en-GB"/>
              </w:rPr>
            </w:pPr>
            <w:r>
              <w:rPr>
                <w:rFonts w:ascii="Calibri" w:hAnsi="Calibri" w:cs="Calibri"/>
                <w:color w:val="000000"/>
                <w:sz w:val="18"/>
                <w:szCs w:val="18"/>
              </w:rPr>
              <w:t>BP</w:t>
            </w:r>
          </w:p>
        </w:tc>
        <w:tc>
          <w:tcPr>
            <w:tcW w:w="4505" w:type="dxa"/>
            <w:vAlign w:val="center"/>
          </w:tcPr>
          <w:p w14:paraId="27B794CA" w14:textId="2DCD7A9E" w:rsidR="005505BF" w:rsidRPr="00610088" w:rsidRDefault="005505BF" w:rsidP="005505BF">
            <w:pPr>
              <w:rPr>
                <w:color w:val="000000" w:themeColor="text1"/>
                <w:sz w:val="18"/>
                <w:szCs w:val="18"/>
                <w:lang w:val="en-GB"/>
              </w:rPr>
            </w:pPr>
            <w:r>
              <w:rPr>
                <w:rFonts w:ascii="Calibri" w:hAnsi="Calibri" w:cs="Calibri"/>
                <w:color w:val="000000"/>
                <w:sz w:val="18"/>
                <w:szCs w:val="18"/>
              </w:rPr>
              <w:t>Blood Pressure</w:t>
            </w:r>
          </w:p>
        </w:tc>
      </w:tr>
      <w:tr w:rsidR="005505BF" w:rsidRPr="00610088" w14:paraId="5B295E92" w14:textId="77777777" w:rsidTr="001B16D1">
        <w:tc>
          <w:tcPr>
            <w:tcW w:w="4505" w:type="dxa"/>
            <w:vAlign w:val="center"/>
          </w:tcPr>
          <w:p w14:paraId="7FEC9F7A" w14:textId="10BDC28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BPEHS</w:t>
            </w:r>
          </w:p>
        </w:tc>
        <w:tc>
          <w:tcPr>
            <w:tcW w:w="4505" w:type="dxa"/>
            <w:vAlign w:val="center"/>
          </w:tcPr>
          <w:p w14:paraId="33AEFCEA" w14:textId="301BCCB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Basic Package of Essential Health Services</w:t>
            </w:r>
          </w:p>
        </w:tc>
      </w:tr>
      <w:tr w:rsidR="005505BF" w:rsidRPr="00610088" w14:paraId="771B9424" w14:textId="77777777" w:rsidTr="00D26A30">
        <w:tc>
          <w:tcPr>
            <w:tcW w:w="4505" w:type="dxa"/>
            <w:vAlign w:val="center"/>
          </w:tcPr>
          <w:p w14:paraId="5D1DDE67" w14:textId="470B0A99" w:rsidR="005505BF" w:rsidRPr="00610088" w:rsidRDefault="005505BF" w:rsidP="005505BF">
            <w:pPr>
              <w:rPr>
                <w:color w:val="000000" w:themeColor="text1"/>
                <w:sz w:val="18"/>
                <w:szCs w:val="18"/>
                <w:lang w:val="en-GB"/>
              </w:rPr>
            </w:pPr>
            <w:r>
              <w:rPr>
                <w:rFonts w:ascii="Calibri" w:hAnsi="Calibri" w:cs="Calibri"/>
                <w:color w:val="000000"/>
                <w:sz w:val="18"/>
                <w:szCs w:val="18"/>
              </w:rPr>
              <w:t>BSE</w:t>
            </w:r>
          </w:p>
        </w:tc>
        <w:tc>
          <w:tcPr>
            <w:tcW w:w="4505" w:type="dxa"/>
            <w:vAlign w:val="center"/>
          </w:tcPr>
          <w:p w14:paraId="5DEA0DAD" w14:textId="2C20357C" w:rsidR="005505BF" w:rsidRPr="00610088" w:rsidRDefault="005505BF" w:rsidP="005505BF">
            <w:pPr>
              <w:rPr>
                <w:color w:val="000000" w:themeColor="text1"/>
                <w:sz w:val="18"/>
                <w:szCs w:val="18"/>
                <w:lang w:val="en-GB"/>
              </w:rPr>
            </w:pPr>
            <w:r>
              <w:rPr>
                <w:rFonts w:ascii="Calibri" w:hAnsi="Calibri" w:cs="Calibri"/>
                <w:color w:val="000000"/>
                <w:sz w:val="18"/>
                <w:szCs w:val="18"/>
              </w:rPr>
              <w:t>Breast Self-Examination</w:t>
            </w:r>
          </w:p>
        </w:tc>
      </w:tr>
      <w:tr w:rsidR="005505BF" w:rsidRPr="00610088" w14:paraId="27ECA157" w14:textId="77777777" w:rsidTr="00AD0FA5">
        <w:tc>
          <w:tcPr>
            <w:tcW w:w="4505" w:type="dxa"/>
            <w:vAlign w:val="center"/>
          </w:tcPr>
          <w:p w14:paraId="780F114D" w14:textId="13957477" w:rsidR="005505BF" w:rsidRPr="00610088" w:rsidRDefault="005505BF" w:rsidP="005505BF">
            <w:pPr>
              <w:rPr>
                <w:color w:val="000000" w:themeColor="text1"/>
                <w:sz w:val="18"/>
                <w:szCs w:val="18"/>
                <w:lang w:val="en-GB"/>
              </w:rPr>
            </w:pPr>
            <w:r>
              <w:rPr>
                <w:rFonts w:ascii="Calibri" w:hAnsi="Calibri" w:cs="Calibri"/>
                <w:color w:val="000000"/>
                <w:sz w:val="18"/>
                <w:szCs w:val="18"/>
              </w:rPr>
              <w:t>C-</w:t>
            </w:r>
            <w:proofErr w:type="spellStart"/>
            <w:r>
              <w:rPr>
                <w:rFonts w:ascii="Calibri" w:hAnsi="Calibri" w:cs="Calibri"/>
                <w:color w:val="000000"/>
                <w:sz w:val="18"/>
                <w:szCs w:val="18"/>
              </w:rPr>
              <w:t>EmONC</w:t>
            </w:r>
            <w:proofErr w:type="spellEnd"/>
          </w:p>
        </w:tc>
        <w:tc>
          <w:tcPr>
            <w:tcW w:w="4505" w:type="dxa"/>
            <w:vAlign w:val="center"/>
          </w:tcPr>
          <w:p w14:paraId="7517AA49" w14:textId="40460F1B" w:rsidR="005505BF" w:rsidRPr="00610088" w:rsidRDefault="005505BF" w:rsidP="005505BF">
            <w:pPr>
              <w:rPr>
                <w:color w:val="000000" w:themeColor="text1"/>
                <w:sz w:val="18"/>
                <w:szCs w:val="18"/>
                <w:lang w:val="en-GB"/>
              </w:rPr>
            </w:pPr>
            <w:r>
              <w:rPr>
                <w:rFonts w:ascii="Calibri" w:hAnsi="Calibri" w:cs="Calibri"/>
                <w:color w:val="000000"/>
                <w:sz w:val="18"/>
                <w:szCs w:val="18"/>
              </w:rPr>
              <w:t>Comprehensive Emergency Obstetric and Neonatal Care</w:t>
            </w:r>
          </w:p>
        </w:tc>
      </w:tr>
      <w:tr w:rsidR="005505BF" w:rsidRPr="00610088" w14:paraId="7505FC0F" w14:textId="77777777" w:rsidTr="00D26A30">
        <w:tc>
          <w:tcPr>
            <w:tcW w:w="4505" w:type="dxa"/>
            <w:vAlign w:val="center"/>
          </w:tcPr>
          <w:p w14:paraId="3BF652F5" w14:textId="5591F080" w:rsidR="005505BF" w:rsidRPr="00610088" w:rsidRDefault="005505BF" w:rsidP="005505BF">
            <w:pPr>
              <w:rPr>
                <w:color w:val="000000" w:themeColor="text1"/>
                <w:sz w:val="18"/>
                <w:szCs w:val="18"/>
                <w:lang w:val="en-GB"/>
              </w:rPr>
            </w:pPr>
            <w:r>
              <w:rPr>
                <w:rFonts w:ascii="Calibri" w:hAnsi="Calibri" w:cs="Calibri"/>
                <w:color w:val="000000"/>
                <w:sz w:val="18"/>
                <w:szCs w:val="18"/>
              </w:rPr>
              <w:t>CDC</w:t>
            </w:r>
          </w:p>
        </w:tc>
        <w:tc>
          <w:tcPr>
            <w:tcW w:w="4505" w:type="dxa"/>
            <w:vAlign w:val="center"/>
          </w:tcPr>
          <w:p w14:paraId="73D95E5D" w14:textId="33B25ECA" w:rsidR="005505BF" w:rsidRPr="00610088" w:rsidRDefault="005505BF" w:rsidP="005505BF">
            <w:pPr>
              <w:rPr>
                <w:color w:val="000000" w:themeColor="text1"/>
                <w:sz w:val="18"/>
                <w:szCs w:val="18"/>
                <w:lang w:val="en-GB"/>
              </w:rPr>
            </w:pPr>
            <w:r>
              <w:rPr>
                <w:rFonts w:ascii="Calibri" w:hAnsi="Calibri" w:cs="Calibri"/>
                <w:color w:val="000000"/>
                <w:sz w:val="18"/>
                <w:szCs w:val="18"/>
              </w:rPr>
              <w:t>Centers for Disease Control and Prevention</w:t>
            </w:r>
          </w:p>
        </w:tc>
      </w:tr>
      <w:tr w:rsidR="005505BF" w:rsidRPr="00610088" w14:paraId="55253525" w14:textId="77777777" w:rsidTr="00AD0FA5">
        <w:tc>
          <w:tcPr>
            <w:tcW w:w="4505" w:type="dxa"/>
            <w:vAlign w:val="center"/>
          </w:tcPr>
          <w:p w14:paraId="01A3C968" w14:textId="46336B41" w:rsidR="005505BF" w:rsidRPr="00610088" w:rsidRDefault="005505BF" w:rsidP="005505BF">
            <w:pPr>
              <w:rPr>
                <w:color w:val="000000" w:themeColor="text1"/>
                <w:sz w:val="18"/>
                <w:szCs w:val="18"/>
                <w:lang w:val="en-GB"/>
              </w:rPr>
            </w:pPr>
            <w:r>
              <w:rPr>
                <w:rFonts w:ascii="Calibri" w:hAnsi="Calibri" w:cs="Calibri"/>
                <w:color w:val="000000"/>
                <w:sz w:val="18"/>
                <w:szCs w:val="18"/>
              </w:rPr>
              <w:t>CHA</w:t>
            </w:r>
          </w:p>
        </w:tc>
        <w:tc>
          <w:tcPr>
            <w:tcW w:w="4505" w:type="dxa"/>
            <w:vAlign w:val="center"/>
          </w:tcPr>
          <w:p w14:paraId="03725B4C" w14:textId="34F8BEE0"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Assistant</w:t>
            </w:r>
          </w:p>
        </w:tc>
      </w:tr>
      <w:tr w:rsidR="005505BF" w:rsidRPr="00610088" w14:paraId="210A2059" w14:textId="77777777" w:rsidTr="00AD0FA5">
        <w:tc>
          <w:tcPr>
            <w:tcW w:w="4505" w:type="dxa"/>
            <w:vAlign w:val="center"/>
          </w:tcPr>
          <w:p w14:paraId="0F74BD2B" w14:textId="5B788763" w:rsidR="005505BF" w:rsidRPr="00610088" w:rsidRDefault="005505BF" w:rsidP="005505BF">
            <w:pPr>
              <w:rPr>
                <w:color w:val="000000" w:themeColor="text1"/>
                <w:sz w:val="18"/>
                <w:szCs w:val="18"/>
                <w:lang w:val="en-GB"/>
              </w:rPr>
            </w:pPr>
            <w:r>
              <w:rPr>
                <w:rFonts w:ascii="Calibri" w:hAnsi="Calibri" w:cs="Calibri"/>
                <w:color w:val="000000"/>
                <w:sz w:val="18"/>
                <w:szCs w:val="18"/>
              </w:rPr>
              <w:t>CHC</w:t>
            </w:r>
          </w:p>
        </w:tc>
        <w:tc>
          <w:tcPr>
            <w:tcW w:w="4505" w:type="dxa"/>
            <w:vAlign w:val="center"/>
          </w:tcPr>
          <w:p w14:paraId="0C89E45B" w14:textId="15F468D9"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Centre</w:t>
            </w:r>
          </w:p>
        </w:tc>
      </w:tr>
      <w:tr w:rsidR="005505BF" w:rsidRPr="00610088" w14:paraId="26FB7CB4" w14:textId="77777777" w:rsidTr="00D26A30">
        <w:tc>
          <w:tcPr>
            <w:tcW w:w="4505" w:type="dxa"/>
            <w:vAlign w:val="center"/>
          </w:tcPr>
          <w:p w14:paraId="1C87AD08" w14:textId="77F677AF" w:rsidR="005505BF" w:rsidRPr="00610088" w:rsidRDefault="005505BF" w:rsidP="005505BF">
            <w:pPr>
              <w:rPr>
                <w:color w:val="000000" w:themeColor="text1"/>
                <w:sz w:val="18"/>
                <w:szCs w:val="18"/>
                <w:lang w:val="en-GB"/>
              </w:rPr>
            </w:pPr>
            <w:r>
              <w:rPr>
                <w:rFonts w:ascii="Calibri" w:hAnsi="Calibri" w:cs="Calibri"/>
                <w:color w:val="000000"/>
                <w:sz w:val="18"/>
                <w:szCs w:val="18"/>
              </w:rPr>
              <w:t>CHO</w:t>
            </w:r>
          </w:p>
        </w:tc>
        <w:tc>
          <w:tcPr>
            <w:tcW w:w="4505" w:type="dxa"/>
            <w:vAlign w:val="center"/>
          </w:tcPr>
          <w:p w14:paraId="1C05D650" w14:textId="3AFF5F73"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Officer</w:t>
            </w:r>
          </w:p>
        </w:tc>
      </w:tr>
      <w:tr w:rsidR="005505BF" w:rsidRPr="00610088" w14:paraId="0A876A9F" w14:textId="77777777" w:rsidTr="00AD0FA5">
        <w:tc>
          <w:tcPr>
            <w:tcW w:w="4505" w:type="dxa"/>
            <w:vAlign w:val="center"/>
          </w:tcPr>
          <w:p w14:paraId="18EBBD5D" w14:textId="29B7CCDB" w:rsidR="005505BF" w:rsidRPr="00610088" w:rsidRDefault="005505BF" w:rsidP="005505BF">
            <w:pPr>
              <w:rPr>
                <w:color w:val="000000" w:themeColor="text1"/>
                <w:sz w:val="18"/>
                <w:szCs w:val="18"/>
                <w:lang w:val="en-GB"/>
              </w:rPr>
            </w:pPr>
            <w:r>
              <w:rPr>
                <w:rFonts w:ascii="Calibri" w:hAnsi="Calibri" w:cs="Calibri"/>
                <w:color w:val="000000"/>
                <w:sz w:val="18"/>
                <w:szCs w:val="18"/>
              </w:rPr>
              <w:t>CHO-MLTP</w:t>
            </w:r>
          </w:p>
        </w:tc>
        <w:tc>
          <w:tcPr>
            <w:tcW w:w="4505" w:type="dxa"/>
            <w:vAlign w:val="center"/>
          </w:tcPr>
          <w:p w14:paraId="26CC6690" w14:textId="66264693"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Officer-Management &amp; Leadership Training Program</w:t>
            </w:r>
          </w:p>
        </w:tc>
      </w:tr>
      <w:tr w:rsidR="005505BF" w:rsidRPr="00610088" w14:paraId="0834D0EB" w14:textId="77777777" w:rsidTr="00AD0FA5">
        <w:tc>
          <w:tcPr>
            <w:tcW w:w="4505" w:type="dxa"/>
            <w:vAlign w:val="center"/>
          </w:tcPr>
          <w:p w14:paraId="0812141B" w14:textId="55753D17" w:rsidR="005505BF" w:rsidRPr="00610088" w:rsidRDefault="005505BF" w:rsidP="005505BF">
            <w:pPr>
              <w:rPr>
                <w:color w:val="000000" w:themeColor="text1"/>
                <w:sz w:val="18"/>
                <w:szCs w:val="18"/>
                <w:lang w:val="en-GB"/>
              </w:rPr>
            </w:pPr>
            <w:r>
              <w:rPr>
                <w:rFonts w:ascii="Calibri" w:hAnsi="Calibri" w:cs="Calibri"/>
                <w:color w:val="000000"/>
                <w:sz w:val="18"/>
                <w:szCs w:val="18"/>
              </w:rPr>
              <w:t>CHP</w:t>
            </w:r>
          </w:p>
        </w:tc>
        <w:tc>
          <w:tcPr>
            <w:tcW w:w="4505" w:type="dxa"/>
            <w:vAlign w:val="center"/>
          </w:tcPr>
          <w:p w14:paraId="389A0815" w14:textId="05131434"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Post</w:t>
            </w:r>
          </w:p>
        </w:tc>
      </w:tr>
      <w:tr w:rsidR="005505BF" w:rsidRPr="00610088" w14:paraId="5B3933E9" w14:textId="77777777" w:rsidTr="00AD0FA5">
        <w:tc>
          <w:tcPr>
            <w:tcW w:w="4505" w:type="dxa"/>
            <w:vAlign w:val="center"/>
          </w:tcPr>
          <w:p w14:paraId="6D3F7F31" w14:textId="78BD704D" w:rsidR="005505BF" w:rsidRPr="00610088" w:rsidRDefault="005505BF" w:rsidP="005505BF">
            <w:pPr>
              <w:rPr>
                <w:color w:val="000000" w:themeColor="text1"/>
                <w:sz w:val="18"/>
                <w:szCs w:val="18"/>
                <w:lang w:val="en-GB"/>
              </w:rPr>
            </w:pPr>
            <w:r>
              <w:rPr>
                <w:rFonts w:ascii="Calibri" w:hAnsi="Calibri" w:cs="Calibri"/>
                <w:color w:val="000000"/>
                <w:sz w:val="18"/>
                <w:szCs w:val="18"/>
              </w:rPr>
              <w:t>CHW</w:t>
            </w:r>
          </w:p>
        </w:tc>
        <w:tc>
          <w:tcPr>
            <w:tcW w:w="4505" w:type="dxa"/>
            <w:vAlign w:val="center"/>
          </w:tcPr>
          <w:p w14:paraId="37FF6101" w14:textId="500360CD" w:rsidR="005505BF" w:rsidRPr="00610088" w:rsidRDefault="005505BF" w:rsidP="005505BF">
            <w:pPr>
              <w:rPr>
                <w:color w:val="000000" w:themeColor="text1"/>
                <w:sz w:val="18"/>
                <w:szCs w:val="18"/>
                <w:lang w:val="en-GB"/>
              </w:rPr>
            </w:pPr>
            <w:r>
              <w:rPr>
                <w:rFonts w:ascii="Calibri" w:hAnsi="Calibri" w:cs="Calibri"/>
                <w:color w:val="000000"/>
                <w:sz w:val="18"/>
                <w:szCs w:val="18"/>
              </w:rPr>
              <w:t>Community Health Worker</w:t>
            </w:r>
          </w:p>
        </w:tc>
      </w:tr>
      <w:tr w:rsidR="005505BF" w:rsidRPr="00610088" w14:paraId="74952BBA" w14:textId="77777777" w:rsidTr="00AD0FA5">
        <w:tc>
          <w:tcPr>
            <w:tcW w:w="4505" w:type="dxa"/>
            <w:vAlign w:val="center"/>
          </w:tcPr>
          <w:p w14:paraId="71740654" w14:textId="62AC1265"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CO</w:t>
            </w:r>
          </w:p>
        </w:tc>
        <w:tc>
          <w:tcPr>
            <w:tcW w:w="4505" w:type="dxa"/>
            <w:vAlign w:val="center"/>
          </w:tcPr>
          <w:p w14:paraId="0B23B9A2" w14:textId="1042511A"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Carbon monoxide</w:t>
            </w:r>
          </w:p>
        </w:tc>
      </w:tr>
      <w:tr w:rsidR="005505BF" w:rsidRPr="00610088" w14:paraId="1F01347A" w14:textId="77777777" w:rsidTr="00AD0FA5">
        <w:tc>
          <w:tcPr>
            <w:tcW w:w="4505" w:type="dxa"/>
            <w:vAlign w:val="center"/>
          </w:tcPr>
          <w:p w14:paraId="3C895599" w14:textId="106F375B" w:rsidR="005505BF" w:rsidRPr="00610088" w:rsidRDefault="005505BF" w:rsidP="005505BF">
            <w:pPr>
              <w:rPr>
                <w:color w:val="000000" w:themeColor="text1"/>
                <w:sz w:val="18"/>
                <w:szCs w:val="18"/>
                <w:lang w:val="en-GB"/>
              </w:rPr>
            </w:pPr>
            <w:r>
              <w:rPr>
                <w:rFonts w:ascii="Calibri" w:hAnsi="Calibri" w:cs="Calibri"/>
                <w:color w:val="000000"/>
                <w:sz w:val="18"/>
                <w:szCs w:val="18"/>
              </w:rPr>
              <w:t>COMAHS</w:t>
            </w:r>
          </w:p>
        </w:tc>
        <w:tc>
          <w:tcPr>
            <w:tcW w:w="4505" w:type="dxa"/>
            <w:vAlign w:val="center"/>
          </w:tcPr>
          <w:p w14:paraId="7BA5B442" w14:textId="6B15A767" w:rsidR="005505BF" w:rsidRPr="00610088" w:rsidRDefault="005505BF" w:rsidP="005505BF">
            <w:pPr>
              <w:rPr>
                <w:color w:val="000000" w:themeColor="text1"/>
                <w:sz w:val="18"/>
                <w:szCs w:val="18"/>
                <w:lang w:val="en-GB"/>
              </w:rPr>
            </w:pPr>
            <w:r>
              <w:rPr>
                <w:rFonts w:ascii="Calibri" w:hAnsi="Calibri" w:cs="Calibri"/>
                <w:color w:val="000000"/>
                <w:sz w:val="18"/>
                <w:szCs w:val="18"/>
              </w:rPr>
              <w:t>College of Medicine and Allied Health Sciences</w:t>
            </w:r>
          </w:p>
        </w:tc>
      </w:tr>
      <w:tr w:rsidR="005505BF" w:rsidRPr="00610088" w14:paraId="341B2F2C" w14:textId="77777777" w:rsidTr="00AD0FA5">
        <w:tc>
          <w:tcPr>
            <w:tcW w:w="4505" w:type="dxa"/>
            <w:vAlign w:val="center"/>
          </w:tcPr>
          <w:p w14:paraId="0C46E066" w14:textId="51AF0C04" w:rsidR="005505BF" w:rsidRPr="00610088" w:rsidRDefault="005505BF" w:rsidP="005505BF">
            <w:pPr>
              <w:rPr>
                <w:color w:val="000000" w:themeColor="text1"/>
                <w:sz w:val="18"/>
                <w:szCs w:val="18"/>
                <w:lang w:val="en-GB"/>
              </w:rPr>
            </w:pPr>
            <w:r>
              <w:rPr>
                <w:rFonts w:ascii="Calibri" w:hAnsi="Calibri" w:cs="Calibri"/>
                <w:color w:val="000000"/>
                <w:sz w:val="18"/>
                <w:szCs w:val="18"/>
              </w:rPr>
              <w:t>COPD</w:t>
            </w:r>
          </w:p>
        </w:tc>
        <w:tc>
          <w:tcPr>
            <w:tcW w:w="4505" w:type="dxa"/>
            <w:vAlign w:val="center"/>
          </w:tcPr>
          <w:p w14:paraId="161B65C0" w14:textId="3F1A3046" w:rsidR="005505BF" w:rsidRPr="00610088" w:rsidRDefault="005505BF" w:rsidP="005505BF">
            <w:pPr>
              <w:rPr>
                <w:color w:val="000000" w:themeColor="text1"/>
                <w:sz w:val="18"/>
                <w:szCs w:val="18"/>
                <w:lang w:val="en-GB"/>
              </w:rPr>
            </w:pPr>
            <w:r>
              <w:rPr>
                <w:rFonts w:ascii="Calibri" w:hAnsi="Calibri" w:cs="Calibri"/>
                <w:color w:val="000000"/>
                <w:sz w:val="18"/>
                <w:szCs w:val="18"/>
              </w:rPr>
              <w:t>Chronic Obstructive Pulmonary Disease</w:t>
            </w:r>
          </w:p>
        </w:tc>
      </w:tr>
      <w:tr w:rsidR="005505BF" w:rsidRPr="00610088" w14:paraId="732D0C1D" w14:textId="77777777" w:rsidTr="00AD0FA5">
        <w:tc>
          <w:tcPr>
            <w:tcW w:w="4505" w:type="dxa"/>
            <w:vAlign w:val="center"/>
          </w:tcPr>
          <w:p w14:paraId="11ED7C36" w14:textId="19FA199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CPCU</w:t>
            </w:r>
          </w:p>
        </w:tc>
        <w:tc>
          <w:tcPr>
            <w:tcW w:w="4505" w:type="dxa"/>
            <w:vAlign w:val="center"/>
          </w:tcPr>
          <w:p w14:paraId="5EC2D332" w14:textId="3CF5EED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Connaught Palliative Care Unit</w:t>
            </w:r>
          </w:p>
        </w:tc>
      </w:tr>
      <w:tr w:rsidR="005505BF" w:rsidRPr="00610088" w14:paraId="0DEB06EA" w14:textId="77777777" w:rsidTr="00AD0FA5">
        <w:tc>
          <w:tcPr>
            <w:tcW w:w="4505" w:type="dxa"/>
            <w:vAlign w:val="center"/>
          </w:tcPr>
          <w:p w14:paraId="25C2A1BE" w14:textId="1289591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CRD</w:t>
            </w:r>
          </w:p>
        </w:tc>
        <w:tc>
          <w:tcPr>
            <w:tcW w:w="4505" w:type="dxa"/>
            <w:vAlign w:val="center"/>
          </w:tcPr>
          <w:p w14:paraId="36C3BB09" w14:textId="3C7F6B8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Chronic Respiratory Diseases</w:t>
            </w:r>
          </w:p>
        </w:tc>
      </w:tr>
      <w:tr w:rsidR="005505BF" w:rsidRPr="00610088" w14:paraId="0E490C8C" w14:textId="77777777" w:rsidTr="001B16D1">
        <w:tc>
          <w:tcPr>
            <w:tcW w:w="4505" w:type="dxa"/>
            <w:vAlign w:val="center"/>
          </w:tcPr>
          <w:p w14:paraId="0C74ECCB" w14:textId="44B6A7F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CT</w:t>
            </w:r>
          </w:p>
        </w:tc>
        <w:tc>
          <w:tcPr>
            <w:tcW w:w="4505" w:type="dxa"/>
            <w:vAlign w:val="center"/>
          </w:tcPr>
          <w:p w14:paraId="7CACDA8B" w14:textId="55D9C3E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Computer Tomography</w:t>
            </w:r>
          </w:p>
        </w:tc>
      </w:tr>
      <w:tr w:rsidR="005505BF" w:rsidRPr="00610088" w14:paraId="03E60ECF" w14:textId="77777777" w:rsidTr="00AD0FA5">
        <w:tc>
          <w:tcPr>
            <w:tcW w:w="4505" w:type="dxa"/>
            <w:vAlign w:val="center"/>
          </w:tcPr>
          <w:p w14:paraId="237308B0" w14:textId="467B42E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CVD</w:t>
            </w:r>
          </w:p>
        </w:tc>
        <w:tc>
          <w:tcPr>
            <w:tcW w:w="4505" w:type="dxa"/>
            <w:vAlign w:val="center"/>
          </w:tcPr>
          <w:p w14:paraId="0F2119C3" w14:textId="76C4591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Cardiovascular Diseases</w:t>
            </w:r>
          </w:p>
        </w:tc>
      </w:tr>
      <w:tr w:rsidR="005505BF" w:rsidRPr="00610088" w14:paraId="4E1DEEAE" w14:textId="77777777" w:rsidTr="00AD0FA5">
        <w:tc>
          <w:tcPr>
            <w:tcW w:w="4505" w:type="dxa"/>
            <w:vAlign w:val="center"/>
          </w:tcPr>
          <w:p w14:paraId="2BD2BAD2" w14:textId="679422B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DALY</w:t>
            </w:r>
          </w:p>
        </w:tc>
        <w:tc>
          <w:tcPr>
            <w:tcW w:w="4505" w:type="dxa"/>
            <w:vAlign w:val="center"/>
          </w:tcPr>
          <w:p w14:paraId="4E55D6CA" w14:textId="0ECA02B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Disability Adjusted Life Year</w:t>
            </w:r>
          </w:p>
        </w:tc>
      </w:tr>
      <w:tr w:rsidR="005505BF" w:rsidRPr="00610088" w14:paraId="3407151C" w14:textId="77777777" w:rsidTr="00AD0FA5">
        <w:tc>
          <w:tcPr>
            <w:tcW w:w="4505" w:type="dxa"/>
            <w:vAlign w:val="center"/>
          </w:tcPr>
          <w:p w14:paraId="6D5A673E" w14:textId="43286CA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DBP</w:t>
            </w:r>
          </w:p>
        </w:tc>
        <w:tc>
          <w:tcPr>
            <w:tcW w:w="4505" w:type="dxa"/>
            <w:vAlign w:val="center"/>
          </w:tcPr>
          <w:p w14:paraId="4037B427" w14:textId="55E2214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Diastolic Blood Pressure</w:t>
            </w:r>
          </w:p>
        </w:tc>
      </w:tr>
      <w:tr w:rsidR="005505BF" w:rsidRPr="00610088" w14:paraId="4479AC75" w14:textId="77777777" w:rsidTr="00AD0FA5">
        <w:tc>
          <w:tcPr>
            <w:tcW w:w="4505" w:type="dxa"/>
            <w:vAlign w:val="center"/>
          </w:tcPr>
          <w:p w14:paraId="15ADFBE8" w14:textId="0A67BBF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DDMS</w:t>
            </w:r>
          </w:p>
        </w:tc>
        <w:tc>
          <w:tcPr>
            <w:tcW w:w="4505" w:type="dxa"/>
            <w:vAlign w:val="center"/>
          </w:tcPr>
          <w:p w14:paraId="4EA5AA0E" w14:textId="4511265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of Drugs and Medical Supplies</w:t>
            </w:r>
          </w:p>
        </w:tc>
      </w:tr>
      <w:tr w:rsidR="005505BF" w:rsidRPr="00610088" w14:paraId="088E8552" w14:textId="77777777" w:rsidTr="00AD0FA5">
        <w:tc>
          <w:tcPr>
            <w:tcW w:w="4505" w:type="dxa"/>
            <w:vAlign w:val="center"/>
          </w:tcPr>
          <w:p w14:paraId="0AD9E863" w14:textId="1B62BD4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DDPC</w:t>
            </w:r>
          </w:p>
        </w:tc>
        <w:tc>
          <w:tcPr>
            <w:tcW w:w="4505" w:type="dxa"/>
            <w:vAlign w:val="center"/>
          </w:tcPr>
          <w:p w14:paraId="64B4D64F" w14:textId="55C4239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of Disease Prevention and Control</w:t>
            </w:r>
          </w:p>
        </w:tc>
      </w:tr>
      <w:tr w:rsidR="005505BF" w:rsidRPr="00610088" w14:paraId="45AE71F0" w14:textId="77777777" w:rsidTr="00AD0FA5">
        <w:tc>
          <w:tcPr>
            <w:tcW w:w="4505" w:type="dxa"/>
            <w:vAlign w:val="center"/>
          </w:tcPr>
          <w:p w14:paraId="5E9D4E7D" w14:textId="2BE40F2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DFID</w:t>
            </w:r>
          </w:p>
        </w:tc>
        <w:tc>
          <w:tcPr>
            <w:tcW w:w="4505" w:type="dxa"/>
            <w:vAlign w:val="center"/>
          </w:tcPr>
          <w:p w14:paraId="53D8F7FC" w14:textId="2DCDE30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Department for International Development (UKAID)</w:t>
            </w:r>
          </w:p>
        </w:tc>
      </w:tr>
      <w:tr w:rsidR="005505BF" w:rsidRPr="00610088" w14:paraId="49E222AD" w14:textId="77777777" w:rsidTr="00AD0FA5">
        <w:tc>
          <w:tcPr>
            <w:tcW w:w="4505" w:type="dxa"/>
            <w:vAlign w:val="center"/>
          </w:tcPr>
          <w:p w14:paraId="5055D389" w14:textId="5A6C5AF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DHIS</w:t>
            </w:r>
          </w:p>
        </w:tc>
        <w:tc>
          <w:tcPr>
            <w:tcW w:w="4505" w:type="dxa"/>
            <w:vAlign w:val="center"/>
          </w:tcPr>
          <w:p w14:paraId="07A11653" w14:textId="355CAAD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District Health Information System</w:t>
            </w:r>
          </w:p>
        </w:tc>
      </w:tr>
      <w:tr w:rsidR="005505BF" w:rsidRPr="00610088" w14:paraId="63BD0E95" w14:textId="77777777" w:rsidTr="001B16D1">
        <w:tc>
          <w:tcPr>
            <w:tcW w:w="4505" w:type="dxa"/>
            <w:vAlign w:val="center"/>
          </w:tcPr>
          <w:p w14:paraId="03592D5B" w14:textId="246F966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DHMT</w:t>
            </w:r>
          </w:p>
        </w:tc>
        <w:tc>
          <w:tcPr>
            <w:tcW w:w="4505" w:type="dxa"/>
            <w:vAlign w:val="center"/>
          </w:tcPr>
          <w:p w14:paraId="0F2D9BC2" w14:textId="6CB9264E"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District Health Management Team</w:t>
            </w:r>
          </w:p>
        </w:tc>
      </w:tr>
      <w:tr w:rsidR="005505BF" w:rsidRPr="00610088" w14:paraId="1E02A322" w14:textId="77777777" w:rsidTr="00AD0FA5">
        <w:tc>
          <w:tcPr>
            <w:tcW w:w="4505" w:type="dxa"/>
            <w:vAlign w:val="center"/>
          </w:tcPr>
          <w:p w14:paraId="66E5514E" w14:textId="03A3BCF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DHRH</w:t>
            </w:r>
          </w:p>
        </w:tc>
        <w:tc>
          <w:tcPr>
            <w:tcW w:w="4505" w:type="dxa"/>
            <w:vAlign w:val="center"/>
          </w:tcPr>
          <w:p w14:paraId="066CFBC0" w14:textId="5468700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for Human Resources for Health (MOHS)</w:t>
            </w:r>
          </w:p>
        </w:tc>
      </w:tr>
      <w:tr w:rsidR="005505BF" w:rsidRPr="00610088" w14:paraId="7F3086F1" w14:textId="77777777" w:rsidTr="00AD0FA5">
        <w:tc>
          <w:tcPr>
            <w:tcW w:w="4505" w:type="dxa"/>
            <w:vAlign w:val="center"/>
          </w:tcPr>
          <w:p w14:paraId="66391389" w14:textId="481CAA8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DHS</w:t>
            </w:r>
          </w:p>
        </w:tc>
        <w:tc>
          <w:tcPr>
            <w:tcW w:w="4505" w:type="dxa"/>
            <w:vAlign w:val="center"/>
          </w:tcPr>
          <w:p w14:paraId="36AF53D9" w14:textId="62FC3B7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Demographic Health Survey</w:t>
            </w:r>
          </w:p>
        </w:tc>
      </w:tr>
      <w:tr w:rsidR="005505BF" w:rsidRPr="00610088" w14:paraId="2F666B47" w14:textId="77777777" w:rsidTr="001B16D1">
        <w:tc>
          <w:tcPr>
            <w:tcW w:w="4505" w:type="dxa"/>
            <w:vAlign w:val="center"/>
          </w:tcPr>
          <w:p w14:paraId="03B5C6F6" w14:textId="1DBF14F6"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DNCD&amp;MH</w:t>
            </w:r>
          </w:p>
        </w:tc>
        <w:tc>
          <w:tcPr>
            <w:tcW w:w="4505" w:type="dxa"/>
            <w:vAlign w:val="center"/>
          </w:tcPr>
          <w:p w14:paraId="6F9E8522" w14:textId="34EB2B0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of NCDs and Mental Health</w:t>
            </w:r>
          </w:p>
        </w:tc>
      </w:tr>
      <w:tr w:rsidR="005505BF" w:rsidRPr="00610088" w14:paraId="161643D2" w14:textId="77777777" w:rsidTr="00AD0FA5">
        <w:tc>
          <w:tcPr>
            <w:tcW w:w="4505" w:type="dxa"/>
            <w:vAlign w:val="center"/>
          </w:tcPr>
          <w:p w14:paraId="072E5B70" w14:textId="20EE948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DPPI</w:t>
            </w:r>
          </w:p>
        </w:tc>
        <w:tc>
          <w:tcPr>
            <w:tcW w:w="4505" w:type="dxa"/>
            <w:vAlign w:val="center"/>
          </w:tcPr>
          <w:p w14:paraId="18768698" w14:textId="1D024B2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of Policy, Planning and Information</w:t>
            </w:r>
          </w:p>
        </w:tc>
      </w:tr>
      <w:tr w:rsidR="005505BF" w:rsidRPr="00610088" w14:paraId="2106808E" w14:textId="77777777" w:rsidTr="00AD0FA5">
        <w:tc>
          <w:tcPr>
            <w:tcW w:w="4505" w:type="dxa"/>
            <w:vAlign w:val="center"/>
          </w:tcPr>
          <w:p w14:paraId="6F349784" w14:textId="0DD26FD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DRCH</w:t>
            </w:r>
          </w:p>
        </w:tc>
        <w:tc>
          <w:tcPr>
            <w:tcW w:w="4505" w:type="dxa"/>
            <w:vAlign w:val="center"/>
          </w:tcPr>
          <w:p w14:paraId="4FA5A70D" w14:textId="50EF884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Directorate of Reproductive and Child Health</w:t>
            </w:r>
          </w:p>
        </w:tc>
      </w:tr>
      <w:tr w:rsidR="005505BF" w:rsidRPr="00610088" w14:paraId="6E5B762C" w14:textId="77777777" w:rsidTr="00AD0FA5">
        <w:tc>
          <w:tcPr>
            <w:tcW w:w="4505" w:type="dxa"/>
            <w:vAlign w:val="center"/>
          </w:tcPr>
          <w:p w14:paraId="38A9F352" w14:textId="3C672E49"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DTNR</w:t>
            </w:r>
          </w:p>
        </w:tc>
        <w:tc>
          <w:tcPr>
            <w:tcW w:w="4505" w:type="dxa"/>
            <w:vAlign w:val="center"/>
          </w:tcPr>
          <w:p w14:paraId="6AE856EB" w14:textId="65CE2570"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Directorate of Training, NCDs and Research</w:t>
            </w:r>
          </w:p>
        </w:tc>
      </w:tr>
      <w:tr w:rsidR="005505BF" w:rsidRPr="00610088" w14:paraId="602BA9BE" w14:textId="77777777" w:rsidTr="001B16D1">
        <w:tc>
          <w:tcPr>
            <w:tcW w:w="4505" w:type="dxa"/>
            <w:vAlign w:val="center"/>
          </w:tcPr>
          <w:p w14:paraId="117E9178" w14:textId="19758D2E"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DTP</w:t>
            </w:r>
          </w:p>
        </w:tc>
        <w:tc>
          <w:tcPr>
            <w:tcW w:w="4505" w:type="dxa"/>
            <w:vAlign w:val="center"/>
          </w:tcPr>
          <w:p w14:paraId="3F9F5FD1" w14:textId="530471A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Diphtheria-tetanus-pertussis </w:t>
            </w:r>
          </w:p>
        </w:tc>
      </w:tr>
      <w:tr w:rsidR="005505BF" w:rsidRPr="00610088" w14:paraId="3623C7D8" w14:textId="77777777" w:rsidTr="00AD0FA5">
        <w:tc>
          <w:tcPr>
            <w:tcW w:w="4505" w:type="dxa"/>
            <w:vAlign w:val="center"/>
          </w:tcPr>
          <w:p w14:paraId="061BCF8B" w14:textId="69240F1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ECG</w:t>
            </w:r>
          </w:p>
        </w:tc>
        <w:tc>
          <w:tcPr>
            <w:tcW w:w="4505" w:type="dxa"/>
            <w:vAlign w:val="center"/>
          </w:tcPr>
          <w:p w14:paraId="73F5C216" w14:textId="4E22BB9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Electrocardiography</w:t>
            </w:r>
          </w:p>
        </w:tc>
      </w:tr>
      <w:tr w:rsidR="005505BF" w:rsidRPr="00610088" w14:paraId="41C278EE" w14:textId="77777777" w:rsidTr="00AD0FA5">
        <w:tc>
          <w:tcPr>
            <w:tcW w:w="4505" w:type="dxa"/>
            <w:vAlign w:val="center"/>
          </w:tcPr>
          <w:p w14:paraId="15B67B12" w14:textId="18AC0B4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ELISA</w:t>
            </w:r>
          </w:p>
        </w:tc>
        <w:tc>
          <w:tcPr>
            <w:tcW w:w="4505" w:type="dxa"/>
            <w:vAlign w:val="center"/>
          </w:tcPr>
          <w:p w14:paraId="149C0D9A" w14:textId="76DC636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Enzyme-Linked </w:t>
            </w:r>
            <w:proofErr w:type="spellStart"/>
            <w:r>
              <w:rPr>
                <w:rFonts w:ascii="Calibri" w:hAnsi="Calibri" w:cs="Calibri"/>
                <w:color w:val="000000"/>
                <w:sz w:val="18"/>
                <w:szCs w:val="18"/>
              </w:rPr>
              <w:t>ImmunoSorbent</w:t>
            </w:r>
            <w:proofErr w:type="spellEnd"/>
            <w:r>
              <w:rPr>
                <w:rFonts w:ascii="Calibri" w:hAnsi="Calibri" w:cs="Calibri"/>
                <w:color w:val="000000"/>
                <w:sz w:val="18"/>
                <w:szCs w:val="18"/>
              </w:rPr>
              <w:t xml:space="preserve"> Assay</w:t>
            </w:r>
          </w:p>
        </w:tc>
      </w:tr>
      <w:tr w:rsidR="005505BF" w:rsidRPr="00610088" w14:paraId="3282C96F" w14:textId="77777777" w:rsidTr="00AD0FA5">
        <w:tc>
          <w:tcPr>
            <w:tcW w:w="4505" w:type="dxa"/>
            <w:vAlign w:val="center"/>
          </w:tcPr>
          <w:p w14:paraId="5CA60DD6" w14:textId="1532CF8F"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EmONC</w:t>
            </w:r>
            <w:proofErr w:type="spellEnd"/>
          </w:p>
        </w:tc>
        <w:tc>
          <w:tcPr>
            <w:tcW w:w="4505" w:type="dxa"/>
            <w:vAlign w:val="center"/>
          </w:tcPr>
          <w:p w14:paraId="696DC09A" w14:textId="21E6D6D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Emergency Obstetric and Neonatal Care</w:t>
            </w:r>
          </w:p>
        </w:tc>
      </w:tr>
      <w:tr w:rsidR="005505BF" w:rsidRPr="00610088" w14:paraId="1AFAFB92" w14:textId="77777777" w:rsidTr="00AD0FA5">
        <w:tc>
          <w:tcPr>
            <w:tcW w:w="4505" w:type="dxa"/>
            <w:vAlign w:val="center"/>
          </w:tcPr>
          <w:p w14:paraId="542A4359" w14:textId="59A989C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EPA</w:t>
            </w:r>
          </w:p>
        </w:tc>
        <w:tc>
          <w:tcPr>
            <w:tcW w:w="4505" w:type="dxa"/>
            <w:vAlign w:val="center"/>
          </w:tcPr>
          <w:p w14:paraId="74667DF4" w14:textId="05DA752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Environment Protection Agency</w:t>
            </w:r>
          </w:p>
        </w:tc>
      </w:tr>
      <w:tr w:rsidR="005505BF" w:rsidRPr="00610088" w14:paraId="25B4E544" w14:textId="77777777" w:rsidTr="00AD0FA5">
        <w:tc>
          <w:tcPr>
            <w:tcW w:w="4505" w:type="dxa"/>
            <w:vAlign w:val="center"/>
          </w:tcPr>
          <w:p w14:paraId="2991C251" w14:textId="45D6773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FAOSTAT</w:t>
            </w:r>
          </w:p>
        </w:tc>
        <w:tc>
          <w:tcPr>
            <w:tcW w:w="4505" w:type="dxa"/>
            <w:vAlign w:val="center"/>
          </w:tcPr>
          <w:p w14:paraId="57D872B1" w14:textId="6E0C790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Food and Agriculture Organization Corporate Statistical Database </w:t>
            </w:r>
          </w:p>
        </w:tc>
      </w:tr>
      <w:tr w:rsidR="005505BF" w:rsidRPr="00610088" w14:paraId="4636B7B4" w14:textId="77777777" w:rsidTr="00AD0FA5">
        <w:tc>
          <w:tcPr>
            <w:tcW w:w="4505" w:type="dxa"/>
            <w:vAlign w:val="center"/>
          </w:tcPr>
          <w:p w14:paraId="27CC29F0" w14:textId="4EC2FE4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FBO</w:t>
            </w:r>
          </w:p>
        </w:tc>
        <w:tc>
          <w:tcPr>
            <w:tcW w:w="4505" w:type="dxa"/>
            <w:vAlign w:val="center"/>
          </w:tcPr>
          <w:p w14:paraId="5E71938F" w14:textId="6ADBE92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Faith-Based </w:t>
            </w:r>
            <w:proofErr w:type="spellStart"/>
            <w:r>
              <w:rPr>
                <w:rFonts w:ascii="Calibri" w:hAnsi="Calibri" w:cs="Calibri"/>
                <w:color w:val="000000"/>
                <w:sz w:val="18"/>
                <w:szCs w:val="18"/>
              </w:rPr>
              <w:t>Organisation</w:t>
            </w:r>
            <w:proofErr w:type="spellEnd"/>
          </w:p>
        </w:tc>
      </w:tr>
      <w:tr w:rsidR="005505BF" w:rsidRPr="00610088" w14:paraId="7EC3BDAC" w14:textId="77777777" w:rsidTr="001B16D1">
        <w:tc>
          <w:tcPr>
            <w:tcW w:w="4505" w:type="dxa"/>
            <w:vAlign w:val="center"/>
          </w:tcPr>
          <w:p w14:paraId="3C325DAA" w14:textId="007A4A8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FCTC</w:t>
            </w:r>
          </w:p>
        </w:tc>
        <w:tc>
          <w:tcPr>
            <w:tcW w:w="4505" w:type="dxa"/>
            <w:vAlign w:val="center"/>
          </w:tcPr>
          <w:p w14:paraId="73402476" w14:textId="3D32F4E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Framework Convention for Tobacco Control</w:t>
            </w:r>
          </w:p>
        </w:tc>
      </w:tr>
      <w:tr w:rsidR="005505BF" w:rsidRPr="00610088" w14:paraId="610ED61D" w14:textId="77777777" w:rsidTr="00AD0FA5">
        <w:tc>
          <w:tcPr>
            <w:tcW w:w="4505" w:type="dxa"/>
            <w:vAlign w:val="center"/>
          </w:tcPr>
          <w:p w14:paraId="36506499" w14:textId="285DEED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FHCI</w:t>
            </w:r>
          </w:p>
        </w:tc>
        <w:tc>
          <w:tcPr>
            <w:tcW w:w="4505" w:type="dxa"/>
            <w:vAlign w:val="center"/>
          </w:tcPr>
          <w:p w14:paraId="453017D3" w14:textId="253BABC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Free Health Care Initiative</w:t>
            </w:r>
          </w:p>
        </w:tc>
      </w:tr>
      <w:tr w:rsidR="005505BF" w:rsidRPr="00610088" w14:paraId="7CFAC428" w14:textId="77777777" w:rsidTr="00AD0FA5">
        <w:tc>
          <w:tcPr>
            <w:tcW w:w="4505" w:type="dxa"/>
            <w:vAlign w:val="center"/>
          </w:tcPr>
          <w:p w14:paraId="1138F5EC" w14:textId="56FD87A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FMC</w:t>
            </w:r>
          </w:p>
        </w:tc>
        <w:tc>
          <w:tcPr>
            <w:tcW w:w="4505" w:type="dxa"/>
            <w:vAlign w:val="center"/>
          </w:tcPr>
          <w:p w14:paraId="513F1AFA" w14:textId="678CD5F5"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Facily</w:t>
            </w:r>
            <w:proofErr w:type="spellEnd"/>
            <w:r>
              <w:rPr>
                <w:rFonts w:ascii="Calibri" w:hAnsi="Calibri" w:cs="Calibri"/>
                <w:color w:val="000000"/>
                <w:sz w:val="18"/>
                <w:szCs w:val="18"/>
              </w:rPr>
              <w:t xml:space="preserve"> Management Committee</w:t>
            </w:r>
          </w:p>
        </w:tc>
      </w:tr>
      <w:tr w:rsidR="005505BF" w:rsidRPr="00610088" w14:paraId="6DC986BA" w14:textId="77777777" w:rsidTr="00AD0FA5">
        <w:tc>
          <w:tcPr>
            <w:tcW w:w="4505" w:type="dxa"/>
            <w:vAlign w:val="center"/>
          </w:tcPr>
          <w:p w14:paraId="2816CD0F" w14:textId="0EEEBD42" w:rsidR="005505BF" w:rsidRPr="00610088" w:rsidRDefault="005505BF" w:rsidP="005505BF">
            <w:pPr>
              <w:rPr>
                <w:rFonts w:ascii="Calibri" w:hAnsi="Calibri" w:cs="Calibri"/>
                <w:color w:val="000000"/>
                <w:sz w:val="18"/>
                <w:szCs w:val="18"/>
                <w:lang w:val="en-GB"/>
              </w:rPr>
            </w:pPr>
            <w:proofErr w:type="spellStart"/>
            <w:r>
              <w:rPr>
                <w:rFonts w:ascii="Calibri" w:hAnsi="Calibri" w:cs="Calibri"/>
                <w:color w:val="000000"/>
                <w:sz w:val="18"/>
                <w:szCs w:val="18"/>
              </w:rPr>
              <w:t>FoRUT</w:t>
            </w:r>
            <w:proofErr w:type="spellEnd"/>
          </w:p>
        </w:tc>
        <w:tc>
          <w:tcPr>
            <w:tcW w:w="4505" w:type="dxa"/>
            <w:vAlign w:val="center"/>
          </w:tcPr>
          <w:p w14:paraId="0DC5869A" w14:textId="4A4578FC"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Foundation for Rural and Urban Transformation</w:t>
            </w:r>
          </w:p>
        </w:tc>
      </w:tr>
      <w:tr w:rsidR="005505BF" w:rsidRPr="00610088" w14:paraId="4E6E14B2" w14:textId="77777777" w:rsidTr="001B16D1">
        <w:tc>
          <w:tcPr>
            <w:tcW w:w="4505" w:type="dxa"/>
            <w:vAlign w:val="center"/>
          </w:tcPr>
          <w:p w14:paraId="3B441C7B" w14:textId="2399558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FSU</w:t>
            </w:r>
          </w:p>
        </w:tc>
        <w:tc>
          <w:tcPr>
            <w:tcW w:w="4505" w:type="dxa"/>
            <w:vAlign w:val="center"/>
          </w:tcPr>
          <w:p w14:paraId="3F056E87" w14:textId="43D5FC8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Family Support Unit (Police)</w:t>
            </w:r>
          </w:p>
        </w:tc>
      </w:tr>
      <w:tr w:rsidR="005505BF" w:rsidRPr="00610088" w14:paraId="17270C94" w14:textId="77777777" w:rsidTr="00AD0FA5">
        <w:tc>
          <w:tcPr>
            <w:tcW w:w="4505" w:type="dxa"/>
            <w:vAlign w:val="center"/>
          </w:tcPr>
          <w:p w14:paraId="701CE0D4" w14:textId="387DC3D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G6PD</w:t>
            </w:r>
          </w:p>
        </w:tc>
        <w:tc>
          <w:tcPr>
            <w:tcW w:w="4505" w:type="dxa"/>
            <w:vAlign w:val="center"/>
          </w:tcPr>
          <w:p w14:paraId="1EEA2200" w14:textId="30292B2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Glucose-6-phosphate dehydrogenase</w:t>
            </w:r>
          </w:p>
        </w:tc>
      </w:tr>
      <w:tr w:rsidR="005505BF" w:rsidRPr="00610088" w14:paraId="78720C8C" w14:textId="77777777" w:rsidTr="00AD0FA5">
        <w:tc>
          <w:tcPr>
            <w:tcW w:w="4505" w:type="dxa"/>
            <w:vAlign w:val="center"/>
          </w:tcPr>
          <w:p w14:paraId="501A548B" w14:textId="7CB260CE"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GBD</w:t>
            </w:r>
          </w:p>
        </w:tc>
        <w:tc>
          <w:tcPr>
            <w:tcW w:w="4505" w:type="dxa"/>
            <w:vAlign w:val="center"/>
          </w:tcPr>
          <w:p w14:paraId="1D2A3CFA" w14:textId="380DFCE6"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Global Burden of Disease</w:t>
            </w:r>
          </w:p>
        </w:tc>
      </w:tr>
      <w:tr w:rsidR="005505BF" w:rsidRPr="00610088" w14:paraId="1D02572E" w14:textId="77777777" w:rsidTr="00AD0FA5">
        <w:tc>
          <w:tcPr>
            <w:tcW w:w="4505" w:type="dxa"/>
            <w:vAlign w:val="center"/>
          </w:tcPr>
          <w:p w14:paraId="4A584CDF" w14:textId="58BB7B7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GDP</w:t>
            </w:r>
          </w:p>
        </w:tc>
        <w:tc>
          <w:tcPr>
            <w:tcW w:w="4505" w:type="dxa"/>
            <w:vAlign w:val="center"/>
          </w:tcPr>
          <w:p w14:paraId="3889E426" w14:textId="0B49775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Gross Domestic Product</w:t>
            </w:r>
          </w:p>
        </w:tc>
      </w:tr>
      <w:tr w:rsidR="005505BF" w:rsidRPr="00610088" w14:paraId="47549DE8" w14:textId="77777777" w:rsidTr="00AD0FA5">
        <w:tc>
          <w:tcPr>
            <w:tcW w:w="4505" w:type="dxa"/>
            <w:vAlign w:val="center"/>
          </w:tcPr>
          <w:p w14:paraId="15E0B6B6" w14:textId="1CA1324F"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Globocan</w:t>
            </w:r>
            <w:proofErr w:type="spellEnd"/>
          </w:p>
        </w:tc>
        <w:tc>
          <w:tcPr>
            <w:tcW w:w="4505" w:type="dxa"/>
            <w:vAlign w:val="center"/>
          </w:tcPr>
          <w:p w14:paraId="68CE2454" w14:textId="66971E9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Global Cancer Observatory</w:t>
            </w:r>
          </w:p>
        </w:tc>
      </w:tr>
      <w:tr w:rsidR="005505BF" w:rsidRPr="00610088" w14:paraId="01E2BE86" w14:textId="77777777" w:rsidTr="00AD0FA5">
        <w:tc>
          <w:tcPr>
            <w:tcW w:w="4505" w:type="dxa"/>
            <w:vAlign w:val="center"/>
          </w:tcPr>
          <w:p w14:paraId="143A9CA2" w14:textId="558A2C17"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GoSL</w:t>
            </w:r>
            <w:proofErr w:type="spellEnd"/>
          </w:p>
        </w:tc>
        <w:tc>
          <w:tcPr>
            <w:tcW w:w="4505" w:type="dxa"/>
            <w:vAlign w:val="center"/>
          </w:tcPr>
          <w:p w14:paraId="2797B40A" w14:textId="5EC70F3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Government of Sierra Leone</w:t>
            </w:r>
          </w:p>
        </w:tc>
      </w:tr>
      <w:tr w:rsidR="005505BF" w:rsidRPr="00610088" w14:paraId="0888F0CF" w14:textId="77777777" w:rsidTr="00AD0FA5">
        <w:tc>
          <w:tcPr>
            <w:tcW w:w="4505" w:type="dxa"/>
            <w:vAlign w:val="center"/>
          </w:tcPr>
          <w:p w14:paraId="72B3DAD1" w14:textId="3758143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HBsAg</w:t>
            </w:r>
          </w:p>
        </w:tc>
        <w:tc>
          <w:tcPr>
            <w:tcW w:w="4505" w:type="dxa"/>
            <w:vAlign w:val="center"/>
          </w:tcPr>
          <w:p w14:paraId="78DE7059" w14:textId="270F93E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hepatitis B surface antigen</w:t>
            </w:r>
          </w:p>
        </w:tc>
      </w:tr>
      <w:tr w:rsidR="005505BF" w:rsidRPr="00610088" w14:paraId="0EB3F35E" w14:textId="77777777" w:rsidTr="00AD0FA5">
        <w:tc>
          <w:tcPr>
            <w:tcW w:w="4505" w:type="dxa"/>
            <w:vAlign w:val="center"/>
          </w:tcPr>
          <w:p w14:paraId="088AED06" w14:textId="7309A15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HCV</w:t>
            </w:r>
          </w:p>
        </w:tc>
        <w:tc>
          <w:tcPr>
            <w:tcW w:w="4505" w:type="dxa"/>
            <w:vAlign w:val="center"/>
          </w:tcPr>
          <w:p w14:paraId="54B3BF05" w14:textId="7900127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Hepatitis C Virus</w:t>
            </w:r>
          </w:p>
        </w:tc>
      </w:tr>
      <w:tr w:rsidR="005505BF" w:rsidRPr="00610088" w14:paraId="429591BD" w14:textId="77777777" w:rsidTr="00AD0FA5">
        <w:tc>
          <w:tcPr>
            <w:tcW w:w="4505" w:type="dxa"/>
            <w:vAlign w:val="center"/>
          </w:tcPr>
          <w:p w14:paraId="288C1ABE" w14:textId="605E8017"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HiB</w:t>
            </w:r>
            <w:proofErr w:type="spellEnd"/>
          </w:p>
        </w:tc>
        <w:tc>
          <w:tcPr>
            <w:tcW w:w="4505" w:type="dxa"/>
            <w:vAlign w:val="center"/>
          </w:tcPr>
          <w:p w14:paraId="21EAAA57" w14:textId="4A760646"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Haemophilus</w:t>
            </w:r>
            <w:proofErr w:type="spellEnd"/>
            <w:r>
              <w:rPr>
                <w:rFonts w:ascii="Calibri" w:hAnsi="Calibri" w:cs="Calibri"/>
                <w:color w:val="000000"/>
                <w:sz w:val="18"/>
                <w:szCs w:val="18"/>
              </w:rPr>
              <w:t xml:space="preserve"> Influenzae type B</w:t>
            </w:r>
          </w:p>
        </w:tc>
      </w:tr>
      <w:tr w:rsidR="005505BF" w:rsidRPr="00610088" w14:paraId="5DEA21A6" w14:textId="77777777" w:rsidTr="00AD0FA5">
        <w:tc>
          <w:tcPr>
            <w:tcW w:w="4505" w:type="dxa"/>
            <w:vAlign w:val="center"/>
          </w:tcPr>
          <w:p w14:paraId="7F04DA18" w14:textId="7EB3C14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HIV</w:t>
            </w:r>
          </w:p>
        </w:tc>
        <w:tc>
          <w:tcPr>
            <w:tcW w:w="4505" w:type="dxa"/>
            <w:vAlign w:val="center"/>
          </w:tcPr>
          <w:p w14:paraId="782FD422" w14:textId="39CAF46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Human Immunodeficiency Virus</w:t>
            </w:r>
          </w:p>
        </w:tc>
      </w:tr>
      <w:tr w:rsidR="005505BF" w:rsidRPr="00610088" w14:paraId="0D2B2002" w14:textId="77777777" w:rsidTr="00AD0FA5">
        <w:tc>
          <w:tcPr>
            <w:tcW w:w="4505" w:type="dxa"/>
            <w:vAlign w:val="center"/>
          </w:tcPr>
          <w:p w14:paraId="6CBE05A9" w14:textId="04673AF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HMC</w:t>
            </w:r>
          </w:p>
        </w:tc>
        <w:tc>
          <w:tcPr>
            <w:tcW w:w="4505" w:type="dxa"/>
            <w:vAlign w:val="center"/>
          </w:tcPr>
          <w:p w14:paraId="50EC1D41" w14:textId="6D66C04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Health Management Committee</w:t>
            </w:r>
          </w:p>
        </w:tc>
      </w:tr>
      <w:tr w:rsidR="005505BF" w:rsidRPr="00610088" w14:paraId="65319CA6" w14:textId="77777777" w:rsidTr="001B16D1">
        <w:tc>
          <w:tcPr>
            <w:tcW w:w="4505" w:type="dxa"/>
            <w:vAlign w:val="center"/>
          </w:tcPr>
          <w:p w14:paraId="4A779497" w14:textId="6695D5A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lastRenderedPageBreak/>
              <w:t>HMIS</w:t>
            </w:r>
          </w:p>
        </w:tc>
        <w:tc>
          <w:tcPr>
            <w:tcW w:w="4505" w:type="dxa"/>
            <w:vAlign w:val="center"/>
          </w:tcPr>
          <w:p w14:paraId="688C309B" w14:textId="5299CDA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Health Management Information System</w:t>
            </w:r>
          </w:p>
        </w:tc>
      </w:tr>
      <w:tr w:rsidR="005505BF" w:rsidRPr="00610088" w14:paraId="5BB2AA97" w14:textId="77777777" w:rsidTr="00AD0FA5">
        <w:tc>
          <w:tcPr>
            <w:tcW w:w="4505" w:type="dxa"/>
            <w:vAlign w:val="center"/>
          </w:tcPr>
          <w:p w14:paraId="692EF2A5" w14:textId="02743BA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HPV</w:t>
            </w:r>
          </w:p>
        </w:tc>
        <w:tc>
          <w:tcPr>
            <w:tcW w:w="4505" w:type="dxa"/>
            <w:vAlign w:val="center"/>
          </w:tcPr>
          <w:p w14:paraId="491F9562" w14:textId="4980B1D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Human Papillomavirus</w:t>
            </w:r>
          </w:p>
        </w:tc>
      </w:tr>
      <w:tr w:rsidR="005505BF" w:rsidRPr="00610088" w14:paraId="4B32B7AF" w14:textId="77777777" w:rsidTr="001B16D1">
        <w:tc>
          <w:tcPr>
            <w:tcW w:w="4505" w:type="dxa"/>
            <w:vAlign w:val="center"/>
          </w:tcPr>
          <w:p w14:paraId="0BA97AA4" w14:textId="065ABA6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HRH</w:t>
            </w:r>
          </w:p>
        </w:tc>
        <w:tc>
          <w:tcPr>
            <w:tcW w:w="4505" w:type="dxa"/>
            <w:vAlign w:val="center"/>
          </w:tcPr>
          <w:p w14:paraId="7FD28B30" w14:textId="0DCE975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Human Resources for Health</w:t>
            </w:r>
          </w:p>
        </w:tc>
      </w:tr>
      <w:tr w:rsidR="005505BF" w:rsidRPr="00610088" w14:paraId="53A2ABC1" w14:textId="77777777" w:rsidTr="001B16D1">
        <w:tc>
          <w:tcPr>
            <w:tcW w:w="4505" w:type="dxa"/>
            <w:vAlign w:val="bottom"/>
          </w:tcPr>
          <w:p w14:paraId="73BD892A" w14:textId="55959728" w:rsidR="005505BF" w:rsidRPr="00610088" w:rsidRDefault="005505BF" w:rsidP="005505BF">
            <w:pPr>
              <w:rPr>
                <w:rFonts w:ascii="Calibri" w:hAnsi="Calibri"/>
                <w:color w:val="000000"/>
                <w:sz w:val="18"/>
                <w:szCs w:val="18"/>
                <w:lang w:val="en-GB"/>
              </w:rPr>
            </w:pPr>
            <w:r>
              <w:rPr>
                <w:rFonts w:ascii="Calibri" w:hAnsi="Calibri" w:cs="Calibri"/>
                <w:color w:val="000000"/>
                <w:szCs w:val="21"/>
              </w:rPr>
              <w:t xml:space="preserve">I$ </w:t>
            </w:r>
          </w:p>
        </w:tc>
        <w:tc>
          <w:tcPr>
            <w:tcW w:w="4505" w:type="dxa"/>
            <w:vAlign w:val="center"/>
          </w:tcPr>
          <w:p w14:paraId="4944133B" w14:textId="0A0EA86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International Dollar</w:t>
            </w:r>
          </w:p>
        </w:tc>
      </w:tr>
      <w:tr w:rsidR="005505BF" w:rsidRPr="00610088" w14:paraId="228459B0" w14:textId="77777777" w:rsidTr="001B16D1">
        <w:tc>
          <w:tcPr>
            <w:tcW w:w="4505" w:type="dxa"/>
            <w:vAlign w:val="center"/>
          </w:tcPr>
          <w:p w14:paraId="22A3E57B" w14:textId="1646F88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IAEA</w:t>
            </w:r>
          </w:p>
        </w:tc>
        <w:tc>
          <w:tcPr>
            <w:tcW w:w="4505" w:type="dxa"/>
            <w:vAlign w:val="center"/>
          </w:tcPr>
          <w:p w14:paraId="04A75569" w14:textId="4D20879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International Atomic Energy Agency </w:t>
            </w:r>
          </w:p>
        </w:tc>
      </w:tr>
      <w:tr w:rsidR="005505BF" w:rsidRPr="00610088" w14:paraId="57DDEF3D" w14:textId="77777777" w:rsidTr="00AD0FA5">
        <w:tc>
          <w:tcPr>
            <w:tcW w:w="4505" w:type="dxa"/>
            <w:vAlign w:val="center"/>
          </w:tcPr>
          <w:p w14:paraId="4A7185C9" w14:textId="5D9964C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IATI</w:t>
            </w:r>
          </w:p>
        </w:tc>
        <w:tc>
          <w:tcPr>
            <w:tcW w:w="4505" w:type="dxa"/>
            <w:vAlign w:val="center"/>
          </w:tcPr>
          <w:p w14:paraId="0026497D" w14:textId="3835A80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International Aid Transparency Initiative</w:t>
            </w:r>
          </w:p>
        </w:tc>
      </w:tr>
      <w:tr w:rsidR="005505BF" w:rsidRPr="00610088" w14:paraId="51D1D1B5" w14:textId="77777777" w:rsidTr="001B16D1">
        <w:tc>
          <w:tcPr>
            <w:tcW w:w="4505" w:type="dxa"/>
            <w:vAlign w:val="center"/>
          </w:tcPr>
          <w:p w14:paraId="782FE527" w14:textId="211FBC6B"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iCCM</w:t>
            </w:r>
            <w:proofErr w:type="spellEnd"/>
          </w:p>
        </w:tc>
        <w:tc>
          <w:tcPr>
            <w:tcW w:w="4505" w:type="dxa"/>
            <w:vAlign w:val="center"/>
          </w:tcPr>
          <w:p w14:paraId="60770A45" w14:textId="6BCD142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integrated Community Case Management</w:t>
            </w:r>
          </w:p>
        </w:tc>
      </w:tr>
      <w:tr w:rsidR="005505BF" w:rsidRPr="00610088" w14:paraId="5C7E96F6" w14:textId="77777777" w:rsidTr="00AD0FA5">
        <w:tc>
          <w:tcPr>
            <w:tcW w:w="4505" w:type="dxa"/>
            <w:vAlign w:val="center"/>
          </w:tcPr>
          <w:p w14:paraId="7966E205" w14:textId="203FE6E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ICT</w:t>
            </w:r>
          </w:p>
        </w:tc>
        <w:tc>
          <w:tcPr>
            <w:tcW w:w="4505" w:type="dxa"/>
            <w:vAlign w:val="center"/>
          </w:tcPr>
          <w:p w14:paraId="7AF9CEC7" w14:textId="411D184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Information and Communication Technology</w:t>
            </w:r>
          </w:p>
        </w:tc>
      </w:tr>
      <w:tr w:rsidR="005505BF" w:rsidRPr="00610088" w14:paraId="577BD886" w14:textId="77777777" w:rsidTr="00AD0FA5">
        <w:tc>
          <w:tcPr>
            <w:tcW w:w="4505" w:type="dxa"/>
            <w:vAlign w:val="center"/>
          </w:tcPr>
          <w:p w14:paraId="7F724024" w14:textId="7B2B8D8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IDSR</w:t>
            </w:r>
          </w:p>
        </w:tc>
        <w:tc>
          <w:tcPr>
            <w:tcW w:w="4505" w:type="dxa"/>
            <w:vAlign w:val="center"/>
          </w:tcPr>
          <w:p w14:paraId="5D13B10B" w14:textId="7BA1711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Integrated Disease Surveillance and Response</w:t>
            </w:r>
          </w:p>
        </w:tc>
      </w:tr>
      <w:tr w:rsidR="005505BF" w:rsidRPr="00610088" w14:paraId="22824B6A" w14:textId="77777777" w:rsidTr="00AD0FA5">
        <w:tc>
          <w:tcPr>
            <w:tcW w:w="4505" w:type="dxa"/>
            <w:vAlign w:val="center"/>
          </w:tcPr>
          <w:p w14:paraId="452E6B3D" w14:textId="555DCF0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IEC/BCC</w:t>
            </w:r>
          </w:p>
        </w:tc>
        <w:tc>
          <w:tcPr>
            <w:tcW w:w="4505" w:type="dxa"/>
            <w:vAlign w:val="center"/>
          </w:tcPr>
          <w:p w14:paraId="20D4E5D8" w14:textId="1DDF4C2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Information, Education, Communication / </w:t>
            </w:r>
            <w:proofErr w:type="spellStart"/>
            <w:r>
              <w:rPr>
                <w:rFonts w:ascii="Calibri" w:hAnsi="Calibri" w:cs="Calibri"/>
                <w:color w:val="000000"/>
                <w:sz w:val="18"/>
                <w:szCs w:val="18"/>
              </w:rPr>
              <w:t>Behaviour</w:t>
            </w:r>
            <w:proofErr w:type="spellEnd"/>
            <w:r>
              <w:rPr>
                <w:rFonts w:ascii="Calibri" w:hAnsi="Calibri" w:cs="Calibri"/>
                <w:color w:val="000000"/>
                <w:sz w:val="18"/>
                <w:szCs w:val="18"/>
              </w:rPr>
              <w:t xml:space="preserve"> Change Communication</w:t>
            </w:r>
          </w:p>
        </w:tc>
      </w:tr>
      <w:tr w:rsidR="005505BF" w:rsidRPr="00610088" w14:paraId="412B0164" w14:textId="77777777" w:rsidTr="00AD0FA5">
        <w:tc>
          <w:tcPr>
            <w:tcW w:w="4505" w:type="dxa"/>
            <w:vAlign w:val="center"/>
          </w:tcPr>
          <w:p w14:paraId="7B93E0F8" w14:textId="25D5A4B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IHME</w:t>
            </w:r>
          </w:p>
        </w:tc>
        <w:tc>
          <w:tcPr>
            <w:tcW w:w="4505" w:type="dxa"/>
            <w:vAlign w:val="center"/>
          </w:tcPr>
          <w:p w14:paraId="732A8486" w14:textId="134538E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Institute for Health Metrics and Evaluation </w:t>
            </w:r>
          </w:p>
        </w:tc>
      </w:tr>
      <w:tr w:rsidR="005505BF" w:rsidRPr="00610088" w14:paraId="49B20DA1" w14:textId="77777777" w:rsidTr="001B16D1">
        <w:tc>
          <w:tcPr>
            <w:tcW w:w="4505" w:type="dxa"/>
            <w:vAlign w:val="center"/>
          </w:tcPr>
          <w:p w14:paraId="29E124C8" w14:textId="061D0CB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IHPAU</w:t>
            </w:r>
          </w:p>
        </w:tc>
        <w:tc>
          <w:tcPr>
            <w:tcW w:w="4505" w:type="dxa"/>
            <w:vAlign w:val="center"/>
          </w:tcPr>
          <w:p w14:paraId="3D4CE320" w14:textId="0031267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Integrated Health Project Administration Unit</w:t>
            </w:r>
          </w:p>
        </w:tc>
      </w:tr>
      <w:tr w:rsidR="005505BF" w:rsidRPr="00610088" w14:paraId="69F3B9C6" w14:textId="77777777" w:rsidTr="001B16D1">
        <w:tc>
          <w:tcPr>
            <w:tcW w:w="4505" w:type="dxa"/>
            <w:vAlign w:val="center"/>
          </w:tcPr>
          <w:p w14:paraId="4EC1AC82" w14:textId="2DFE9058"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iHRIS</w:t>
            </w:r>
            <w:proofErr w:type="spellEnd"/>
          </w:p>
        </w:tc>
        <w:tc>
          <w:tcPr>
            <w:tcW w:w="4505" w:type="dxa"/>
            <w:vAlign w:val="center"/>
          </w:tcPr>
          <w:p w14:paraId="7703DAF4" w14:textId="4A60575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integrated Human Resource Information System</w:t>
            </w:r>
          </w:p>
        </w:tc>
      </w:tr>
      <w:tr w:rsidR="005505BF" w:rsidRPr="00610088" w14:paraId="5DABB510" w14:textId="77777777" w:rsidTr="001B16D1">
        <w:tc>
          <w:tcPr>
            <w:tcW w:w="4505" w:type="dxa"/>
            <w:vAlign w:val="center"/>
          </w:tcPr>
          <w:p w14:paraId="462AD9F0" w14:textId="23907084"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imPACT</w:t>
            </w:r>
            <w:proofErr w:type="spellEnd"/>
          </w:p>
        </w:tc>
        <w:tc>
          <w:tcPr>
            <w:tcW w:w="4505" w:type="dxa"/>
            <w:vAlign w:val="center"/>
          </w:tcPr>
          <w:p w14:paraId="74F7B370" w14:textId="6A014D1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Integrated Mission of </w:t>
            </w:r>
            <w:proofErr w:type="spellStart"/>
            <w:r>
              <w:rPr>
                <w:rFonts w:ascii="Calibri" w:hAnsi="Calibri" w:cs="Calibri"/>
                <w:color w:val="000000"/>
                <w:sz w:val="18"/>
                <w:szCs w:val="18"/>
              </w:rPr>
              <w:t>Programme</w:t>
            </w:r>
            <w:proofErr w:type="spellEnd"/>
            <w:r>
              <w:rPr>
                <w:rFonts w:ascii="Calibri" w:hAnsi="Calibri" w:cs="Calibri"/>
                <w:color w:val="000000"/>
                <w:sz w:val="18"/>
                <w:szCs w:val="18"/>
              </w:rPr>
              <w:t xml:space="preserve"> of Action for Cancer </w:t>
            </w:r>
          </w:p>
        </w:tc>
      </w:tr>
      <w:tr w:rsidR="005505BF" w:rsidRPr="00610088" w14:paraId="3F6CAC5B" w14:textId="77777777" w:rsidTr="00AD0FA5">
        <w:tc>
          <w:tcPr>
            <w:tcW w:w="4505" w:type="dxa"/>
            <w:vAlign w:val="center"/>
          </w:tcPr>
          <w:p w14:paraId="1F4E1DE0" w14:textId="6CA535F6"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ISSV</w:t>
            </w:r>
          </w:p>
        </w:tc>
        <w:tc>
          <w:tcPr>
            <w:tcW w:w="4505" w:type="dxa"/>
            <w:vAlign w:val="center"/>
          </w:tcPr>
          <w:p w14:paraId="12DCE5E8" w14:textId="3402577E"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Integrated Supportive Supervision</w:t>
            </w:r>
          </w:p>
        </w:tc>
      </w:tr>
      <w:tr w:rsidR="005505BF" w:rsidRPr="00610088" w14:paraId="4559211F" w14:textId="77777777" w:rsidTr="00AD0FA5">
        <w:tc>
          <w:tcPr>
            <w:tcW w:w="4505" w:type="dxa"/>
            <w:vAlign w:val="center"/>
          </w:tcPr>
          <w:p w14:paraId="471CE5F1" w14:textId="250B705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LGFD</w:t>
            </w:r>
          </w:p>
        </w:tc>
        <w:tc>
          <w:tcPr>
            <w:tcW w:w="4505" w:type="dxa"/>
            <w:vAlign w:val="center"/>
          </w:tcPr>
          <w:p w14:paraId="3AAE21F2" w14:textId="0F4AEE9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Local Government Finance Department</w:t>
            </w:r>
          </w:p>
        </w:tc>
      </w:tr>
      <w:tr w:rsidR="005505BF" w:rsidRPr="00610088" w14:paraId="7F3B2A9A" w14:textId="77777777" w:rsidTr="001B16D1">
        <w:tc>
          <w:tcPr>
            <w:tcW w:w="4505" w:type="dxa"/>
            <w:vAlign w:val="center"/>
          </w:tcPr>
          <w:p w14:paraId="075884CC" w14:textId="32B73EC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LMIC</w:t>
            </w:r>
          </w:p>
        </w:tc>
        <w:tc>
          <w:tcPr>
            <w:tcW w:w="4505" w:type="dxa"/>
            <w:vAlign w:val="center"/>
          </w:tcPr>
          <w:p w14:paraId="69EB341D" w14:textId="1DD0D48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Low- and Middle-Income Country</w:t>
            </w:r>
          </w:p>
        </w:tc>
      </w:tr>
      <w:tr w:rsidR="005505BF" w:rsidRPr="00610088" w14:paraId="676C4238" w14:textId="77777777" w:rsidTr="001B16D1">
        <w:tc>
          <w:tcPr>
            <w:tcW w:w="4505" w:type="dxa"/>
            <w:vAlign w:val="center"/>
          </w:tcPr>
          <w:p w14:paraId="1BDE4FA2" w14:textId="111DFAA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LMIS</w:t>
            </w:r>
          </w:p>
        </w:tc>
        <w:tc>
          <w:tcPr>
            <w:tcW w:w="4505" w:type="dxa"/>
            <w:vAlign w:val="center"/>
          </w:tcPr>
          <w:p w14:paraId="3AA1ACBB" w14:textId="0FEFDF76"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Logistic Management Information System</w:t>
            </w:r>
          </w:p>
        </w:tc>
      </w:tr>
      <w:tr w:rsidR="005505BF" w:rsidRPr="00610088" w14:paraId="0A88E154" w14:textId="77777777" w:rsidTr="00AD0FA5">
        <w:tc>
          <w:tcPr>
            <w:tcW w:w="4505" w:type="dxa"/>
            <w:vAlign w:val="center"/>
          </w:tcPr>
          <w:p w14:paraId="3F3558B4" w14:textId="766BD2D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M&amp;E</w:t>
            </w:r>
          </w:p>
        </w:tc>
        <w:tc>
          <w:tcPr>
            <w:tcW w:w="4505" w:type="dxa"/>
            <w:vAlign w:val="center"/>
          </w:tcPr>
          <w:p w14:paraId="7C98BC9E" w14:textId="5A0516A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Monitoring &amp; Evaluation</w:t>
            </w:r>
          </w:p>
        </w:tc>
      </w:tr>
      <w:tr w:rsidR="005505BF" w:rsidRPr="00610088" w14:paraId="417953CD" w14:textId="77777777" w:rsidTr="00AD0FA5">
        <w:tc>
          <w:tcPr>
            <w:tcW w:w="4505" w:type="dxa"/>
            <w:vAlign w:val="center"/>
          </w:tcPr>
          <w:p w14:paraId="40390498" w14:textId="7C7C875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MAFFS</w:t>
            </w:r>
          </w:p>
        </w:tc>
        <w:tc>
          <w:tcPr>
            <w:tcW w:w="4505" w:type="dxa"/>
            <w:vAlign w:val="center"/>
          </w:tcPr>
          <w:p w14:paraId="66721415" w14:textId="491D2EE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Agriculture, Forestry and Food Security</w:t>
            </w:r>
          </w:p>
        </w:tc>
      </w:tr>
      <w:tr w:rsidR="005505BF" w:rsidRPr="00610088" w14:paraId="65259925" w14:textId="77777777" w:rsidTr="001B16D1">
        <w:tc>
          <w:tcPr>
            <w:tcW w:w="4505" w:type="dxa"/>
            <w:vAlign w:val="center"/>
          </w:tcPr>
          <w:p w14:paraId="6690C812" w14:textId="6C0B6B6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MBSSE</w:t>
            </w:r>
          </w:p>
        </w:tc>
        <w:tc>
          <w:tcPr>
            <w:tcW w:w="4505" w:type="dxa"/>
            <w:vAlign w:val="center"/>
          </w:tcPr>
          <w:p w14:paraId="5B584A41" w14:textId="442B440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Basic and Senior Secondary Education</w:t>
            </w:r>
          </w:p>
        </w:tc>
      </w:tr>
      <w:tr w:rsidR="005505BF" w:rsidRPr="00610088" w14:paraId="147FC0A4" w14:textId="77777777" w:rsidTr="00AD0FA5">
        <w:tc>
          <w:tcPr>
            <w:tcW w:w="4505" w:type="dxa"/>
            <w:vAlign w:val="center"/>
          </w:tcPr>
          <w:p w14:paraId="6E71121B" w14:textId="4AF5B937"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MCHAide</w:t>
            </w:r>
            <w:proofErr w:type="spellEnd"/>
          </w:p>
        </w:tc>
        <w:tc>
          <w:tcPr>
            <w:tcW w:w="4505" w:type="dxa"/>
            <w:vAlign w:val="center"/>
          </w:tcPr>
          <w:p w14:paraId="02D084B5" w14:textId="5D0B19B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Mother and Child Health Aide</w:t>
            </w:r>
          </w:p>
        </w:tc>
      </w:tr>
      <w:tr w:rsidR="005505BF" w:rsidRPr="00610088" w14:paraId="6B2A1E34" w14:textId="77777777" w:rsidTr="00AD0FA5">
        <w:tc>
          <w:tcPr>
            <w:tcW w:w="4505" w:type="dxa"/>
            <w:vAlign w:val="center"/>
          </w:tcPr>
          <w:p w14:paraId="040DFF7E" w14:textId="09B7DCA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MCHP</w:t>
            </w:r>
          </w:p>
        </w:tc>
        <w:tc>
          <w:tcPr>
            <w:tcW w:w="4505" w:type="dxa"/>
            <w:vAlign w:val="center"/>
          </w:tcPr>
          <w:p w14:paraId="280F39D3" w14:textId="404E4EB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Mother and Child Health Post</w:t>
            </w:r>
          </w:p>
        </w:tc>
      </w:tr>
      <w:tr w:rsidR="005505BF" w:rsidRPr="00610088" w14:paraId="279A6571" w14:textId="77777777" w:rsidTr="00AD0FA5">
        <w:tc>
          <w:tcPr>
            <w:tcW w:w="4505" w:type="dxa"/>
            <w:vAlign w:val="center"/>
          </w:tcPr>
          <w:p w14:paraId="49D5A6D4" w14:textId="0D4ACF46"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MDAa</w:t>
            </w:r>
            <w:proofErr w:type="spellEnd"/>
          </w:p>
        </w:tc>
        <w:tc>
          <w:tcPr>
            <w:tcW w:w="4505" w:type="dxa"/>
            <w:vAlign w:val="center"/>
          </w:tcPr>
          <w:p w14:paraId="246DE943" w14:textId="7D68A2A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Ministries, Departments, Agencies</w:t>
            </w:r>
          </w:p>
        </w:tc>
      </w:tr>
      <w:tr w:rsidR="005505BF" w:rsidRPr="00610088" w14:paraId="6B1668C7" w14:textId="77777777" w:rsidTr="00AD0FA5">
        <w:tc>
          <w:tcPr>
            <w:tcW w:w="4505" w:type="dxa"/>
            <w:vAlign w:val="center"/>
          </w:tcPr>
          <w:p w14:paraId="69325912" w14:textId="5455CD2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MET</w:t>
            </w:r>
          </w:p>
        </w:tc>
        <w:tc>
          <w:tcPr>
            <w:tcW w:w="4505" w:type="dxa"/>
            <w:vAlign w:val="center"/>
          </w:tcPr>
          <w:p w14:paraId="4B8FEA25" w14:textId="2A17546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Metabolic Equivalent of Task</w:t>
            </w:r>
          </w:p>
        </w:tc>
      </w:tr>
      <w:tr w:rsidR="005505BF" w:rsidRPr="00610088" w14:paraId="30A183CE" w14:textId="77777777" w:rsidTr="00AD0FA5">
        <w:tc>
          <w:tcPr>
            <w:tcW w:w="4505" w:type="dxa"/>
            <w:vAlign w:val="center"/>
          </w:tcPr>
          <w:p w14:paraId="55BE843E" w14:textId="0CFD339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MIC</w:t>
            </w:r>
          </w:p>
        </w:tc>
        <w:tc>
          <w:tcPr>
            <w:tcW w:w="4505" w:type="dxa"/>
            <w:vAlign w:val="center"/>
          </w:tcPr>
          <w:p w14:paraId="08E4125F" w14:textId="71C1BD71"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Ministery</w:t>
            </w:r>
            <w:proofErr w:type="spellEnd"/>
            <w:r>
              <w:rPr>
                <w:rFonts w:ascii="Calibri" w:hAnsi="Calibri" w:cs="Calibri"/>
                <w:color w:val="000000"/>
                <w:sz w:val="18"/>
                <w:szCs w:val="18"/>
              </w:rPr>
              <w:t xml:space="preserve"> of Information and Communications</w:t>
            </w:r>
          </w:p>
        </w:tc>
      </w:tr>
      <w:tr w:rsidR="005505BF" w:rsidRPr="00610088" w14:paraId="0836501C" w14:textId="77777777" w:rsidTr="001B16D1">
        <w:tc>
          <w:tcPr>
            <w:tcW w:w="4505" w:type="dxa"/>
            <w:vAlign w:val="center"/>
          </w:tcPr>
          <w:p w14:paraId="3F4A3FA4" w14:textId="4316C75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MICS</w:t>
            </w:r>
          </w:p>
        </w:tc>
        <w:tc>
          <w:tcPr>
            <w:tcW w:w="4505" w:type="dxa"/>
            <w:vAlign w:val="center"/>
          </w:tcPr>
          <w:p w14:paraId="1E784D33" w14:textId="5FBD66C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Multiple Indicator Cluster Survey</w:t>
            </w:r>
          </w:p>
        </w:tc>
      </w:tr>
      <w:tr w:rsidR="005505BF" w:rsidRPr="00610088" w14:paraId="16C4D630" w14:textId="77777777" w:rsidTr="00AD0FA5">
        <w:tc>
          <w:tcPr>
            <w:tcW w:w="4505" w:type="dxa"/>
            <w:vAlign w:val="center"/>
          </w:tcPr>
          <w:p w14:paraId="26ABE697" w14:textId="50107C8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MLSS</w:t>
            </w:r>
          </w:p>
        </w:tc>
        <w:tc>
          <w:tcPr>
            <w:tcW w:w="4505" w:type="dxa"/>
            <w:vAlign w:val="center"/>
          </w:tcPr>
          <w:p w14:paraId="2BB9ECF9" w14:textId="0C1E8848"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Miniistry</w:t>
            </w:r>
            <w:proofErr w:type="spellEnd"/>
            <w:r>
              <w:rPr>
                <w:rFonts w:ascii="Calibri" w:hAnsi="Calibri" w:cs="Calibri"/>
                <w:color w:val="000000"/>
                <w:sz w:val="18"/>
                <w:szCs w:val="18"/>
              </w:rPr>
              <w:t xml:space="preserve"> of </w:t>
            </w:r>
            <w:proofErr w:type="spellStart"/>
            <w:r>
              <w:rPr>
                <w:rFonts w:ascii="Calibri" w:hAnsi="Calibri" w:cs="Calibri"/>
                <w:color w:val="000000"/>
                <w:sz w:val="18"/>
                <w:szCs w:val="18"/>
              </w:rPr>
              <w:t>Labour</w:t>
            </w:r>
            <w:proofErr w:type="spellEnd"/>
            <w:r>
              <w:rPr>
                <w:rFonts w:ascii="Calibri" w:hAnsi="Calibri" w:cs="Calibri"/>
                <w:color w:val="000000"/>
                <w:sz w:val="18"/>
                <w:szCs w:val="18"/>
              </w:rPr>
              <w:t xml:space="preserve"> and Social Security</w:t>
            </w:r>
          </w:p>
        </w:tc>
      </w:tr>
      <w:tr w:rsidR="005505BF" w:rsidRPr="00610088" w14:paraId="377DBF7E" w14:textId="77777777" w:rsidTr="00AD0FA5">
        <w:tc>
          <w:tcPr>
            <w:tcW w:w="4505" w:type="dxa"/>
            <w:vAlign w:val="center"/>
          </w:tcPr>
          <w:p w14:paraId="1859BF17" w14:textId="775F953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MMR</w:t>
            </w:r>
          </w:p>
        </w:tc>
        <w:tc>
          <w:tcPr>
            <w:tcW w:w="4505" w:type="dxa"/>
            <w:vAlign w:val="center"/>
          </w:tcPr>
          <w:p w14:paraId="46048C0E" w14:textId="0FC177C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Mineral Resources</w:t>
            </w:r>
          </w:p>
        </w:tc>
      </w:tr>
      <w:tr w:rsidR="005505BF" w:rsidRPr="00610088" w14:paraId="3739E489" w14:textId="77777777" w:rsidTr="00AD0FA5">
        <w:tc>
          <w:tcPr>
            <w:tcW w:w="4505" w:type="dxa"/>
            <w:vAlign w:val="center"/>
          </w:tcPr>
          <w:p w14:paraId="6E280668" w14:textId="21396013"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MoF</w:t>
            </w:r>
            <w:proofErr w:type="spellEnd"/>
          </w:p>
        </w:tc>
        <w:tc>
          <w:tcPr>
            <w:tcW w:w="4505" w:type="dxa"/>
            <w:vAlign w:val="center"/>
          </w:tcPr>
          <w:p w14:paraId="108AC87C" w14:textId="5574BD5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Finance</w:t>
            </w:r>
          </w:p>
        </w:tc>
      </w:tr>
      <w:tr w:rsidR="005505BF" w:rsidRPr="00610088" w14:paraId="24F77DC7" w14:textId="77777777" w:rsidTr="00AD0FA5">
        <w:tc>
          <w:tcPr>
            <w:tcW w:w="4505" w:type="dxa"/>
            <w:vAlign w:val="center"/>
          </w:tcPr>
          <w:p w14:paraId="43012B0B" w14:textId="34388BBA" w:rsidR="005505BF" w:rsidRPr="00610088" w:rsidRDefault="005505BF" w:rsidP="005505BF">
            <w:pPr>
              <w:rPr>
                <w:rFonts w:ascii="Calibri" w:hAnsi="Calibri"/>
                <w:color w:val="000000"/>
                <w:sz w:val="18"/>
                <w:szCs w:val="18"/>
                <w:lang w:val="en-GB"/>
              </w:rPr>
            </w:pPr>
            <w:proofErr w:type="spellStart"/>
            <w:r>
              <w:rPr>
                <w:rFonts w:ascii="Calibri" w:hAnsi="Calibri" w:cs="Calibri"/>
                <w:color w:val="000000"/>
                <w:sz w:val="18"/>
                <w:szCs w:val="18"/>
              </w:rPr>
              <w:t>MoHS</w:t>
            </w:r>
            <w:proofErr w:type="spellEnd"/>
          </w:p>
        </w:tc>
        <w:tc>
          <w:tcPr>
            <w:tcW w:w="4505" w:type="dxa"/>
            <w:vAlign w:val="center"/>
          </w:tcPr>
          <w:p w14:paraId="1EDD2595" w14:textId="7725B40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Health and Sanitation</w:t>
            </w:r>
          </w:p>
        </w:tc>
      </w:tr>
      <w:tr w:rsidR="005505BF" w:rsidRPr="00610088" w14:paraId="748E4C9E" w14:textId="77777777" w:rsidTr="001B16D1">
        <w:tc>
          <w:tcPr>
            <w:tcW w:w="4505" w:type="dxa"/>
            <w:vAlign w:val="center"/>
          </w:tcPr>
          <w:p w14:paraId="45A0FB0F" w14:textId="43A9E76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MTHE</w:t>
            </w:r>
          </w:p>
        </w:tc>
        <w:tc>
          <w:tcPr>
            <w:tcW w:w="4505" w:type="dxa"/>
            <w:vAlign w:val="center"/>
          </w:tcPr>
          <w:p w14:paraId="4BCC3807" w14:textId="2C64D44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Ministry of Technical &amp; Higher Education</w:t>
            </w:r>
          </w:p>
        </w:tc>
      </w:tr>
      <w:tr w:rsidR="005505BF" w:rsidRPr="00610088" w14:paraId="331A8A0A" w14:textId="77777777" w:rsidTr="001B16D1">
        <w:tc>
          <w:tcPr>
            <w:tcW w:w="4505" w:type="dxa"/>
            <w:vAlign w:val="center"/>
          </w:tcPr>
          <w:p w14:paraId="121E2EB4" w14:textId="54070F0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MVPA</w:t>
            </w:r>
          </w:p>
        </w:tc>
        <w:tc>
          <w:tcPr>
            <w:tcW w:w="4505" w:type="dxa"/>
            <w:vAlign w:val="center"/>
          </w:tcPr>
          <w:p w14:paraId="2AF2790C" w14:textId="00855EB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Moderate to Vigorous Physical Activities</w:t>
            </w:r>
          </w:p>
        </w:tc>
      </w:tr>
      <w:tr w:rsidR="005505BF" w:rsidRPr="00610088" w14:paraId="7AB75D29" w14:textId="77777777" w:rsidTr="001B16D1">
        <w:tc>
          <w:tcPr>
            <w:tcW w:w="4505" w:type="dxa"/>
            <w:vAlign w:val="center"/>
          </w:tcPr>
          <w:p w14:paraId="1C2E82D1" w14:textId="6EAF575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NASSIT</w:t>
            </w:r>
          </w:p>
        </w:tc>
        <w:tc>
          <w:tcPr>
            <w:tcW w:w="4505" w:type="dxa"/>
            <w:vAlign w:val="center"/>
          </w:tcPr>
          <w:p w14:paraId="3F5D55F5" w14:textId="1CA6E14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Social Security and Insurance Trust</w:t>
            </w:r>
          </w:p>
        </w:tc>
      </w:tr>
      <w:tr w:rsidR="005505BF" w:rsidRPr="00610088" w14:paraId="737A7C98" w14:textId="77777777" w:rsidTr="00AD0FA5">
        <w:tc>
          <w:tcPr>
            <w:tcW w:w="4505" w:type="dxa"/>
            <w:vAlign w:val="center"/>
          </w:tcPr>
          <w:p w14:paraId="677DE0D5" w14:textId="1CC20F1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NCD</w:t>
            </w:r>
          </w:p>
        </w:tc>
        <w:tc>
          <w:tcPr>
            <w:tcW w:w="4505" w:type="dxa"/>
            <w:vAlign w:val="center"/>
          </w:tcPr>
          <w:p w14:paraId="63273DCB" w14:textId="71240F4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Non-Communicable Disease</w:t>
            </w:r>
          </w:p>
        </w:tc>
      </w:tr>
      <w:tr w:rsidR="005505BF" w:rsidRPr="00610088" w14:paraId="545A0A51" w14:textId="77777777" w:rsidTr="001B16D1">
        <w:tc>
          <w:tcPr>
            <w:tcW w:w="4505" w:type="dxa"/>
            <w:vAlign w:val="center"/>
          </w:tcPr>
          <w:p w14:paraId="3D0AC9FB" w14:textId="46DDA5F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NCDI</w:t>
            </w:r>
          </w:p>
        </w:tc>
        <w:tc>
          <w:tcPr>
            <w:tcW w:w="4505" w:type="dxa"/>
            <w:vAlign w:val="center"/>
          </w:tcPr>
          <w:p w14:paraId="61F37846" w14:textId="20534DE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Non-Communicable Diseases and Injuries Commission</w:t>
            </w:r>
          </w:p>
        </w:tc>
      </w:tr>
      <w:tr w:rsidR="005505BF" w:rsidRPr="00610088" w14:paraId="5758E925" w14:textId="77777777" w:rsidTr="001B16D1">
        <w:tc>
          <w:tcPr>
            <w:tcW w:w="4505" w:type="dxa"/>
            <w:vAlign w:val="center"/>
          </w:tcPr>
          <w:p w14:paraId="1D4AAD0E" w14:textId="7D04F00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NCPD</w:t>
            </w:r>
          </w:p>
        </w:tc>
        <w:tc>
          <w:tcPr>
            <w:tcW w:w="4505" w:type="dxa"/>
            <w:vAlign w:val="center"/>
          </w:tcPr>
          <w:p w14:paraId="54DDAD94" w14:textId="7225300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National </w:t>
            </w:r>
            <w:proofErr w:type="spellStart"/>
            <w:r>
              <w:rPr>
                <w:rFonts w:ascii="Calibri" w:hAnsi="Calibri" w:cs="Calibri"/>
                <w:color w:val="000000"/>
                <w:sz w:val="18"/>
                <w:szCs w:val="18"/>
              </w:rPr>
              <w:t>Commision</w:t>
            </w:r>
            <w:proofErr w:type="spellEnd"/>
            <w:r>
              <w:rPr>
                <w:rFonts w:ascii="Calibri" w:hAnsi="Calibri" w:cs="Calibri"/>
                <w:color w:val="000000"/>
                <w:sz w:val="18"/>
                <w:szCs w:val="18"/>
              </w:rPr>
              <w:t xml:space="preserve"> for Person with Disabilities</w:t>
            </w:r>
          </w:p>
        </w:tc>
      </w:tr>
      <w:tr w:rsidR="005505BF" w:rsidRPr="00610088" w14:paraId="561F6DBE" w14:textId="77777777" w:rsidTr="001B16D1">
        <w:tc>
          <w:tcPr>
            <w:tcW w:w="4505" w:type="dxa"/>
            <w:vAlign w:val="center"/>
          </w:tcPr>
          <w:p w14:paraId="08F51D3E" w14:textId="7721F6C3"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NEMS</w:t>
            </w:r>
          </w:p>
        </w:tc>
        <w:tc>
          <w:tcPr>
            <w:tcW w:w="4505" w:type="dxa"/>
            <w:vAlign w:val="center"/>
          </w:tcPr>
          <w:p w14:paraId="3E6F7D1C" w14:textId="64B5EC3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Emergency Medical Services</w:t>
            </w:r>
          </w:p>
        </w:tc>
      </w:tr>
      <w:tr w:rsidR="005505BF" w:rsidRPr="00610088" w14:paraId="6DC378FD" w14:textId="77777777" w:rsidTr="00AD0FA5">
        <w:tc>
          <w:tcPr>
            <w:tcW w:w="4505" w:type="dxa"/>
            <w:vAlign w:val="center"/>
          </w:tcPr>
          <w:p w14:paraId="0EC1F24F" w14:textId="141974D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NGO</w:t>
            </w:r>
          </w:p>
        </w:tc>
        <w:tc>
          <w:tcPr>
            <w:tcW w:w="4505" w:type="dxa"/>
            <w:vAlign w:val="center"/>
          </w:tcPr>
          <w:p w14:paraId="417983D6" w14:textId="1AEF315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 xml:space="preserve">Non-Governmental </w:t>
            </w:r>
            <w:proofErr w:type="spellStart"/>
            <w:r>
              <w:rPr>
                <w:rFonts w:ascii="Calibri" w:hAnsi="Calibri" w:cs="Calibri"/>
                <w:color w:val="000000"/>
                <w:sz w:val="18"/>
                <w:szCs w:val="18"/>
              </w:rPr>
              <w:t>Organisation</w:t>
            </w:r>
            <w:proofErr w:type="spellEnd"/>
          </w:p>
        </w:tc>
      </w:tr>
      <w:tr w:rsidR="005505BF" w:rsidRPr="00610088" w14:paraId="2FAFD660" w14:textId="77777777" w:rsidTr="00AD0FA5">
        <w:tc>
          <w:tcPr>
            <w:tcW w:w="4505" w:type="dxa"/>
            <w:vAlign w:val="center"/>
          </w:tcPr>
          <w:p w14:paraId="7F05705A" w14:textId="311C2C9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NHA</w:t>
            </w:r>
          </w:p>
        </w:tc>
        <w:tc>
          <w:tcPr>
            <w:tcW w:w="4505" w:type="dxa"/>
            <w:vAlign w:val="center"/>
          </w:tcPr>
          <w:p w14:paraId="0EB42303" w14:textId="7C56D1CF"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Health Accounts</w:t>
            </w:r>
          </w:p>
        </w:tc>
      </w:tr>
      <w:tr w:rsidR="005505BF" w:rsidRPr="00610088" w14:paraId="579AC3F7" w14:textId="77777777" w:rsidTr="00AD0FA5">
        <w:tc>
          <w:tcPr>
            <w:tcW w:w="4505" w:type="dxa"/>
            <w:vAlign w:val="center"/>
          </w:tcPr>
          <w:p w14:paraId="07BFE1C4" w14:textId="28F63AB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NHSSP</w:t>
            </w:r>
          </w:p>
        </w:tc>
        <w:tc>
          <w:tcPr>
            <w:tcW w:w="4505" w:type="dxa"/>
            <w:vAlign w:val="center"/>
          </w:tcPr>
          <w:p w14:paraId="6744DB37" w14:textId="7D9F412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Health Sector Strategic Plan</w:t>
            </w:r>
          </w:p>
        </w:tc>
      </w:tr>
      <w:tr w:rsidR="005505BF" w:rsidRPr="00610088" w14:paraId="38926C94" w14:textId="77777777" w:rsidTr="00AD0FA5">
        <w:tc>
          <w:tcPr>
            <w:tcW w:w="4505" w:type="dxa"/>
            <w:vAlign w:val="center"/>
          </w:tcPr>
          <w:p w14:paraId="675CC5A7" w14:textId="06127CF6"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NMSA</w:t>
            </w:r>
          </w:p>
        </w:tc>
        <w:tc>
          <w:tcPr>
            <w:tcW w:w="4505" w:type="dxa"/>
            <w:vAlign w:val="center"/>
          </w:tcPr>
          <w:p w14:paraId="6D177939" w14:textId="44648A3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Medical Supplies Agency</w:t>
            </w:r>
          </w:p>
        </w:tc>
      </w:tr>
      <w:tr w:rsidR="005505BF" w:rsidRPr="00610088" w14:paraId="5003CBF4" w14:textId="77777777" w:rsidTr="00AD0FA5">
        <w:tc>
          <w:tcPr>
            <w:tcW w:w="4505" w:type="dxa"/>
            <w:vAlign w:val="center"/>
          </w:tcPr>
          <w:p w14:paraId="73F4C62B" w14:textId="16D2E5B8"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NO</w:t>
            </w:r>
            <w:r w:rsidRPr="005505BF">
              <w:rPr>
                <w:rFonts w:ascii="Calibri" w:hAnsi="Calibri" w:cs="Calibri"/>
                <w:color w:val="000000"/>
                <w:sz w:val="18"/>
                <w:szCs w:val="18"/>
                <w:vertAlign w:val="subscript"/>
              </w:rPr>
              <w:t>2</w:t>
            </w:r>
          </w:p>
        </w:tc>
        <w:tc>
          <w:tcPr>
            <w:tcW w:w="4505" w:type="dxa"/>
            <w:vAlign w:val="center"/>
          </w:tcPr>
          <w:p w14:paraId="10636419" w14:textId="70714C2B"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Nitrogen dioxide</w:t>
            </w:r>
          </w:p>
        </w:tc>
      </w:tr>
      <w:tr w:rsidR="005505BF" w:rsidRPr="00610088" w14:paraId="596058BA" w14:textId="77777777" w:rsidTr="00AD0FA5">
        <w:tc>
          <w:tcPr>
            <w:tcW w:w="4505" w:type="dxa"/>
            <w:vAlign w:val="center"/>
          </w:tcPr>
          <w:p w14:paraId="645C40C1" w14:textId="7547128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NPPU</w:t>
            </w:r>
          </w:p>
        </w:tc>
        <w:tc>
          <w:tcPr>
            <w:tcW w:w="4505" w:type="dxa"/>
            <w:vAlign w:val="center"/>
          </w:tcPr>
          <w:p w14:paraId="422D27E5" w14:textId="3B4D1A7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National Pharmaceutical Procurement Unit</w:t>
            </w:r>
          </w:p>
        </w:tc>
      </w:tr>
      <w:tr w:rsidR="005505BF" w:rsidRPr="00610088" w14:paraId="1798710F" w14:textId="77777777" w:rsidTr="00AD0FA5">
        <w:tc>
          <w:tcPr>
            <w:tcW w:w="4505" w:type="dxa"/>
            <w:vAlign w:val="center"/>
          </w:tcPr>
          <w:p w14:paraId="6038BDEC" w14:textId="735DFAC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NSPRA</w:t>
            </w:r>
          </w:p>
        </w:tc>
        <w:tc>
          <w:tcPr>
            <w:tcW w:w="4505" w:type="dxa"/>
            <w:vAlign w:val="center"/>
          </w:tcPr>
          <w:p w14:paraId="7BDAE537" w14:textId="3E7225E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Nuclear Safety and Radiation Protection Authority</w:t>
            </w:r>
          </w:p>
        </w:tc>
      </w:tr>
      <w:tr w:rsidR="005505BF" w:rsidRPr="00610088" w14:paraId="0D34F497" w14:textId="77777777" w:rsidTr="00AD0FA5">
        <w:tc>
          <w:tcPr>
            <w:tcW w:w="4505" w:type="dxa"/>
            <w:vAlign w:val="center"/>
          </w:tcPr>
          <w:p w14:paraId="4E360C83" w14:textId="7D560720"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w:t>
            </w:r>
            <w:r w:rsidRPr="005505BF">
              <w:rPr>
                <w:rFonts w:ascii="Calibri" w:hAnsi="Calibri" w:cs="Calibri"/>
                <w:color w:val="000000"/>
                <w:sz w:val="18"/>
                <w:szCs w:val="18"/>
                <w:vertAlign w:val="subscript"/>
              </w:rPr>
              <w:t>3</w:t>
            </w:r>
          </w:p>
        </w:tc>
        <w:tc>
          <w:tcPr>
            <w:tcW w:w="4505" w:type="dxa"/>
            <w:vAlign w:val="center"/>
          </w:tcPr>
          <w:p w14:paraId="0A8AE30C" w14:textId="39031A3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Ozone</w:t>
            </w:r>
          </w:p>
        </w:tc>
      </w:tr>
      <w:tr w:rsidR="005505BF" w:rsidRPr="00610088" w14:paraId="107DD7B3" w14:textId="77777777" w:rsidTr="001B16D1">
        <w:tc>
          <w:tcPr>
            <w:tcW w:w="4505" w:type="dxa"/>
            <w:vAlign w:val="center"/>
          </w:tcPr>
          <w:p w14:paraId="4398054B" w14:textId="684DCF1D"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ODCH</w:t>
            </w:r>
          </w:p>
        </w:tc>
        <w:tc>
          <w:tcPr>
            <w:tcW w:w="4505" w:type="dxa"/>
            <w:vAlign w:val="center"/>
          </w:tcPr>
          <w:p w14:paraId="3A0FF02E" w14:textId="488DE492"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Ola During Children's Hospital</w:t>
            </w:r>
          </w:p>
        </w:tc>
      </w:tr>
      <w:tr w:rsidR="005505BF" w:rsidRPr="00610088" w14:paraId="574C7E82" w14:textId="77777777" w:rsidTr="00AD0FA5">
        <w:tc>
          <w:tcPr>
            <w:tcW w:w="4505" w:type="dxa"/>
            <w:vAlign w:val="center"/>
          </w:tcPr>
          <w:p w14:paraId="46C8B057" w14:textId="70D11A2E"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OPD</w:t>
            </w:r>
          </w:p>
        </w:tc>
        <w:tc>
          <w:tcPr>
            <w:tcW w:w="4505" w:type="dxa"/>
            <w:vAlign w:val="center"/>
          </w:tcPr>
          <w:p w14:paraId="1C21C9EE" w14:textId="3B2BF42C"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Outpatient Department</w:t>
            </w:r>
          </w:p>
        </w:tc>
      </w:tr>
      <w:tr w:rsidR="005505BF" w:rsidRPr="00610088" w14:paraId="4179F4E8" w14:textId="77777777" w:rsidTr="001B16D1">
        <w:tc>
          <w:tcPr>
            <w:tcW w:w="4505" w:type="dxa"/>
            <w:vAlign w:val="center"/>
          </w:tcPr>
          <w:p w14:paraId="2C9E3345" w14:textId="48A63174"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PAH</w:t>
            </w:r>
          </w:p>
        </w:tc>
        <w:tc>
          <w:tcPr>
            <w:tcW w:w="4505" w:type="dxa"/>
            <w:vAlign w:val="center"/>
          </w:tcPr>
          <w:p w14:paraId="4C21A313" w14:textId="3E26308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Polycyclic Aromatic Hydrocarbon</w:t>
            </w:r>
          </w:p>
        </w:tc>
      </w:tr>
      <w:tr w:rsidR="005505BF" w:rsidRPr="00610088" w14:paraId="572FEAAC" w14:textId="77777777" w:rsidTr="00AD0FA5">
        <w:tc>
          <w:tcPr>
            <w:tcW w:w="4505" w:type="dxa"/>
            <w:vAlign w:val="center"/>
          </w:tcPr>
          <w:p w14:paraId="7EB53C6C" w14:textId="1F81DA7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PCMH</w:t>
            </w:r>
          </w:p>
        </w:tc>
        <w:tc>
          <w:tcPr>
            <w:tcW w:w="4505" w:type="dxa"/>
            <w:vAlign w:val="center"/>
          </w:tcPr>
          <w:p w14:paraId="09DBFAC4" w14:textId="1C9D67CB"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Princess Christian Maternity Hospital</w:t>
            </w:r>
          </w:p>
        </w:tc>
      </w:tr>
      <w:tr w:rsidR="005505BF" w:rsidRPr="00610088" w14:paraId="2007B339" w14:textId="77777777" w:rsidTr="001B16D1">
        <w:tc>
          <w:tcPr>
            <w:tcW w:w="4505" w:type="dxa"/>
            <w:vAlign w:val="center"/>
          </w:tcPr>
          <w:p w14:paraId="644AAE89" w14:textId="694A783A"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PEN</w:t>
            </w:r>
          </w:p>
        </w:tc>
        <w:tc>
          <w:tcPr>
            <w:tcW w:w="4505" w:type="dxa"/>
            <w:vAlign w:val="center"/>
          </w:tcPr>
          <w:p w14:paraId="2016A6BF" w14:textId="5446E287"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Package of Essential Noncommunicable disease interventions</w:t>
            </w:r>
          </w:p>
        </w:tc>
      </w:tr>
      <w:tr w:rsidR="005505BF" w:rsidRPr="00610088" w14:paraId="5340CAF3" w14:textId="77777777" w:rsidTr="001B16D1">
        <w:tc>
          <w:tcPr>
            <w:tcW w:w="4505" w:type="dxa"/>
            <w:vAlign w:val="center"/>
          </w:tcPr>
          <w:p w14:paraId="093326D0" w14:textId="00D9E12E"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PHU</w:t>
            </w:r>
          </w:p>
        </w:tc>
        <w:tc>
          <w:tcPr>
            <w:tcW w:w="4505" w:type="dxa"/>
            <w:vAlign w:val="center"/>
          </w:tcPr>
          <w:p w14:paraId="0A64ACAB" w14:textId="3C925F66" w:rsidR="005505BF" w:rsidRPr="00610088" w:rsidRDefault="005505BF" w:rsidP="005505BF">
            <w:pPr>
              <w:rPr>
                <w:rFonts w:ascii="Calibri" w:hAnsi="Calibri" w:cs="Calibri"/>
                <w:color w:val="000000"/>
                <w:sz w:val="18"/>
                <w:szCs w:val="18"/>
                <w:lang w:val="en-GB"/>
              </w:rPr>
            </w:pPr>
            <w:r>
              <w:rPr>
                <w:rFonts w:ascii="Calibri" w:hAnsi="Calibri" w:cs="Calibri"/>
                <w:color w:val="000000"/>
                <w:sz w:val="18"/>
                <w:szCs w:val="18"/>
              </w:rPr>
              <w:t>Peripheral Health Unit</w:t>
            </w:r>
          </w:p>
        </w:tc>
      </w:tr>
      <w:tr w:rsidR="005505BF" w:rsidRPr="00610088" w14:paraId="062FC999" w14:textId="77777777" w:rsidTr="001B16D1">
        <w:tc>
          <w:tcPr>
            <w:tcW w:w="4505" w:type="dxa"/>
            <w:vAlign w:val="center"/>
          </w:tcPr>
          <w:p w14:paraId="62735045" w14:textId="213E16F8"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PHUF</w:t>
            </w:r>
          </w:p>
        </w:tc>
        <w:tc>
          <w:tcPr>
            <w:tcW w:w="4505" w:type="dxa"/>
            <w:vAlign w:val="center"/>
          </w:tcPr>
          <w:p w14:paraId="7CDB5A9A" w14:textId="404CDC35"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PHU data collection form</w:t>
            </w:r>
          </w:p>
        </w:tc>
      </w:tr>
      <w:tr w:rsidR="005505BF" w:rsidRPr="00610088" w14:paraId="67389D8F" w14:textId="77777777" w:rsidTr="001B16D1">
        <w:tc>
          <w:tcPr>
            <w:tcW w:w="4505" w:type="dxa"/>
            <w:vAlign w:val="center"/>
          </w:tcPr>
          <w:p w14:paraId="7255AB9A" w14:textId="65937041"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PIH</w:t>
            </w:r>
          </w:p>
        </w:tc>
        <w:tc>
          <w:tcPr>
            <w:tcW w:w="4505" w:type="dxa"/>
            <w:vAlign w:val="center"/>
          </w:tcPr>
          <w:p w14:paraId="5BA5158D" w14:textId="77413E0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Partners in Health</w:t>
            </w:r>
          </w:p>
        </w:tc>
      </w:tr>
      <w:tr w:rsidR="005505BF" w:rsidRPr="00610088" w14:paraId="375B0BF9" w14:textId="77777777" w:rsidTr="00AD0FA5">
        <w:tc>
          <w:tcPr>
            <w:tcW w:w="4505" w:type="dxa"/>
            <w:vAlign w:val="center"/>
          </w:tcPr>
          <w:p w14:paraId="020160E7" w14:textId="1BC5222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PM</w:t>
            </w:r>
            <w:r w:rsidRPr="005505BF">
              <w:rPr>
                <w:rFonts w:ascii="Calibri" w:hAnsi="Calibri" w:cs="Calibri"/>
                <w:color w:val="000000"/>
                <w:sz w:val="18"/>
                <w:szCs w:val="18"/>
                <w:vertAlign w:val="subscript"/>
              </w:rPr>
              <w:t xml:space="preserve">10 </w:t>
            </w:r>
          </w:p>
        </w:tc>
        <w:tc>
          <w:tcPr>
            <w:tcW w:w="4505" w:type="dxa"/>
            <w:vAlign w:val="center"/>
          </w:tcPr>
          <w:p w14:paraId="09EF2B41" w14:textId="746946B9" w:rsidR="005505BF" w:rsidRPr="00610088" w:rsidRDefault="005505BF" w:rsidP="005505BF">
            <w:pPr>
              <w:rPr>
                <w:rFonts w:ascii="Calibri" w:hAnsi="Calibri"/>
                <w:color w:val="000000"/>
                <w:sz w:val="18"/>
                <w:szCs w:val="18"/>
                <w:lang w:val="en-GB"/>
              </w:rPr>
            </w:pPr>
            <w:r>
              <w:rPr>
                <w:rFonts w:ascii="Calibri" w:hAnsi="Calibri" w:cs="Calibri"/>
                <w:color w:val="000000"/>
                <w:sz w:val="18"/>
                <w:szCs w:val="18"/>
              </w:rPr>
              <w:t>Particulate matter less than 10 micron in diameter</w:t>
            </w:r>
          </w:p>
        </w:tc>
      </w:tr>
      <w:tr w:rsidR="005505BF" w:rsidRPr="00610088" w14:paraId="09C83EC6" w14:textId="77777777" w:rsidTr="00AD0FA5">
        <w:tc>
          <w:tcPr>
            <w:tcW w:w="4505" w:type="dxa"/>
            <w:vAlign w:val="center"/>
          </w:tcPr>
          <w:p w14:paraId="1B53214F" w14:textId="26B965D8" w:rsidR="005505BF" w:rsidRDefault="005505BF" w:rsidP="005505BF">
            <w:pPr>
              <w:rPr>
                <w:rFonts w:ascii="Calibri" w:hAnsi="Calibri" w:cs="Calibri"/>
                <w:color w:val="000000"/>
                <w:sz w:val="18"/>
                <w:szCs w:val="18"/>
              </w:rPr>
            </w:pPr>
            <w:r>
              <w:rPr>
                <w:rFonts w:ascii="Calibri" w:hAnsi="Calibri" w:cs="Calibri"/>
                <w:color w:val="000000"/>
                <w:sz w:val="18"/>
                <w:szCs w:val="18"/>
              </w:rPr>
              <w:t>PM</w:t>
            </w:r>
            <w:r w:rsidRPr="005505BF">
              <w:rPr>
                <w:rFonts w:ascii="Calibri" w:hAnsi="Calibri" w:cs="Calibri"/>
                <w:color w:val="000000"/>
                <w:sz w:val="18"/>
                <w:szCs w:val="18"/>
                <w:vertAlign w:val="subscript"/>
              </w:rPr>
              <w:t>2.5</w:t>
            </w:r>
          </w:p>
        </w:tc>
        <w:tc>
          <w:tcPr>
            <w:tcW w:w="4505" w:type="dxa"/>
            <w:vAlign w:val="center"/>
          </w:tcPr>
          <w:p w14:paraId="5F318500" w14:textId="3184E0FE" w:rsidR="005505BF" w:rsidRDefault="005505BF" w:rsidP="005505BF">
            <w:pPr>
              <w:rPr>
                <w:rFonts w:ascii="Calibri" w:hAnsi="Calibri" w:cs="Calibri"/>
                <w:color w:val="000000"/>
                <w:sz w:val="18"/>
                <w:szCs w:val="18"/>
              </w:rPr>
            </w:pPr>
            <w:r>
              <w:rPr>
                <w:rFonts w:ascii="Calibri" w:hAnsi="Calibri" w:cs="Calibri"/>
                <w:color w:val="000000"/>
                <w:sz w:val="18"/>
                <w:szCs w:val="18"/>
              </w:rPr>
              <w:t>Particulate matter less than 2.5 micron in diameter</w:t>
            </w:r>
          </w:p>
        </w:tc>
      </w:tr>
      <w:tr w:rsidR="005505BF" w:rsidRPr="00610088" w14:paraId="390E5FBC" w14:textId="77777777" w:rsidTr="00AD0FA5">
        <w:tc>
          <w:tcPr>
            <w:tcW w:w="4505" w:type="dxa"/>
            <w:vAlign w:val="center"/>
          </w:tcPr>
          <w:p w14:paraId="621CE960" w14:textId="51B83BBA" w:rsidR="005505BF" w:rsidRDefault="005505BF" w:rsidP="005505BF">
            <w:pPr>
              <w:rPr>
                <w:rFonts w:ascii="Calibri" w:hAnsi="Calibri" w:cs="Calibri"/>
                <w:color w:val="000000"/>
                <w:sz w:val="18"/>
                <w:szCs w:val="18"/>
              </w:rPr>
            </w:pPr>
            <w:r>
              <w:rPr>
                <w:rFonts w:ascii="Calibri" w:hAnsi="Calibri" w:cs="Calibri"/>
                <w:color w:val="000000"/>
                <w:sz w:val="18"/>
                <w:szCs w:val="18"/>
              </w:rPr>
              <w:t xml:space="preserve">PWD </w:t>
            </w:r>
          </w:p>
        </w:tc>
        <w:tc>
          <w:tcPr>
            <w:tcW w:w="4505" w:type="dxa"/>
            <w:vAlign w:val="center"/>
          </w:tcPr>
          <w:p w14:paraId="0A31F19A" w14:textId="23D8250A" w:rsidR="005505BF" w:rsidRDefault="005505BF" w:rsidP="005505BF">
            <w:pPr>
              <w:rPr>
                <w:rFonts w:ascii="Calibri" w:hAnsi="Calibri" w:cs="Calibri"/>
                <w:color w:val="000000"/>
                <w:sz w:val="18"/>
                <w:szCs w:val="18"/>
              </w:rPr>
            </w:pPr>
            <w:r>
              <w:rPr>
                <w:rFonts w:ascii="Calibri" w:hAnsi="Calibri" w:cs="Calibri"/>
                <w:color w:val="000000"/>
                <w:sz w:val="18"/>
                <w:szCs w:val="18"/>
              </w:rPr>
              <w:t>People living with Disability</w:t>
            </w:r>
          </w:p>
        </w:tc>
      </w:tr>
      <w:tr w:rsidR="005505BF" w:rsidRPr="00610088" w14:paraId="3C709054" w14:textId="77777777" w:rsidTr="00AD0FA5">
        <w:tc>
          <w:tcPr>
            <w:tcW w:w="4505" w:type="dxa"/>
            <w:vAlign w:val="center"/>
          </w:tcPr>
          <w:p w14:paraId="777B9160" w14:textId="3611BBA3" w:rsidR="005505BF" w:rsidRDefault="005505BF" w:rsidP="005505BF">
            <w:pPr>
              <w:rPr>
                <w:rFonts w:ascii="Calibri" w:hAnsi="Calibri" w:cs="Calibri"/>
                <w:color w:val="000000"/>
                <w:sz w:val="18"/>
                <w:szCs w:val="18"/>
              </w:rPr>
            </w:pPr>
            <w:r>
              <w:rPr>
                <w:rFonts w:ascii="Calibri" w:hAnsi="Calibri" w:cs="Calibri"/>
                <w:color w:val="000000"/>
                <w:sz w:val="18"/>
                <w:szCs w:val="18"/>
              </w:rPr>
              <w:t>RBG</w:t>
            </w:r>
          </w:p>
        </w:tc>
        <w:tc>
          <w:tcPr>
            <w:tcW w:w="4505" w:type="dxa"/>
            <w:vAlign w:val="center"/>
          </w:tcPr>
          <w:p w14:paraId="5A850729" w14:textId="61582F3C" w:rsidR="005505BF" w:rsidRDefault="005505BF" w:rsidP="005505BF">
            <w:pPr>
              <w:rPr>
                <w:rFonts w:ascii="Calibri" w:hAnsi="Calibri" w:cs="Calibri"/>
                <w:color w:val="000000"/>
                <w:sz w:val="18"/>
                <w:szCs w:val="18"/>
              </w:rPr>
            </w:pPr>
            <w:r>
              <w:rPr>
                <w:rFonts w:ascii="Calibri" w:hAnsi="Calibri" w:cs="Calibri"/>
                <w:color w:val="000000"/>
                <w:sz w:val="18"/>
                <w:szCs w:val="18"/>
              </w:rPr>
              <w:t>Random Blood Glucose</w:t>
            </w:r>
          </w:p>
        </w:tc>
      </w:tr>
      <w:tr w:rsidR="005505BF" w:rsidRPr="00610088" w14:paraId="682A5E1D" w14:textId="77777777" w:rsidTr="00AD0FA5">
        <w:tc>
          <w:tcPr>
            <w:tcW w:w="4505" w:type="dxa"/>
            <w:vAlign w:val="center"/>
          </w:tcPr>
          <w:p w14:paraId="455DB797" w14:textId="0F18F488" w:rsidR="005505BF" w:rsidRDefault="005505BF" w:rsidP="005505BF">
            <w:pPr>
              <w:rPr>
                <w:rFonts w:ascii="Calibri" w:hAnsi="Calibri" w:cs="Calibri"/>
                <w:color w:val="000000"/>
                <w:sz w:val="18"/>
                <w:szCs w:val="18"/>
              </w:rPr>
            </w:pPr>
            <w:r>
              <w:rPr>
                <w:rFonts w:ascii="Calibri" w:hAnsi="Calibri" w:cs="Calibri"/>
                <w:color w:val="000000"/>
                <w:sz w:val="18"/>
                <w:szCs w:val="18"/>
              </w:rPr>
              <w:t>RH/FP</w:t>
            </w:r>
          </w:p>
        </w:tc>
        <w:tc>
          <w:tcPr>
            <w:tcW w:w="4505" w:type="dxa"/>
            <w:vAlign w:val="center"/>
          </w:tcPr>
          <w:p w14:paraId="3758E3DD" w14:textId="4B69AFD1" w:rsidR="005505BF" w:rsidRDefault="005505BF" w:rsidP="005505BF">
            <w:pPr>
              <w:rPr>
                <w:rFonts w:ascii="Calibri" w:hAnsi="Calibri" w:cs="Calibri"/>
                <w:color w:val="000000"/>
                <w:sz w:val="18"/>
                <w:szCs w:val="18"/>
              </w:rPr>
            </w:pPr>
            <w:r>
              <w:rPr>
                <w:rFonts w:ascii="Calibri" w:hAnsi="Calibri" w:cs="Calibri"/>
                <w:color w:val="000000"/>
                <w:sz w:val="18"/>
                <w:szCs w:val="18"/>
              </w:rPr>
              <w:t>Reproductive Health / Family Planning</w:t>
            </w:r>
          </w:p>
        </w:tc>
      </w:tr>
      <w:tr w:rsidR="005505BF" w:rsidRPr="00610088" w14:paraId="30874933" w14:textId="77777777" w:rsidTr="00AD0FA5">
        <w:tc>
          <w:tcPr>
            <w:tcW w:w="4505" w:type="dxa"/>
            <w:vAlign w:val="center"/>
          </w:tcPr>
          <w:p w14:paraId="3C696DA8" w14:textId="308AB76C" w:rsidR="005505BF" w:rsidRDefault="005505BF" w:rsidP="005505BF">
            <w:pPr>
              <w:rPr>
                <w:rFonts w:ascii="Calibri" w:hAnsi="Calibri" w:cs="Calibri"/>
                <w:color w:val="000000"/>
                <w:sz w:val="18"/>
                <w:szCs w:val="18"/>
              </w:rPr>
            </w:pPr>
            <w:r>
              <w:rPr>
                <w:rFonts w:ascii="Calibri" w:hAnsi="Calibri" w:cs="Calibri"/>
                <w:color w:val="000000"/>
                <w:sz w:val="18"/>
                <w:szCs w:val="18"/>
              </w:rPr>
              <w:t>RMNCAH</w:t>
            </w:r>
          </w:p>
        </w:tc>
        <w:tc>
          <w:tcPr>
            <w:tcW w:w="4505" w:type="dxa"/>
            <w:vAlign w:val="center"/>
          </w:tcPr>
          <w:p w14:paraId="33A087D2" w14:textId="54AB838C" w:rsidR="005505BF" w:rsidRDefault="005505BF" w:rsidP="005505BF">
            <w:pPr>
              <w:rPr>
                <w:rFonts w:ascii="Calibri" w:hAnsi="Calibri" w:cs="Calibri"/>
                <w:color w:val="000000"/>
                <w:sz w:val="18"/>
                <w:szCs w:val="18"/>
              </w:rPr>
            </w:pPr>
            <w:r>
              <w:rPr>
                <w:rFonts w:ascii="Calibri" w:hAnsi="Calibri" w:cs="Calibri"/>
                <w:color w:val="000000"/>
                <w:sz w:val="18"/>
                <w:szCs w:val="18"/>
              </w:rPr>
              <w:t>Reproductive, Maternal, Neonatal, Child and Adolescent Health</w:t>
            </w:r>
          </w:p>
        </w:tc>
      </w:tr>
      <w:tr w:rsidR="005505BF" w:rsidRPr="00610088" w14:paraId="6A7B7F4E" w14:textId="77777777" w:rsidTr="00AD0FA5">
        <w:tc>
          <w:tcPr>
            <w:tcW w:w="4505" w:type="dxa"/>
            <w:vAlign w:val="center"/>
          </w:tcPr>
          <w:p w14:paraId="510FEF0F" w14:textId="52E27F7B" w:rsidR="005505BF" w:rsidRDefault="005505BF" w:rsidP="005505BF">
            <w:pPr>
              <w:rPr>
                <w:rFonts w:ascii="Calibri" w:hAnsi="Calibri" w:cs="Calibri"/>
                <w:color w:val="000000"/>
                <w:sz w:val="18"/>
                <w:szCs w:val="18"/>
              </w:rPr>
            </w:pPr>
            <w:r>
              <w:rPr>
                <w:rFonts w:ascii="Calibri" w:hAnsi="Calibri" w:cs="Calibri"/>
                <w:color w:val="000000"/>
                <w:sz w:val="18"/>
                <w:szCs w:val="18"/>
              </w:rPr>
              <w:lastRenderedPageBreak/>
              <w:t>RMNCH</w:t>
            </w:r>
          </w:p>
        </w:tc>
        <w:tc>
          <w:tcPr>
            <w:tcW w:w="4505" w:type="dxa"/>
            <w:vAlign w:val="center"/>
          </w:tcPr>
          <w:p w14:paraId="6B5301DE" w14:textId="5641618E" w:rsidR="005505BF" w:rsidRDefault="005505BF" w:rsidP="005505BF">
            <w:pPr>
              <w:rPr>
                <w:rFonts w:ascii="Calibri" w:hAnsi="Calibri" w:cs="Calibri"/>
                <w:color w:val="000000"/>
                <w:sz w:val="18"/>
                <w:szCs w:val="18"/>
              </w:rPr>
            </w:pPr>
            <w:r>
              <w:rPr>
                <w:rFonts w:ascii="Calibri" w:hAnsi="Calibri" w:cs="Calibri"/>
                <w:color w:val="000000"/>
                <w:sz w:val="18"/>
                <w:szCs w:val="18"/>
              </w:rPr>
              <w:t>Reproductive, Maternal, Neonatal, Child Health</w:t>
            </w:r>
          </w:p>
        </w:tc>
      </w:tr>
      <w:tr w:rsidR="005505BF" w:rsidRPr="00610088" w14:paraId="0BD81B2B" w14:textId="77777777" w:rsidTr="00AD0FA5">
        <w:tc>
          <w:tcPr>
            <w:tcW w:w="4505" w:type="dxa"/>
            <w:vAlign w:val="center"/>
          </w:tcPr>
          <w:p w14:paraId="1ECFD5A3" w14:textId="2548768E" w:rsidR="005505BF" w:rsidRDefault="005505BF" w:rsidP="005505BF">
            <w:pPr>
              <w:rPr>
                <w:rFonts w:ascii="Calibri" w:hAnsi="Calibri" w:cs="Calibri"/>
                <w:color w:val="000000"/>
                <w:sz w:val="18"/>
                <w:szCs w:val="18"/>
              </w:rPr>
            </w:pPr>
            <w:r>
              <w:rPr>
                <w:rFonts w:ascii="Calibri" w:hAnsi="Calibri" w:cs="Calibri"/>
                <w:color w:val="000000"/>
                <w:sz w:val="18"/>
                <w:szCs w:val="18"/>
              </w:rPr>
              <w:t>RRIV</w:t>
            </w:r>
          </w:p>
        </w:tc>
        <w:tc>
          <w:tcPr>
            <w:tcW w:w="4505" w:type="dxa"/>
            <w:vAlign w:val="center"/>
          </w:tcPr>
          <w:p w14:paraId="2643A32F" w14:textId="67F8E3A0" w:rsidR="005505BF" w:rsidRDefault="005505BF" w:rsidP="005505BF">
            <w:pPr>
              <w:rPr>
                <w:rFonts w:ascii="Calibri" w:hAnsi="Calibri" w:cs="Calibri"/>
                <w:color w:val="000000"/>
                <w:sz w:val="18"/>
                <w:szCs w:val="18"/>
              </w:rPr>
            </w:pPr>
            <w:r>
              <w:rPr>
                <w:rFonts w:ascii="Calibri" w:hAnsi="Calibri" w:cs="Calibri"/>
                <w:color w:val="000000"/>
                <w:sz w:val="18"/>
                <w:szCs w:val="18"/>
              </w:rPr>
              <w:t>Report Request Issue Voucher (LMIS)</w:t>
            </w:r>
          </w:p>
        </w:tc>
      </w:tr>
      <w:tr w:rsidR="005505BF" w:rsidRPr="00610088" w14:paraId="40177538" w14:textId="77777777" w:rsidTr="00AD0FA5">
        <w:tc>
          <w:tcPr>
            <w:tcW w:w="4505" w:type="dxa"/>
            <w:vAlign w:val="center"/>
          </w:tcPr>
          <w:p w14:paraId="7C96F2F8" w14:textId="52415A40" w:rsidR="005505BF" w:rsidRDefault="005505BF" w:rsidP="005505BF">
            <w:pPr>
              <w:rPr>
                <w:rFonts w:ascii="Calibri" w:hAnsi="Calibri" w:cs="Calibri"/>
                <w:color w:val="000000"/>
                <w:sz w:val="18"/>
                <w:szCs w:val="18"/>
              </w:rPr>
            </w:pPr>
            <w:r>
              <w:rPr>
                <w:rFonts w:ascii="Calibri" w:hAnsi="Calibri" w:cs="Calibri"/>
                <w:color w:val="000000"/>
                <w:sz w:val="18"/>
                <w:szCs w:val="18"/>
              </w:rPr>
              <w:t>RTA</w:t>
            </w:r>
          </w:p>
        </w:tc>
        <w:tc>
          <w:tcPr>
            <w:tcW w:w="4505" w:type="dxa"/>
            <w:vAlign w:val="center"/>
          </w:tcPr>
          <w:p w14:paraId="45F416B2" w14:textId="30301D05" w:rsidR="005505BF" w:rsidRDefault="005505BF" w:rsidP="005505BF">
            <w:pPr>
              <w:rPr>
                <w:rFonts w:ascii="Calibri" w:hAnsi="Calibri" w:cs="Calibri"/>
                <w:color w:val="000000"/>
                <w:sz w:val="18"/>
                <w:szCs w:val="18"/>
              </w:rPr>
            </w:pPr>
            <w:r>
              <w:rPr>
                <w:rFonts w:ascii="Calibri" w:hAnsi="Calibri" w:cs="Calibri"/>
                <w:color w:val="000000"/>
                <w:sz w:val="18"/>
                <w:szCs w:val="18"/>
              </w:rPr>
              <w:t>Road Traffic Accident</w:t>
            </w:r>
          </w:p>
        </w:tc>
      </w:tr>
      <w:tr w:rsidR="005505BF" w:rsidRPr="00610088" w14:paraId="17AAB0C2" w14:textId="77777777" w:rsidTr="00AD0FA5">
        <w:tc>
          <w:tcPr>
            <w:tcW w:w="4505" w:type="dxa"/>
            <w:vAlign w:val="center"/>
          </w:tcPr>
          <w:p w14:paraId="5EF8B4EB" w14:textId="40D62581" w:rsidR="005505BF" w:rsidRDefault="005505BF" w:rsidP="005505BF">
            <w:pPr>
              <w:rPr>
                <w:rFonts w:ascii="Calibri" w:hAnsi="Calibri" w:cs="Calibri"/>
                <w:color w:val="000000"/>
                <w:sz w:val="18"/>
                <w:szCs w:val="18"/>
              </w:rPr>
            </w:pPr>
            <w:r>
              <w:rPr>
                <w:rFonts w:ascii="Calibri" w:hAnsi="Calibri" w:cs="Calibri"/>
                <w:color w:val="000000"/>
                <w:sz w:val="18"/>
                <w:szCs w:val="18"/>
              </w:rPr>
              <w:t>SARA</w:t>
            </w:r>
          </w:p>
        </w:tc>
        <w:tc>
          <w:tcPr>
            <w:tcW w:w="4505" w:type="dxa"/>
            <w:vAlign w:val="center"/>
          </w:tcPr>
          <w:p w14:paraId="06417178" w14:textId="726993C9" w:rsidR="005505BF" w:rsidRDefault="005505BF" w:rsidP="005505BF">
            <w:pPr>
              <w:rPr>
                <w:rFonts w:ascii="Calibri" w:hAnsi="Calibri" w:cs="Calibri"/>
                <w:color w:val="000000"/>
                <w:sz w:val="18"/>
                <w:szCs w:val="18"/>
              </w:rPr>
            </w:pPr>
            <w:r>
              <w:rPr>
                <w:rFonts w:ascii="Calibri" w:hAnsi="Calibri" w:cs="Calibri"/>
                <w:color w:val="000000"/>
                <w:sz w:val="18"/>
                <w:szCs w:val="18"/>
              </w:rPr>
              <w:t>Service Availability and Readiness Assessment</w:t>
            </w:r>
          </w:p>
        </w:tc>
      </w:tr>
      <w:tr w:rsidR="005505BF" w:rsidRPr="00610088" w14:paraId="1843A956" w14:textId="77777777" w:rsidTr="00AD0FA5">
        <w:tc>
          <w:tcPr>
            <w:tcW w:w="4505" w:type="dxa"/>
            <w:vAlign w:val="center"/>
          </w:tcPr>
          <w:p w14:paraId="0A4BC3BE" w14:textId="575782A0" w:rsidR="005505BF" w:rsidRDefault="005505BF" w:rsidP="005505BF">
            <w:pPr>
              <w:rPr>
                <w:rFonts w:ascii="Calibri" w:hAnsi="Calibri" w:cs="Calibri"/>
                <w:color w:val="000000"/>
                <w:sz w:val="18"/>
                <w:szCs w:val="18"/>
              </w:rPr>
            </w:pPr>
            <w:r>
              <w:rPr>
                <w:rFonts w:ascii="Calibri" w:hAnsi="Calibri" w:cs="Calibri"/>
                <w:color w:val="000000"/>
                <w:sz w:val="18"/>
                <w:szCs w:val="18"/>
              </w:rPr>
              <w:t>SBP</w:t>
            </w:r>
          </w:p>
        </w:tc>
        <w:tc>
          <w:tcPr>
            <w:tcW w:w="4505" w:type="dxa"/>
            <w:vAlign w:val="center"/>
          </w:tcPr>
          <w:p w14:paraId="17A10B85" w14:textId="533B10A9" w:rsidR="005505BF" w:rsidRDefault="005505BF" w:rsidP="005505BF">
            <w:pPr>
              <w:rPr>
                <w:rFonts w:ascii="Calibri" w:hAnsi="Calibri" w:cs="Calibri"/>
                <w:color w:val="000000"/>
                <w:sz w:val="18"/>
                <w:szCs w:val="18"/>
              </w:rPr>
            </w:pPr>
            <w:r>
              <w:rPr>
                <w:rFonts w:ascii="Calibri" w:hAnsi="Calibri" w:cs="Calibri"/>
                <w:color w:val="000000"/>
                <w:sz w:val="18"/>
                <w:szCs w:val="18"/>
              </w:rPr>
              <w:t>Systolic Blood Pressure</w:t>
            </w:r>
          </w:p>
        </w:tc>
      </w:tr>
      <w:tr w:rsidR="005505BF" w:rsidRPr="00610088" w14:paraId="286AAEC2" w14:textId="77777777" w:rsidTr="00AD0FA5">
        <w:tc>
          <w:tcPr>
            <w:tcW w:w="4505" w:type="dxa"/>
            <w:vAlign w:val="center"/>
          </w:tcPr>
          <w:p w14:paraId="76C40EAC" w14:textId="1BFB09C0" w:rsidR="005505BF" w:rsidRDefault="005505BF" w:rsidP="005505BF">
            <w:pPr>
              <w:rPr>
                <w:rFonts w:ascii="Calibri" w:hAnsi="Calibri" w:cs="Calibri"/>
                <w:color w:val="000000"/>
                <w:sz w:val="18"/>
                <w:szCs w:val="18"/>
              </w:rPr>
            </w:pPr>
            <w:r>
              <w:rPr>
                <w:rFonts w:ascii="Calibri" w:hAnsi="Calibri" w:cs="Calibri"/>
                <w:color w:val="000000"/>
                <w:sz w:val="18"/>
                <w:szCs w:val="18"/>
              </w:rPr>
              <w:t>SCD</w:t>
            </w:r>
          </w:p>
        </w:tc>
        <w:tc>
          <w:tcPr>
            <w:tcW w:w="4505" w:type="dxa"/>
            <w:vAlign w:val="center"/>
          </w:tcPr>
          <w:p w14:paraId="5A73D2CB" w14:textId="08B1C2E0" w:rsidR="005505BF" w:rsidRDefault="005505BF" w:rsidP="005505BF">
            <w:pPr>
              <w:rPr>
                <w:rFonts w:ascii="Calibri" w:hAnsi="Calibri" w:cs="Calibri"/>
                <w:color w:val="000000"/>
                <w:sz w:val="18"/>
                <w:szCs w:val="18"/>
              </w:rPr>
            </w:pPr>
            <w:r>
              <w:rPr>
                <w:rFonts w:ascii="Calibri" w:hAnsi="Calibri" w:cs="Calibri"/>
                <w:color w:val="000000"/>
                <w:sz w:val="18"/>
                <w:szCs w:val="18"/>
              </w:rPr>
              <w:t>Sickle Cell Disease</w:t>
            </w:r>
          </w:p>
        </w:tc>
      </w:tr>
      <w:tr w:rsidR="005505BF" w:rsidRPr="00610088" w14:paraId="1D138DE2" w14:textId="77777777" w:rsidTr="00AD0FA5">
        <w:tc>
          <w:tcPr>
            <w:tcW w:w="4505" w:type="dxa"/>
            <w:vAlign w:val="center"/>
          </w:tcPr>
          <w:p w14:paraId="1FBF095E" w14:textId="268DC0BA" w:rsidR="005505BF" w:rsidRDefault="005505BF" w:rsidP="005505BF">
            <w:pPr>
              <w:rPr>
                <w:rFonts w:ascii="Calibri" w:hAnsi="Calibri" w:cs="Calibri"/>
                <w:color w:val="000000"/>
                <w:sz w:val="18"/>
                <w:szCs w:val="18"/>
              </w:rPr>
            </w:pPr>
            <w:r>
              <w:rPr>
                <w:rFonts w:ascii="Calibri" w:hAnsi="Calibri" w:cs="Calibri"/>
                <w:color w:val="000000"/>
                <w:sz w:val="18"/>
                <w:szCs w:val="18"/>
              </w:rPr>
              <w:t>SD</w:t>
            </w:r>
          </w:p>
        </w:tc>
        <w:tc>
          <w:tcPr>
            <w:tcW w:w="4505" w:type="dxa"/>
            <w:vAlign w:val="center"/>
          </w:tcPr>
          <w:p w14:paraId="7ED71A29" w14:textId="27275FA3" w:rsidR="005505BF" w:rsidRDefault="005505BF" w:rsidP="005505BF">
            <w:pPr>
              <w:rPr>
                <w:rFonts w:ascii="Calibri" w:hAnsi="Calibri" w:cs="Calibri"/>
                <w:color w:val="000000"/>
                <w:sz w:val="18"/>
                <w:szCs w:val="18"/>
              </w:rPr>
            </w:pPr>
            <w:r>
              <w:rPr>
                <w:rFonts w:ascii="Calibri" w:hAnsi="Calibri" w:cs="Calibri"/>
                <w:color w:val="000000"/>
                <w:sz w:val="18"/>
                <w:szCs w:val="18"/>
              </w:rPr>
              <w:t>Standard Deviation</w:t>
            </w:r>
          </w:p>
        </w:tc>
      </w:tr>
      <w:tr w:rsidR="005505BF" w:rsidRPr="00610088" w14:paraId="558B2E26" w14:textId="77777777" w:rsidTr="00AD0FA5">
        <w:tc>
          <w:tcPr>
            <w:tcW w:w="4505" w:type="dxa"/>
            <w:vAlign w:val="center"/>
          </w:tcPr>
          <w:p w14:paraId="1236DBAA" w14:textId="2C8CAF4E" w:rsidR="005505BF" w:rsidRDefault="005505BF" w:rsidP="005505BF">
            <w:pPr>
              <w:rPr>
                <w:rFonts w:ascii="Calibri" w:hAnsi="Calibri" w:cs="Calibri"/>
                <w:color w:val="000000"/>
                <w:sz w:val="18"/>
                <w:szCs w:val="18"/>
              </w:rPr>
            </w:pPr>
            <w:r>
              <w:rPr>
                <w:rFonts w:ascii="Calibri" w:hAnsi="Calibri" w:cs="Calibri"/>
                <w:color w:val="000000"/>
                <w:sz w:val="18"/>
                <w:szCs w:val="18"/>
              </w:rPr>
              <w:t>SDG</w:t>
            </w:r>
          </w:p>
        </w:tc>
        <w:tc>
          <w:tcPr>
            <w:tcW w:w="4505" w:type="dxa"/>
            <w:vAlign w:val="center"/>
          </w:tcPr>
          <w:p w14:paraId="5D95C3F3" w14:textId="2C2E1AEE" w:rsidR="005505BF" w:rsidRDefault="005505BF" w:rsidP="005505BF">
            <w:pPr>
              <w:rPr>
                <w:rFonts w:ascii="Calibri" w:hAnsi="Calibri" w:cs="Calibri"/>
                <w:color w:val="000000"/>
                <w:sz w:val="18"/>
                <w:szCs w:val="18"/>
              </w:rPr>
            </w:pPr>
            <w:r>
              <w:rPr>
                <w:rFonts w:ascii="Calibri" w:hAnsi="Calibri" w:cs="Calibri"/>
                <w:color w:val="000000"/>
                <w:sz w:val="18"/>
                <w:szCs w:val="18"/>
              </w:rPr>
              <w:t>Sustainable Development Goal</w:t>
            </w:r>
          </w:p>
        </w:tc>
      </w:tr>
      <w:tr w:rsidR="005505BF" w:rsidRPr="00610088" w14:paraId="3685C6B1" w14:textId="77777777" w:rsidTr="00AD0FA5">
        <w:tc>
          <w:tcPr>
            <w:tcW w:w="4505" w:type="dxa"/>
            <w:vAlign w:val="center"/>
          </w:tcPr>
          <w:p w14:paraId="57763EB8" w14:textId="7FCBDCE5" w:rsidR="005505BF" w:rsidRDefault="005505BF" w:rsidP="005505BF">
            <w:pPr>
              <w:rPr>
                <w:rFonts w:ascii="Calibri" w:hAnsi="Calibri" w:cs="Calibri"/>
                <w:color w:val="000000"/>
                <w:sz w:val="18"/>
                <w:szCs w:val="18"/>
              </w:rPr>
            </w:pPr>
            <w:r>
              <w:rPr>
                <w:rFonts w:ascii="Calibri" w:hAnsi="Calibri" w:cs="Calibri"/>
                <w:color w:val="000000"/>
                <w:sz w:val="18"/>
                <w:szCs w:val="18"/>
              </w:rPr>
              <w:t>SDI</w:t>
            </w:r>
          </w:p>
        </w:tc>
        <w:tc>
          <w:tcPr>
            <w:tcW w:w="4505" w:type="dxa"/>
            <w:vAlign w:val="center"/>
          </w:tcPr>
          <w:p w14:paraId="6E510DA8" w14:textId="4AE6457C" w:rsidR="005505BF" w:rsidRDefault="005505BF" w:rsidP="005505BF">
            <w:pPr>
              <w:rPr>
                <w:rFonts w:ascii="Calibri" w:hAnsi="Calibri" w:cs="Calibri"/>
                <w:color w:val="000000"/>
                <w:sz w:val="18"/>
                <w:szCs w:val="18"/>
              </w:rPr>
            </w:pPr>
            <w:r>
              <w:rPr>
                <w:rFonts w:ascii="Calibri" w:hAnsi="Calibri" w:cs="Calibri"/>
                <w:color w:val="000000"/>
                <w:sz w:val="18"/>
                <w:szCs w:val="18"/>
              </w:rPr>
              <w:t>Service Delivery Indicator</w:t>
            </w:r>
          </w:p>
        </w:tc>
      </w:tr>
      <w:tr w:rsidR="005505BF" w:rsidRPr="00610088" w14:paraId="062A8931" w14:textId="77777777" w:rsidTr="00AD0FA5">
        <w:tc>
          <w:tcPr>
            <w:tcW w:w="4505" w:type="dxa"/>
            <w:vAlign w:val="center"/>
          </w:tcPr>
          <w:p w14:paraId="45243411" w14:textId="7F048F78" w:rsidR="005505BF" w:rsidRDefault="005505BF" w:rsidP="005505BF">
            <w:pPr>
              <w:rPr>
                <w:rFonts w:ascii="Calibri" w:hAnsi="Calibri" w:cs="Calibri"/>
                <w:color w:val="000000"/>
                <w:sz w:val="18"/>
                <w:szCs w:val="18"/>
              </w:rPr>
            </w:pPr>
            <w:r>
              <w:rPr>
                <w:rFonts w:ascii="Calibri" w:hAnsi="Calibri" w:cs="Calibri"/>
                <w:color w:val="000000"/>
                <w:sz w:val="18"/>
                <w:szCs w:val="18"/>
              </w:rPr>
              <w:t>SECHN</w:t>
            </w:r>
          </w:p>
        </w:tc>
        <w:tc>
          <w:tcPr>
            <w:tcW w:w="4505" w:type="dxa"/>
            <w:vAlign w:val="center"/>
          </w:tcPr>
          <w:p w14:paraId="18EE39C2" w14:textId="6D00DE3C" w:rsidR="005505BF" w:rsidRDefault="005505BF" w:rsidP="005505BF">
            <w:pPr>
              <w:rPr>
                <w:rFonts w:ascii="Calibri" w:hAnsi="Calibri" w:cs="Calibri"/>
                <w:color w:val="000000"/>
                <w:sz w:val="18"/>
                <w:szCs w:val="18"/>
              </w:rPr>
            </w:pPr>
            <w:r>
              <w:rPr>
                <w:rFonts w:ascii="Calibri" w:hAnsi="Calibri" w:cs="Calibri"/>
                <w:color w:val="000000"/>
                <w:sz w:val="18"/>
                <w:szCs w:val="18"/>
              </w:rPr>
              <w:t>State Enrolled Community Health Nurse</w:t>
            </w:r>
          </w:p>
        </w:tc>
      </w:tr>
      <w:tr w:rsidR="005505BF" w:rsidRPr="00610088" w14:paraId="5ECFC8E4" w14:textId="77777777" w:rsidTr="00AD0FA5">
        <w:tc>
          <w:tcPr>
            <w:tcW w:w="4505" w:type="dxa"/>
            <w:vAlign w:val="center"/>
          </w:tcPr>
          <w:p w14:paraId="28DDDBBE" w14:textId="555A9683" w:rsidR="005505BF" w:rsidRDefault="005505BF" w:rsidP="005505BF">
            <w:pPr>
              <w:rPr>
                <w:rFonts w:ascii="Calibri" w:hAnsi="Calibri" w:cs="Calibri"/>
                <w:color w:val="000000"/>
                <w:sz w:val="18"/>
                <w:szCs w:val="18"/>
              </w:rPr>
            </w:pPr>
            <w:r>
              <w:rPr>
                <w:rFonts w:ascii="Calibri" w:hAnsi="Calibri" w:cs="Calibri"/>
                <w:color w:val="000000"/>
                <w:sz w:val="18"/>
                <w:szCs w:val="18"/>
              </w:rPr>
              <w:t>SLAPA</w:t>
            </w:r>
          </w:p>
        </w:tc>
        <w:tc>
          <w:tcPr>
            <w:tcW w:w="4505" w:type="dxa"/>
            <w:vAlign w:val="center"/>
          </w:tcPr>
          <w:p w14:paraId="6243D1AD" w14:textId="0F4CFD07" w:rsidR="005505BF" w:rsidRDefault="005505BF" w:rsidP="005505BF">
            <w:pPr>
              <w:rPr>
                <w:rFonts w:ascii="Calibri" w:hAnsi="Calibri" w:cs="Calibri"/>
                <w:color w:val="000000"/>
                <w:sz w:val="18"/>
                <w:szCs w:val="18"/>
              </w:rPr>
            </w:pPr>
            <w:r>
              <w:rPr>
                <w:rFonts w:ascii="Calibri" w:hAnsi="Calibri" w:cs="Calibri"/>
                <w:color w:val="000000"/>
                <w:sz w:val="18"/>
                <w:szCs w:val="18"/>
              </w:rPr>
              <w:t>Sierra Leone Alcohol Policy Alliance</w:t>
            </w:r>
          </w:p>
        </w:tc>
      </w:tr>
      <w:tr w:rsidR="005505BF" w:rsidRPr="00610088" w14:paraId="7409E76B" w14:textId="77777777" w:rsidTr="00AD0FA5">
        <w:tc>
          <w:tcPr>
            <w:tcW w:w="4505" w:type="dxa"/>
            <w:vAlign w:val="center"/>
          </w:tcPr>
          <w:p w14:paraId="645AB402" w14:textId="1793BC6E" w:rsidR="005505BF" w:rsidRDefault="005505BF" w:rsidP="005505BF">
            <w:pPr>
              <w:rPr>
                <w:rFonts w:ascii="Calibri" w:hAnsi="Calibri" w:cs="Calibri"/>
                <w:color w:val="000000"/>
                <w:sz w:val="18"/>
                <w:szCs w:val="18"/>
              </w:rPr>
            </w:pPr>
            <w:proofErr w:type="spellStart"/>
            <w:r>
              <w:rPr>
                <w:rFonts w:ascii="Calibri" w:hAnsi="Calibri" w:cs="Calibri"/>
                <w:color w:val="000000"/>
                <w:sz w:val="18"/>
                <w:szCs w:val="18"/>
              </w:rPr>
              <w:t>SLeSHI</w:t>
            </w:r>
            <w:proofErr w:type="spellEnd"/>
          </w:p>
        </w:tc>
        <w:tc>
          <w:tcPr>
            <w:tcW w:w="4505" w:type="dxa"/>
            <w:vAlign w:val="center"/>
          </w:tcPr>
          <w:p w14:paraId="06B8A11F" w14:textId="19B074FF" w:rsidR="005505BF" w:rsidRDefault="005505BF" w:rsidP="005505BF">
            <w:pPr>
              <w:rPr>
                <w:rFonts w:ascii="Calibri" w:hAnsi="Calibri" w:cs="Calibri"/>
                <w:color w:val="000000"/>
                <w:sz w:val="18"/>
                <w:szCs w:val="18"/>
              </w:rPr>
            </w:pPr>
            <w:r>
              <w:rPr>
                <w:rFonts w:ascii="Calibri" w:hAnsi="Calibri" w:cs="Calibri"/>
                <w:color w:val="000000"/>
                <w:sz w:val="18"/>
                <w:szCs w:val="18"/>
              </w:rPr>
              <w:t>Sierra Leone Social Health Insurance</w:t>
            </w:r>
          </w:p>
        </w:tc>
      </w:tr>
      <w:tr w:rsidR="005505BF" w:rsidRPr="00610088" w14:paraId="5A80BFE2" w14:textId="77777777" w:rsidTr="00AD0FA5">
        <w:tc>
          <w:tcPr>
            <w:tcW w:w="4505" w:type="dxa"/>
            <w:vAlign w:val="center"/>
          </w:tcPr>
          <w:p w14:paraId="3AFFE6D0" w14:textId="2185147C" w:rsidR="005505BF" w:rsidRDefault="005505BF" w:rsidP="005505BF">
            <w:pPr>
              <w:rPr>
                <w:rFonts w:ascii="Calibri" w:hAnsi="Calibri" w:cs="Calibri"/>
                <w:color w:val="000000"/>
                <w:sz w:val="18"/>
                <w:szCs w:val="18"/>
              </w:rPr>
            </w:pPr>
            <w:r>
              <w:rPr>
                <w:rFonts w:ascii="Calibri" w:hAnsi="Calibri" w:cs="Calibri"/>
                <w:color w:val="000000"/>
                <w:sz w:val="18"/>
                <w:szCs w:val="18"/>
              </w:rPr>
              <w:t>SLIHS</w:t>
            </w:r>
          </w:p>
        </w:tc>
        <w:tc>
          <w:tcPr>
            <w:tcW w:w="4505" w:type="dxa"/>
            <w:vAlign w:val="center"/>
          </w:tcPr>
          <w:p w14:paraId="0646859E" w14:textId="096F9538" w:rsidR="005505BF" w:rsidRDefault="005505BF" w:rsidP="005505BF">
            <w:pPr>
              <w:rPr>
                <w:rFonts w:ascii="Calibri" w:hAnsi="Calibri" w:cs="Calibri"/>
                <w:color w:val="000000"/>
                <w:sz w:val="18"/>
                <w:szCs w:val="18"/>
              </w:rPr>
            </w:pPr>
            <w:r>
              <w:rPr>
                <w:rFonts w:ascii="Calibri" w:hAnsi="Calibri" w:cs="Calibri"/>
                <w:color w:val="000000"/>
                <w:sz w:val="18"/>
                <w:szCs w:val="18"/>
              </w:rPr>
              <w:t>Sierra Leone Integrated Household Survey</w:t>
            </w:r>
          </w:p>
        </w:tc>
      </w:tr>
      <w:tr w:rsidR="005505BF" w:rsidRPr="00610088" w14:paraId="2A064AE5" w14:textId="77777777" w:rsidTr="00AD0FA5">
        <w:tc>
          <w:tcPr>
            <w:tcW w:w="4505" w:type="dxa"/>
            <w:vAlign w:val="center"/>
          </w:tcPr>
          <w:p w14:paraId="184E37DE" w14:textId="18BC335A" w:rsidR="005505BF" w:rsidRDefault="005505BF" w:rsidP="005505BF">
            <w:pPr>
              <w:rPr>
                <w:rFonts w:ascii="Calibri" w:hAnsi="Calibri" w:cs="Calibri"/>
                <w:color w:val="000000"/>
                <w:sz w:val="18"/>
                <w:szCs w:val="18"/>
              </w:rPr>
            </w:pPr>
            <w:r>
              <w:rPr>
                <w:rFonts w:ascii="Calibri" w:hAnsi="Calibri" w:cs="Calibri"/>
                <w:color w:val="000000"/>
                <w:sz w:val="18"/>
                <w:szCs w:val="18"/>
              </w:rPr>
              <w:t>SLL</w:t>
            </w:r>
          </w:p>
        </w:tc>
        <w:tc>
          <w:tcPr>
            <w:tcW w:w="4505" w:type="dxa"/>
            <w:vAlign w:val="center"/>
          </w:tcPr>
          <w:p w14:paraId="0BC1EF4E" w14:textId="070ACB68" w:rsidR="005505BF" w:rsidRDefault="005505BF" w:rsidP="005505BF">
            <w:pPr>
              <w:rPr>
                <w:rFonts w:ascii="Calibri" w:hAnsi="Calibri" w:cs="Calibri"/>
                <w:color w:val="000000"/>
                <w:sz w:val="18"/>
                <w:szCs w:val="18"/>
              </w:rPr>
            </w:pPr>
            <w:r>
              <w:rPr>
                <w:rFonts w:ascii="Calibri" w:hAnsi="Calibri" w:cs="Calibri"/>
                <w:color w:val="000000"/>
                <w:sz w:val="18"/>
                <w:szCs w:val="18"/>
              </w:rPr>
              <w:t xml:space="preserve">Sierra Leone </w:t>
            </w:r>
            <w:proofErr w:type="spellStart"/>
            <w:r>
              <w:rPr>
                <w:rFonts w:ascii="Calibri" w:hAnsi="Calibri" w:cs="Calibri"/>
                <w:color w:val="000000"/>
                <w:sz w:val="18"/>
                <w:szCs w:val="18"/>
              </w:rPr>
              <w:t>Leone</w:t>
            </w:r>
            <w:proofErr w:type="spellEnd"/>
          </w:p>
        </w:tc>
      </w:tr>
      <w:tr w:rsidR="005505BF" w:rsidRPr="00610088" w14:paraId="6472C401" w14:textId="77777777" w:rsidTr="00AD0FA5">
        <w:tc>
          <w:tcPr>
            <w:tcW w:w="4505" w:type="dxa"/>
            <w:vAlign w:val="center"/>
          </w:tcPr>
          <w:p w14:paraId="4E73F893" w14:textId="442A01BD" w:rsidR="005505BF" w:rsidRDefault="005505BF" w:rsidP="005505BF">
            <w:pPr>
              <w:rPr>
                <w:rFonts w:ascii="Calibri" w:hAnsi="Calibri" w:cs="Calibri"/>
                <w:color w:val="000000"/>
                <w:sz w:val="18"/>
                <w:szCs w:val="18"/>
              </w:rPr>
            </w:pPr>
            <w:r>
              <w:rPr>
                <w:rFonts w:ascii="Calibri" w:hAnsi="Calibri" w:cs="Calibri"/>
                <w:color w:val="000000"/>
                <w:sz w:val="18"/>
                <w:szCs w:val="18"/>
              </w:rPr>
              <w:t>SLMS</w:t>
            </w:r>
          </w:p>
        </w:tc>
        <w:tc>
          <w:tcPr>
            <w:tcW w:w="4505" w:type="dxa"/>
            <w:vAlign w:val="center"/>
          </w:tcPr>
          <w:p w14:paraId="521400E2" w14:textId="1A9188E7" w:rsidR="005505BF" w:rsidRDefault="005505BF" w:rsidP="005505BF">
            <w:pPr>
              <w:rPr>
                <w:rFonts w:ascii="Calibri" w:hAnsi="Calibri" w:cs="Calibri"/>
                <w:color w:val="000000"/>
                <w:sz w:val="18"/>
                <w:szCs w:val="18"/>
              </w:rPr>
            </w:pPr>
            <w:r>
              <w:rPr>
                <w:rFonts w:ascii="Calibri" w:hAnsi="Calibri" w:cs="Calibri"/>
                <w:color w:val="000000"/>
                <w:sz w:val="18"/>
                <w:szCs w:val="18"/>
              </w:rPr>
              <w:t>Sierra Leone Micronutrient Survey</w:t>
            </w:r>
          </w:p>
        </w:tc>
      </w:tr>
      <w:tr w:rsidR="005505BF" w:rsidRPr="00610088" w14:paraId="66C08BF3" w14:textId="77777777" w:rsidTr="00AD0FA5">
        <w:tc>
          <w:tcPr>
            <w:tcW w:w="4505" w:type="dxa"/>
            <w:vAlign w:val="center"/>
          </w:tcPr>
          <w:p w14:paraId="21D63567" w14:textId="5C3DC634" w:rsidR="005505BF" w:rsidRDefault="005505BF" w:rsidP="005505BF">
            <w:pPr>
              <w:rPr>
                <w:rFonts w:ascii="Calibri" w:hAnsi="Calibri" w:cs="Calibri"/>
                <w:color w:val="000000"/>
                <w:sz w:val="18"/>
                <w:szCs w:val="18"/>
              </w:rPr>
            </w:pPr>
            <w:r>
              <w:rPr>
                <w:rFonts w:ascii="Calibri" w:hAnsi="Calibri" w:cs="Calibri"/>
                <w:color w:val="000000"/>
                <w:sz w:val="18"/>
                <w:szCs w:val="18"/>
              </w:rPr>
              <w:t>SLP</w:t>
            </w:r>
          </w:p>
        </w:tc>
        <w:tc>
          <w:tcPr>
            <w:tcW w:w="4505" w:type="dxa"/>
            <w:vAlign w:val="center"/>
          </w:tcPr>
          <w:p w14:paraId="31CB7E7F" w14:textId="48E9B340" w:rsidR="005505BF" w:rsidRDefault="005505BF" w:rsidP="005505BF">
            <w:pPr>
              <w:rPr>
                <w:rFonts w:ascii="Calibri" w:hAnsi="Calibri" w:cs="Calibri"/>
                <w:color w:val="000000"/>
                <w:sz w:val="18"/>
                <w:szCs w:val="18"/>
              </w:rPr>
            </w:pPr>
            <w:r>
              <w:rPr>
                <w:rFonts w:ascii="Calibri" w:hAnsi="Calibri" w:cs="Calibri"/>
                <w:color w:val="000000"/>
                <w:sz w:val="18"/>
                <w:szCs w:val="18"/>
              </w:rPr>
              <w:t>Sierra Leone Police</w:t>
            </w:r>
          </w:p>
        </w:tc>
      </w:tr>
      <w:tr w:rsidR="005505BF" w:rsidRPr="00610088" w14:paraId="34BCA7A6" w14:textId="77777777" w:rsidTr="00AD0FA5">
        <w:tc>
          <w:tcPr>
            <w:tcW w:w="4505" w:type="dxa"/>
            <w:vAlign w:val="center"/>
          </w:tcPr>
          <w:p w14:paraId="03C5E3DD" w14:textId="488E697A" w:rsidR="005505BF" w:rsidRDefault="005505BF" w:rsidP="005505BF">
            <w:pPr>
              <w:rPr>
                <w:rFonts w:ascii="Calibri" w:hAnsi="Calibri" w:cs="Calibri"/>
                <w:color w:val="000000"/>
                <w:sz w:val="18"/>
                <w:szCs w:val="18"/>
              </w:rPr>
            </w:pPr>
            <w:r>
              <w:rPr>
                <w:rFonts w:ascii="Calibri" w:hAnsi="Calibri" w:cs="Calibri"/>
                <w:color w:val="000000"/>
                <w:sz w:val="18"/>
                <w:szCs w:val="18"/>
              </w:rPr>
              <w:t>SLRA</w:t>
            </w:r>
          </w:p>
        </w:tc>
        <w:tc>
          <w:tcPr>
            <w:tcW w:w="4505" w:type="dxa"/>
            <w:vAlign w:val="center"/>
          </w:tcPr>
          <w:p w14:paraId="59C34F0E" w14:textId="1A715540" w:rsidR="005505BF" w:rsidRDefault="005505BF" w:rsidP="005505BF">
            <w:pPr>
              <w:rPr>
                <w:rFonts w:ascii="Calibri" w:hAnsi="Calibri" w:cs="Calibri"/>
                <w:color w:val="000000"/>
                <w:sz w:val="18"/>
                <w:szCs w:val="18"/>
              </w:rPr>
            </w:pPr>
            <w:r>
              <w:rPr>
                <w:rFonts w:ascii="Calibri" w:hAnsi="Calibri" w:cs="Calibri"/>
                <w:color w:val="000000"/>
                <w:sz w:val="18"/>
                <w:szCs w:val="18"/>
              </w:rPr>
              <w:t>Sierra Leone Road Authority</w:t>
            </w:r>
          </w:p>
        </w:tc>
      </w:tr>
      <w:tr w:rsidR="005505BF" w:rsidRPr="00610088" w14:paraId="69AFD5E4" w14:textId="77777777" w:rsidTr="00AD0FA5">
        <w:tc>
          <w:tcPr>
            <w:tcW w:w="4505" w:type="dxa"/>
            <w:vAlign w:val="center"/>
          </w:tcPr>
          <w:p w14:paraId="447863CC" w14:textId="08E02942" w:rsidR="005505BF" w:rsidRDefault="005505BF" w:rsidP="005505BF">
            <w:pPr>
              <w:rPr>
                <w:rFonts w:ascii="Calibri" w:hAnsi="Calibri" w:cs="Calibri"/>
                <w:color w:val="000000"/>
                <w:sz w:val="18"/>
                <w:szCs w:val="18"/>
              </w:rPr>
            </w:pPr>
            <w:r>
              <w:rPr>
                <w:rFonts w:ascii="Calibri" w:hAnsi="Calibri" w:cs="Calibri"/>
                <w:color w:val="000000"/>
                <w:sz w:val="18"/>
                <w:szCs w:val="18"/>
              </w:rPr>
              <w:t>SLRSA</w:t>
            </w:r>
          </w:p>
        </w:tc>
        <w:tc>
          <w:tcPr>
            <w:tcW w:w="4505" w:type="dxa"/>
            <w:vAlign w:val="center"/>
          </w:tcPr>
          <w:p w14:paraId="59995071" w14:textId="1A9B7483" w:rsidR="005505BF" w:rsidRDefault="005505BF" w:rsidP="005505BF">
            <w:pPr>
              <w:rPr>
                <w:rFonts w:ascii="Calibri" w:hAnsi="Calibri" w:cs="Calibri"/>
                <w:color w:val="000000"/>
                <w:sz w:val="18"/>
                <w:szCs w:val="18"/>
              </w:rPr>
            </w:pPr>
            <w:r>
              <w:rPr>
                <w:rFonts w:ascii="Calibri" w:hAnsi="Calibri" w:cs="Calibri"/>
                <w:color w:val="000000"/>
                <w:sz w:val="18"/>
                <w:szCs w:val="18"/>
              </w:rPr>
              <w:t>Sierra Leone Road Safety Authority</w:t>
            </w:r>
          </w:p>
        </w:tc>
      </w:tr>
      <w:tr w:rsidR="005505BF" w:rsidRPr="00610088" w14:paraId="380E0FF2" w14:textId="77777777" w:rsidTr="00AD0FA5">
        <w:tc>
          <w:tcPr>
            <w:tcW w:w="4505" w:type="dxa"/>
            <w:vAlign w:val="center"/>
          </w:tcPr>
          <w:p w14:paraId="19AD79AD" w14:textId="58D18D85" w:rsidR="005505BF" w:rsidRDefault="005505BF" w:rsidP="005505BF">
            <w:pPr>
              <w:rPr>
                <w:rFonts w:ascii="Calibri" w:hAnsi="Calibri" w:cs="Calibri"/>
                <w:color w:val="000000"/>
                <w:sz w:val="18"/>
                <w:szCs w:val="18"/>
              </w:rPr>
            </w:pPr>
            <w:r>
              <w:rPr>
                <w:rFonts w:ascii="Calibri" w:hAnsi="Calibri" w:cs="Calibri"/>
                <w:color w:val="000000"/>
                <w:sz w:val="18"/>
                <w:szCs w:val="18"/>
              </w:rPr>
              <w:t>SLSCS</w:t>
            </w:r>
          </w:p>
        </w:tc>
        <w:tc>
          <w:tcPr>
            <w:tcW w:w="4505" w:type="dxa"/>
            <w:vAlign w:val="center"/>
          </w:tcPr>
          <w:p w14:paraId="2F21A044" w14:textId="7A2F0F8A" w:rsidR="005505BF" w:rsidRDefault="005505BF" w:rsidP="005505BF">
            <w:pPr>
              <w:rPr>
                <w:rFonts w:ascii="Calibri" w:hAnsi="Calibri" w:cs="Calibri"/>
                <w:color w:val="000000"/>
                <w:sz w:val="18"/>
                <w:szCs w:val="18"/>
              </w:rPr>
            </w:pPr>
            <w:r>
              <w:rPr>
                <w:rFonts w:ascii="Calibri" w:hAnsi="Calibri" w:cs="Calibri"/>
                <w:color w:val="000000"/>
                <w:sz w:val="18"/>
                <w:szCs w:val="18"/>
              </w:rPr>
              <w:t>Sierra Leone Sickle Cell Society</w:t>
            </w:r>
          </w:p>
        </w:tc>
      </w:tr>
      <w:tr w:rsidR="005505BF" w:rsidRPr="00610088" w14:paraId="016E7056" w14:textId="77777777" w:rsidTr="00AD0FA5">
        <w:tc>
          <w:tcPr>
            <w:tcW w:w="4505" w:type="dxa"/>
            <w:vAlign w:val="center"/>
          </w:tcPr>
          <w:p w14:paraId="0E867615" w14:textId="7A74145F" w:rsidR="005505BF" w:rsidRDefault="005505BF" w:rsidP="005505BF">
            <w:pPr>
              <w:rPr>
                <w:rFonts w:ascii="Calibri" w:hAnsi="Calibri" w:cs="Calibri"/>
                <w:color w:val="000000"/>
                <w:sz w:val="18"/>
                <w:szCs w:val="18"/>
              </w:rPr>
            </w:pPr>
            <w:r>
              <w:rPr>
                <w:rFonts w:ascii="Calibri" w:hAnsi="Calibri" w:cs="Calibri"/>
                <w:color w:val="000000"/>
                <w:sz w:val="18"/>
                <w:szCs w:val="18"/>
              </w:rPr>
              <w:t>SO</w:t>
            </w:r>
          </w:p>
        </w:tc>
        <w:tc>
          <w:tcPr>
            <w:tcW w:w="4505" w:type="dxa"/>
            <w:vAlign w:val="center"/>
          </w:tcPr>
          <w:p w14:paraId="576CBBD3" w14:textId="523E6870" w:rsidR="005505BF" w:rsidRDefault="005505BF" w:rsidP="005505BF">
            <w:pPr>
              <w:rPr>
                <w:rFonts w:ascii="Calibri" w:hAnsi="Calibri" w:cs="Calibri"/>
                <w:color w:val="000000"/>
                <w:sz w:val="18"/>
                <w:szCs w:val="18"/>
              </w:rPr>
            </w:pPr>
            <w:r>
              <w:rPr>
                <w:rFonts w:ascii="Calibri" w:hAnsi="Calibri" w:cs="Calibri"/>
                <w:color w:val="000000"/>
                <w:sz w:val="18"/>
                <w:szCs w:val="18"/>
              </w:rPr>
              <w:t>Strategic Objective</w:t>
            </w:r>
          </w:p>
        </w:tc>
      </w:tr>
      <w:tr w:rsidR="005505BF" w:rsidRPr="00610088" w14:paraId="5836B47C" w14:textId="77777777" w:rsidTr="00AD0FA5">
        <w:tc>
          <w:tcPr>
            <w:tcW w:w="4505" w:type="dxa"/>
            <w:vAlign w:val="center"/>
          </w:tcPr>
          <w:p w14:paraId="04D84F30" w14:textId="3F396821" w:rsidR="005505BF" w:rsidRDefault="005505BF" w:rsidP="005505BF">
            <w:pPr>
              <w:rPr>
                <w:rFonts w:ascii="Calibri" w:hAnsi="Calibri" w:cs="Calibri"/>
                <w:color w:val="000000"/>
                <w:sz w:val="18"/>
                <w:szCs w:val="18"/>
              </w:rPr>
            </w:pPr>
            <w:r>
              <w:rPr>
                <w:rFonts w:ascii="Calibri" w:hAnsi="Calibri" w:cs="Calibri"/>
                <w:color w:val="000000"/>
                <w:sz w:val="18"/>
                <w:szCs w:val="18"/>
              </w:rPr>
              <w:t>SO</w:t>
            </w:r>
            <w:r w:rsidRPr="005505BF">
              <w:rPr>
                <w:rFonts w:ascii="Calibri" w:hAnsi="Calibri" w:cs="Calibri"/>
                <w:color w:val="000000"/>
                <w:sz w:val="18"/>
                <w:szCs w:val="18"/>
                <w:vertAlign w:val="subscript"/>
              </w:rPr>
              <w:t>2</w:t>
            </w:r>
          </w:p>
        </w:tc>
        <w:tc>
          <w:tcPr>
            <w:tcW w:w="4505" w:type="dxa"/>
            <w:vAlign w:val="center"/>
          </w:tcPr>
          <w:p w14:paraId="7962A3E6" w14:textId="185C92DB" w:rsidR="005505BF" w:rsidRDefault="005505BF" w:rsidP="005505BF">
            <w:pPr>
              <w:rPr>
                <w:rFonts w:ascii="Calibri" w:hAnsi="Calibri" w:cs="Calibri"/>
                <w:color w:val="000000"/>
                <w:sz w:val="18"/>
                <w:szCs w:val="18"/>
              </w:rPr>
            </w:pPr>
            <w:r>
              <w:rPr>
                <w:rFonts w:ascii="Calibri" w:hAnsi="Calibri" w:cs="Calibri"/>
                <w:color w:val="000000"/>
                <w:sz w:val="18"/>
                <w:szCs w:val="18"/>
              </w:rPr>
              <w:t>Sulphur dioxide</w:t>
            </w:r>
          </w:p>
        </w:tc>
      </w:tr>
      <w:tr w:rsidR="005505BF" w:rsidRPr="00610088" w14:paraId="603B68FA" w14:textId="77777777" w:rsidTr="00AD0FA5">
        <w:tc>
          <w:tcPr>
            <w:tcW w:w="4505" w:type="dxa"/>
            <w:vAlign w:val="center"/>
          </w:tcPr>
          <w:p w14:paraId="45B6D249" w14:textId="327A9F5F" w:rsidR="005505BF" w:rsidRDefault="005505BF" w:rsidP="005505BF">
            <w:pPr>
              <w:rPr>
                <w:rFonts w:ascii="Calibri" w:hAnsi="Calibri" w:cs="Calibri"/>
                <w:color w:val="000000"/>
                <w:sz w:val="18"/>
                <w:szCs w:val="18"/>
              </w:rPr>
            </w:pPr>
            <w:r>
              <w:rPr>
                <w:rFonts w:ascii="Calibri" w:hAnsi="Calibri" w:cs="Calibri"/>
                <w:color w:val="000000"/>
                <w:sz w:val="18"/>
                <w:szCs w:val="18"/>
              </w:rPr>
              <w:t>SOP</w:t>
            </w:r>
          </w:p>
        </w:tc>
        <w:tc>
          <w:tcPr>
            <w:tcW w:w="4505" w:type="dxa"/>
            <w:vAlign w:val="center"/>
          </w:tcPr>
          <w:p w14:paraId="11AE212D" w14:textId="2540C1C0" w:rsidR="005505BF" w:rsidRDefault="005505BF" w:rsidP="005505BF">
            <w:pPr>
              <w:rPr>
                <w:rFonts w:ascii="Calibri" w:hAnsi="Calibri" w:cs="Calibri"/>
                <w:color w:val="000000"/>
                <w:sz w:val="18"/>
                <w:szCs w:val="18"/>
              </w:rPr>
            </w:pPr>
            <w:r>
              <w:rPr>
                <w:rFonts w:ascii="Calibri" w:hAnsi="Calibri" w:cs="Calibri"/>
                <w:color w:val="000000"/>
                <w:sz w:val="18"/>
                <w:szCs w:val="18"/>
              </w:rPr>
              <w:t>Standard Operational Procedure</w:t>
            </w:r>
          </w:p>
        </w:tc>
      </w:tr>
      <w:tr w:rsidR="005505BF" w:rsidRPr="00610088" w14:paraId="6093CDE7" w14:textId="77777777" w:rsidTr="00AD0FA5">
        <w:tc>
          <w:tcPr>
            <w:tcW w:w="4505" w:type="dxa"/>
            <w:vAlign w:val="center"/>
          </w:tcPr>
          <w:p w14:paraId="62373069" w14:textId="4055AC1B" w:rsidR="005505BF" w:rsidRDefault="005505BF" w:rsidP="005505BF">
            <w:pPr>
              <w:rPr>
                <w:rFonts w:ascii="Calibri" w:hAnsi="Calibri" w:cs="Calibri"/>
                <w:color w:val="000000"/>
                <w:sz w:val="18"/>
                <w:szCs w:val="18"/>
              </w:rPr>
            </w:pPr>
            <w:r>
              <w:rPr>
                <w:rFonts w:ascii="Calibri" w:hAnsi="Calibri" w:cs="Calibri"/>
                <w:color w:val="000000"/>
                <w:sz w:val="18"/>
                <w:szCs w:val="18"/>
              </w:rPr>
              <w:t>SRN</w:t>
            </w:r>
          </w:p>
        </w:tc>
        <w:tc>
          <w:tcPr>
            <w:tcW w:w="4505" w:type="dxa"/>
            <w:vAlign w:val="center"/>
          </w:tcPr>
          <w:p w14:paraId="7A491411" w14:textId="31B85AFB" w:rsidR="005505BF" w:rsidRDefault="005505BF" w:rsidP="005505BF">
            <w:pPr>
              <w:rPr>
                <w:rFonts w:ascii="Calibri" w:hAnsi="Calibri" w:cs="Calibri"/>
                <w:color w:val="000000"/>
                <w:sz w:val="18"/>
                <w:szCs w:val="18"/>
              </w:rPr>
            </w:pPr>
            <w:r>
              <w:rPr>
                <w:rFonts w:ascii="Calibri" w:hAnsi="Calibri" w:cs="Calibri"/>
                <w:color w:val="000000"/>
                <w:sz w:val="18"/>
                <w:szCs w:val="18"/>
              </w:rPr>
              <w:t>State Registered Nurse</w:t>
            </w:r>
          </w:p>
        </w:tc>
      </w:tr>
      <w:tr w:rsidR="005505BF" w:rsidRPr="00610088" w14:paraId="6F859295" w14:textId="77777777" w:rsidTr="00AD0FA5">
        <w:tc>
          <w:tcPr>
            <w:tcW w:w="4505" w:type="dxa"/>
            <w:vAlign w:val="center"/>
          </w:tcPr>
          <w:p w14:paraId="214F0F54" w14:textId="08871A7E" w:rsidR="005505BF" w:rsidRDefault="005505BF" w:rsidP="005505BF">
            <w:pPr>
              <w:rPr>
                <w:rFonts w:ascii="Calibri" w:hAnsi="Calibri" w:cs="Calibri"/>
                <w:color w:val="000000"/>
                <w:sz w:val="18"/>
                <w:szCs w:val="18"/>
              </w:rPr>
            </w:pPr>
            <w:r>
              <w:rPr>
                <w:rFonts w:ascii="Calibri" w:hAnsi="Calibri" w:cs="Calibri"/>
                <w:color w:val="000000"/>
                <w:sz w:val="18"/>
                <w:szCs w:val="18"/>
              </w:rPr>
              <w:t>STEPS</w:t>
            </w:r>
          </w:p>
        </w:tc>
        <w:tc>
          <w:tcPr>
            <w:tcW w:w="4505" w:type="dxa"/>
            <w:vAlign w:val="center"/>
          </w:tcPr>
          <w:p w14:paraId="710BDF61" w14:textId="420FF5F1" w:rsidR="005505BF" w:rsidRDefault="005505BF" w:rsidP="005505BF">
            <w:pPr>
              <w:rPr>
                <w:rFonts w:ascii="Calibri" w:hAnsi="Calibri" w:cs="Calibri"/>
                <w:color w:val="000000"/>
                <w:sz w:val="18"/>
                <w:szCs w:val="18"/>
              </w:rPr>
            </w:pPr>
            <w:proofErr w:type="spellStart"/>
            <w:r>
              <w:rPr>
                <w:rFonts w:ascii="Calibri" w:hAnsi="Calibri" w:cs="Calibri"/>
                <w:color w:val="000000"/>
                <w:sz w:val="18"/>
                <w:szCs w:val="18"/>
              </w:rPr>
              <w:t>STEPwise</w:t>
            </w:r>
            <w:proofErr w:type="spellEnd"/>
            <w:r>
              <w:rPr>
                <w:rFonts w:ascii="Calibri" w:hAnsi="Calibri" w:cs="Calibri"/>
                <w:color w:val="000000"/>
                <w:sz w:val="18"/>
                <w:szCs w:val="18"/>
              </w:rPr>
              <w:t xml:space="preserve"> approach to Surveillance</w:t>
            </w:r>
          </w:p>
        </w:tc>
      </w:tr>
      <w:tr w:rsidR="005505BF" w:rsidRPr="00610088" w14:paraId="635F3C45" w14:textId="77777777" w:rsidTr="00AD0FA5">
        <w:tc>
          <w:tcPr>
            <w:tcW w:w="4505" w:type="dxa"/>
            <w:vAlign w:val="center"/>
          </w:tcPr>
          <w:p w14:paraId="72555231" w14:textId="795AF1CB" w:rsidR="005505BF" w:rsidRDefault="005505BF" w:rsidP="005505BF">
            <w:pPr>
              <w:rPr>
                <w:rFonts w:ascii="Calibri" w:hAnsi="Calibri" w:cs="Calibri"/>
                <w:color w:val="000000"/>
                <w:sz w:val="18"/>
                <w:szCs w:val="18"/>
              </w:rPr>
            </w:pPr>
            <w:r>
              <w:rPr>
                <w:rFonts w:ascii="Calibri" w:hAnsi="Calibri" w:cs="Calibri"/>
                <w:color w:val="000000"/>
                <w:sz w:val="18"/>
                <w:szCs w:val="18"/>
              </w:rPr>
              <w:t>STI</w:t>
            </w:r>
          </w:p>
        </w:tc>
        <w:tc>
          <w:tcPr>
            <w:tcW w:w="4505" w:type="dxa"/>
            <w:vAlign w:val="center"/>
          </w:tcPr>
          <w:p w14:paraId="4E3F0993" w14:textId="30FAF162" w:rsidR="005505BF" w:rsidRDefault="005505BF" w:rsidP="005505BF">
            <w:pPr>
              <w:rPr>
                <w:rFonts w:ascii="Calibri" w:hAnsi="Calibri" w:cs="Calibri"/>
                <w:color w:val="000000"/>
                <w:sz w:val="18"/>
                <w:szCs w:val="18"/>
              </w:rPr>
            </w:pPr>
            <w:r>
              <w:rPr>
                <w:rFonts w:ascii="Calibri" w:hAnsi="Calibri" w:cs="Calibri"/>
                <w:color w:val="000000"/>
                <w:sz w:val="18"/>
                <w:szCs w:val="18"/>
              </w:rPr>
              <w:t>Sexually Transmitted Infection</w:t>
            </w:r>
          </w:p>
        </w:tc>
      </w:tr>
      <w:tr w:rsidR="005505BF" w:rsidRPr="00610088" w14:paraId="53A7866C" w14:textId="77777777" w:rsidTr="00AD0FA5">
        <w:tc>
          <w:tcPr>
            <w:tcW w:w="4505" w:type="dxa"/>
            <w:vAlign w:val="center"/>
          </w:tcPr>
          <w:p w14:paraId="5798042C" w14:textId="260B012A" w:rsidR="005505BF" w:rsidRDefault="005505BF" w:rsidP="005505BF">
            <w:pPr>
              <w:rPr>
                <w:rFonts w:ascii="Calibri" w:hAnsi="Calibri" w:cs="Calibri"/>
                <w:color w:val="000000"/>
                <w:sz w:val="18"/>
                <w:szCs w:val="18"/>
              </w:rPr>
            </w:pPr>
            <w:r>
              <w:rPr>
                <w:rFonts w:ascii="Calibri" w:hAnsi="Calibri" w:cs="Calibri"/>
                <w:color w:val="000000"/>
                <w:sz w:val="18"/>
                <w:szCs w:val="18"/>
              </w:rPr>
              <w:t>SUN</w:t>
            </w:r>
          </w:p>
        </w:tc>
        <w:tc>
          <w:tcPr>
            <w:tcW w:w="4505" w:type="dxa"/>
            <w:vAlign w:val="center"/>
          </w:tcPr>
          <w:p w14:paraId="7DE4F568" w14:textId="0F386374" w:rsidR="005505BF" w:rsidRDefault="005505BF" w:rsidP="005505BF">
            <w:pPr>
              <w:rPr>
                <w:rFonts w:ascii="Calibri" w:hAnsi="Calibri" w:cs="Calibri"/>
                <w:color w:val="000000"/>
                <w:sz w:val="18"/>
                <w:szCs w:val="18"/>
              </w:rPr>
            </w:pPr>
            <w:r>
              <w:rPr>
                <w:rFonts w:ascii="Calibri" w:hAnsi="Calibri" w:cs="Calibri"/>
                <w:color w:val="000000"/>
                <w:sz w:val="18"/>
                <w:szCs w:val="18"/>
              </w:rPr>
              <w:t>Scaling Up Nutrition initiative</w:t>
            </w:r>
          </w:p>
        </w:tc>
      </w:tr>
      <w:tr w:rsidR="005505BF" w:rsidRPr="00610088" w14:paraId="0AA5B8B8" w14:textId="77777777" w:rsidTr="00AD0FA5">
        <w:tc>
          <w:tcPr>
            <w:tcW w:w="4505" w:type="dxa"/>
            <w:vAlign w:val="center"/>
          </w:tcPr>
          <w:p w14:paraId="2BC7A57E" w14:textId="014C1FA7" w:rsidR="005505BF" w:rsidRDefault="005505BF" w:rsidP="005505BF">
            <w:pPr>
              <w:rPr>
                <w:rFonts w:ascii="Calibri" w:hAnsi="Calibri" w:cs="Calibri"/>
                <w:color w:val="000000"/>
                <w:sz w:val="18"/>
                <w:szCs w:val="18"/>
              </w:rPr>
            </w:pPr>
            <w:r>
              <w:rPr>
                <w:rFonts w:ascii="Calibri" w:hAnsi="Calibri" w:cs="Calibri"/>
                <w:color w:val="000000"/>
                <w:sz w:val="18"/>
                <w:szCs w:val="18"/>
              </w:rPr>
              <w:t>SWSLCC</w:t>
            </w:r>
          </w:p>
        </w:tc>
        <w:tc>
          <w:tcPr>
            <w:tcW w:w="4505" w:type="dxa"/>
            <w:vAlign w:val="center"/>
          </w:tcPr>
          <w:p w14:paraId="2524AA4B" w14:textId="6066FA38" w:rsidR="005505BF" w:rsidRDefault="005505BF" w:rsidP="005505BF">
            <w:pPr>
              <w:rPr>
                <w:rFonts w:ascii="Calibri" w:hAnsi="Calibri" w:cs="Calibri"/>
                <w:color w:val="000000"/>
                <w:sz w:val="18"/>
                <w:szCs w:val="18"/>
              </w:rPr>
            </w:pPr>
            <w:r>
              <w:rPr>
                <w:rFonts w:ascii="Calibri" w:hAnsi="Calibri" w:cs="Calibri"/>
                <w:color w:val="000000"/>
                <w:sz w:val="18"/>
                <w:szCs w:val="18"/>
              </w:rPr>
              <w:t>South Wales Sierra Leone Cancer Care Link</w:t>
            </w:r>
          </w:p>
        </w:tc>
      </w:tr>
      <w:tr w:rsidR="005505BF" w:rsidRPr="00610088" w14:paraId="015E5170" w14:textId="77777777" w:rsidTr="00AD0FA5">
        <w:tc>
          <w:tcPr>
            <w:tcW w:w="4505" w:type="dxa"/>
            <w:vAlign w:val="center"/>
          </w:tcPr>
          <w:p w14:paraId="12AC2A89" w14:textId="699A2B28" w:rsidR="005505BF" w:rsidRDefault="005505BF" w:rsidP="005505BF">
            <w:pPr>
              <w:rPr>
                <w:rFonts w:ascii="Calibri" w:hAnsi="Calibri" w:cs="Calibri"/>
                <w:color w:val="000000"/>
                <w:sz w:val="18"/>
                <w:szCs w:val="18"/>
              </w:rPr>
            </w:pPr>
            <w:r>
              <w:rPr>
                <w:rFonts w:ascii="Calibri" w:hAnsi="Calibri" w:cs="Calibri"/>
                <w:color w:val="000000"/>
                <w:sz w:val="18"/>
                <w:szCs w:val="18"/>
              </w:rPr>
              <w:t>TB</w:t>
            </w:r>
          </w:p>
        </w:tc>
        <w:tc>
          <w:tcPr>
            <w:tcW w:w="4505" w:type="dxa"/>
            <w:vAlign w:val="center"/>
          </w:tcPr>
          <w:p w14:paraId="71E88C61" w14:textId="5A7689A7" w:rsidR="005505BF" w:rsidRDefault="005505BF" w:rsidP="005505BF">
            <w:pPr>
              <w:rPr>
                <w:rFonts w:ascii="Calibri" w:hAnsi="Calibri" w:cs="Calibri"/>
                <w:color w:val="000000"/>
                <w:sz w:val="18"/>
                <w:szCs w:val="18"/>
              </w:rPr>
            </w:pPr>
            <w:r>
              <w:rPr>
                <w:rFonts w:ascii="Calibri" w:hAnsi="Calibri" w:cs="Calibri"/>
                <w:color w:val="000000"/>
                <w:sz w:val="18"/>
                <w:szCs w:val="18"/>
              </w:rPr>
              <w:t>Tuberculosis</w:t>
            </w:r>
          </w:p>
        </w:tc>
      </w:tr>
      <w:tr w:rsidR="005505BF" w:rsidRPr="00610088" w14:paraId="13D0E42C" w14:textId="77777777" w:rsidTr="00AD0FA5">
        <w:tc>
          <w:tcPr>
            <w:tcW w:w="4505" w:type="dxa"/>
            <w:vAlign w:val="center"/>
          </w:tcPr>
          <w:p w14:paraId="1A66F441" w14:textId="108BA9A2" w:rsidR="005505BF" w:rsidRDefault="005505BF" w:rsidP="005505BF">
            <w:pPr>
              <w:rPr>
                <w:rFonts w:ascii="Calibri" w:hAnsi="Calibri" w:cs="Calibri"/>
                <w:color w:val="000000"/>
                <w:sz w:val="18"/>
                <w:szCs w:val="18"/>
              </w:rPr>
            </w:pPr>
            <w:r>
              <w:rPr>
                <w:rFonts w:ascii="Calibri" w:hAnsi="Calibri" w:cs="Calibri"/>
                <w:color w:val="000000"/>
                <w:sz w:val="18"/>
                <w:szCs w:val="18"/>
              </w:rPr>
              <w:t>TBA</w:t>
            </w:r>
          </w:p>
        </w:tc>
        <w:tc>
          <w:tcPr>
            <w:tcW w:w="4505" w:type="dxa"/>
            <w:vAlign w:val="center"/>
          </w:tcPr>
          <w:p w14:paraId="7AB52ECA" w14:textId="58F756C9" w:rsidR="005505BF" w:rsidRDefault="005505BF" w:rsidP="005505BF">
            <w:pPr>
              <w:rPr>
                <w:rFonts w:ascii="Calibri" w:hAnsi="Calibri" w:cs="Calibri"/>
                <w:color w:val="000000"/>
                <w:sz w:val="18"/>
                <w:szCs w:val="18"/>
              </w:rPr>
            </w:pPr>
            <w:r>
              <w:rPr>
                <w:rFonts w:ascii="Calibri" w:hAnsi="Calibri" w:cs="Calibri"/>
                <w:color w:val="000000"/>
                <w:sz w:val="18"/>
                <w:szCs w:val="18"/>
              </w:rPr>
              <w:t>Traditional Birth Attendant</w:t>
            </w:r>
          </w:p>
        </w:tc>
      </w:tr>
      <w:tr w:rsidR="005505BF" w:rsidRPr="00610088" w14:paraId="41330D00" w14:textId="77777777" w:rsidTr="00AD0FA5">
        <w:tc>
          <w:tcPr>
            <w:tcW w:w="4505" w:type="dxa"/>
            <w:vAlign w:val="center"/>
          </w:tcPr>
          <w:p w14:paraId="4FCE33B1" w14:textId="23C939EF" w:rsidR="005505BF" w:rsidRDefault="005505BF" w:rsidP="005505BF">
            <w:pPr>
              <w:rPr>
                <w:rFonts w:ascii="Calibri" w:hAnsi="Calibri" w:cs="Calibri"/>
                <w:color w:val="000000"/>
                <w:sz w:val="18"/>
                <w:szCs w:val="18"/>
              </w:rPr>
            </w:pPr>
            <w:r>
              <w:rPr>
                <w:rFonts w:ascii="Calibri" w:hAnsi="Calibri" w:cs="Calibri"/>
                <w:color w:val="000000"/>
                <w:sz w:val="18"/>
                <w:szCs w:val="18"/>
              </w:rPr>
              <w:t>TBD</w:t>
            </w:r>
          </w:p>
        </w:tc>
        <w:tc>
          <w:tcPr>
            <w:tcW w:w="4505" w:type="dxa"/>
            <w:vAlign w:val="center"/>
          </w:tcPr>
          <w:p w14:paraId="34A1E09F" w14:textId="79C0424A" w:rsidR="005505BF" w:rsidRDefault="005505BF" w:rsidP="005505BF">
            <w:pPr>
              <w:rPr>
                <w:rFonts w:ascii="Calibri" w:hAnsi="Calibri" w:cs="Calibri"/>
                <w:color w:val="000000"/>
                <w:sz w:val="18"/>
                <w:szCs w:val="18"/>
              </w:rPr>
            </w:pPr>
            <w:r>
              <w:rPr>
                <w:rFonts w:ascii="Calibri" w:hAnsi="Calibri" w:cs="Calibri"/>
                <w:color w:val="000000"/>
                <w:sz w:val="18"/>
                <w:szCs w:val="18"/>
              </w:rPr>
              <w:t>To be determined</w:t>
            </w:r>
          </w:p>
        </w:tc>
      </w:tr>
      <w:tr w:rsidR="005505BF" w:rsidRPr="00610088" w14:paraId="52584DFC" w14:textId="77777777" w:rsidTr="00AD0FA5">
        <w:tc>
          <w:tcPr>
            <w:tcW w:w="4505" w:type="dxa"/>
            <w:vAlign w:val="center"/>
          </w:tcPr>
          <w:p w14:paraId="5E869FA6" w14:textId="5FBC0120" w:rsidR="005505BF" w:rsidRDefault="005505BF" w:rsidP="005505BF">
            <w:pPr>
              <w:rPr>
                <w:rFonts w:ascii="Calibri" w:hAnsi="Calibri" w:cs="Calibri"/>
                <w:color w:val="000000"/>
                <w:sz w:val="18"/>
                <w:szCs w:val="18"/>
              </w:rPr>
            </w:pPr>
            <w:r>
              <w:rPr>
                <w:rFonts w:ascii="Calibri" w:hAnsi="Calibri" w:cs="Calibri"/>
                <w:color w:val="000000"/>
                <w:sz w:val="18"/>
                <w:szCs w:val="18"/>
              </w:rPr>
              <w:t>THET</w:t>
            </w:r>
          </w:p>
        </w:tc>
        <w:tc>
          <w:tcPr>
            <w:tcW w:w="4505" w:type="dxa"/>
            <w:vAlign w:val="center"/>
          </w:tcPr>
          <w:p w14:paraId="6DA79DA9" w14:textId="4A84065C" w:rsidR="005505BF" w:rsidRDefault="005505BF" w:rsidP="005505BF">
            <w:pPr>
              <w:rPr>
                <w:rFonts w:ascii="Calibri" w:hAnsi="Calibri" w:cs="Calibri"/>
                <w:color w:val="000000"/>
                <w:sz w:val="18"/>
                <w:szCs w:val="18"/>
              </w:rPr>
            </w:pPr>
            <w:r>
              <w:rPr>
                <w:rFonts w:ascii="Calibri" w:hAnsi="Calibri" w:cs="Calibri"/>
                <w:color w:val="000000"/>
                <w:sz w:val="18"/>
                <w:szCs w:val="18"/>
              </w:rPr>
              <w:t>Total Health Expenditure</w:t>
            </w:r>
          </w:p>
        </w:tc>
      </w:tr>
      <w:tr w:rsidR="005505BF" w:rsidRPr="00610088" w14:paraId="75387B0C" w14:textId="77777777" w:rsidTr="00AD0FA5">
        <w:tc>
          <w:tcPr>
            <w:tcW w:w="4505" w:type="dxa"/>
            <w:vAlign w:val="center"/>
          </w:tcPr>
          <w:p w14:paraId="20B4A47A" w14:textId="45F4DA2D" w:rsidR="005505BF" w:rsidRDefault="005505BF" w:rsidP="005505BF">
            <w:pPr>
              <w:rPr>
                <w:rFonts w:ascii="Calibri" w:hAnsi="Calibri" w:cs="Calibri"/>
                <w:color w:val="000000"/>
                <w:sz w:val="18"/>
                <w:szCs w:val="18"/>
              </w:rPr>
            </w:pPr>
            <w:r>
              <w:rPr>
                <w:rFonts w:ascii="Calibri" w:hAnsi="Calibri" w:cs="Calibri"/>
                <w:color w:val="000000"/>
                <w:sz w:val="18"/>
                <w:szCs w:val="18"/>
              </w:rPr>
              <w:t>TWG</w:t>
            </w:r>
          </w:p>
        </w:tc>
        <w:tc>
          <w:tcPr>
            <w:tcW w:w="4505" w:type="dxa"/>
            <w:vAlign w:val="center"/>
          </w:tcPr>
          <w:p w14:paraId="4D168D53" w14:textId="5D62D99F" w:rsidR="005505BF" w:rsidRDefault="005505BF" w:rsidP="005505BF">
            <w:pPr>
              <w:rPr>
                <w:rFonts w:ascii="Calibri" w:hAnsi="Calibri" w:cs="Calibri"/>
                <w:color w:val="000000"/>
                <w:sz w:val="18"/>
                <w:szCs w:val="18"/>
              </w:rPr>
            </w:pPr>
            <w:r>
              <w:rPr>
                <w:rFonts w:ascii="Calibri" w:hAnsi="Calibri" w:cs="Calibri"/>
                <w:color w:val="000000"/>
                <w:sz w:val="18"/>
                <w:szCs w:val="18"/>
              </w:rPr>
              <w:t>Technical Working Group</w:t>
            </w:r>
          </w:p>
        </w:tc>
      </w:tr>
      <w:tr w:rsidR="005505BF" w:rsidRPr="00610088" w14:paraId="485F0511" w14:textId="77777777" w:rsidTr="00AD0FA5">
        <w:tc>
          <w:tcPr>
            <w:tcW w:w="4505" w:type="dxa"/>
            <w:vAlign w:val="center"/>
          </w:tcPr>
          <w:p w14:paraId="12D569A8" w14:textId="34438A78" w:rsidR="005505BF" w:rsidRDefault="005505BF" w:rsidP="005505BF">
            <w:pPr>
              <w:rPr>
                <w:rFonts w:ascii="Calibri" w:hAnsi="Calibri" w:cs="Calibri"/>
                <w:color w:val="000000"/>
                <w:sz w:val="18"/>
                <w:szCs w:val="18"/>
              </w:rPr>
            </w:pPr>
            <w:r>
              <w:rPr>
                <w:rFonts w:ascii="Calibri" w:hAnsi="Calibri" w:cs="Calibri"/>
                <w:color w:val="000000"/>
                <w:sz w:val="18"/>
                <w:szCs w:val="18"/>
              </w:rPr>
              <w:t>UHC</w:t>
            </w:r>
          </w:p>
        </w:tc>
        <w:tc>
          <w:tcPr>
            <w:tcW w:w="4505" w:type="dxa"/>
            <w:vAlign w:val="center"/>
          </w:tcPr>
          <w:p w14:paraId="204313E5" w14:textId="1E23F20A" w:rsidR="005505BF" w:rsidRDefault="005505BF" w:rsidP="005505BF">
            <w:pPr>
              <w:rPr>
                <w:rFonts w:ascii="Calibri" w:hAnsi="Calibri" w:cs="Calibri"/>
                <w:color w:val="000000"/>
                <w:sz w:val="18"/>
                <w:szCs w:val="18"/>
              </w:rPr>
            </w:pPr>
            <w:r>
              <w:rPr>
                <w:rFonts w:ascii="Calibri" w:hAnsi="Calibri" w:cs="Calibri"/>
                <w:color w:val="000000"/>
                <w:sz w:val="18"/>
                <w:szCs w:val="18"/>
              </w:rPr>
              <w:t>Universal Health Coverage</w:t>
            </w:r>
          </w:p>
        </w:tc>
      </w:tr>
      <w:tr w:rsidR="005505BF" w:rsidRPr="00610088" w14:paraId="0824A2AF" w14:textId="77777777" w:rsidTr="00AD0FA5">
        <w:tc>
          <w:tcPr>
            <w:tcW w:w="4505" w:type="dxa"/>
            <w:vAlign w:val="center"/>
          </w:tcPr>
          <w:p w14:paraId="005244F5" w14:textId="6409384E" w:rsidR="005505BF" w:rsidRDefault="005505BF" w:rsidP="005505BF">
            <w:pPr>
              <w:rPr>
                <w:rFonts w:ascii="Calibri" w:hAnsi="Calibri" w:cs="Calibri"/>
                <w:color w:val="000000"/>
                <w:sz w:val="18"/>
                <w:szCs w:val="18"/>
              </w:rPr>
            </w:pPr>
            <w:r>
              <w:rPr>
                <w:rFonts w:ascii="Calibri" w:hAnsi="Calibri" w:cs="Calibri"/>
                <w:color w:val="000000"/>
                <w:sz w:val="18"/>
                <w:szCs w:val="18"/>
              </w:rPr>
              <w:t>UN</w:t>
            </w:r>
          </w:p>
        </w:tc>
        <w:tc>
          <w:tcPr>
            <w:tcW w:w="4505" w:type="dxa"/>
            <w:vAlign w:val="center"/>
          </w:tcPr>
          <w:p w14:paraId="6F2C0E11" w14:textId="50C1FDE6" w:rsidR="005505BF" w:rsidRDefault="005505BF" w:rsidP="005505BF">
            <w:pPr>
              <w:rPr>
                <w:rFonts w:ascii="Calibri" w:hAnsi="Calibri" w:cs="Calibri"/>
                <w:color w:val="000000"/>
                <w:sz w:val="18"/>
                <w:szCs w:val="18"/>
              </w:rPr>
            </w:pPr>
            <w:r>
              <w:rPr>
                <w:rFonts w:ascii="Calibri" w:hAnsi="Calibri" w:cs="Calibri"/>
                <w:color w:val="000000"/>
                <w:sz w:val="18"/>
                <w:szCs w:val="18"/>
              </w:rPr>
              <w:t>United Nations</w:t>
            </w:r>
          </w:p>
        </w:tc>
      </w:tr>
      <w:tr w:rsidR="005505BF" w:rsidRPr="00610088" w14:paraId="2FFA4535" w14:textId="77777777" w:rsidTr="00AD0FA5">
        <w:tc>
          <w:tcPr>
            <w:tcW w:w="4505" w:type="dxa"/>
            <w:vAlign w:val="center"/>
          </w:tcPr>
          <w:p w14:paraId="0081C2DC" w14:textId="3D363A2B" w:rsidR="005505BF" w:rsidRDefault="005505BF" w:rsidP="005505BF">
            <w:pPr>
              <w:rPr>
                <w:rFonts w:ascii="Calibri" w:hAnsi="Calibri" w:cs="Calibri"/>
                <w:color w:val="000000"/>
                <w:sz w:val="18"/>
                <w:szCs w:val="18"/>
              </w:rPr>
            </w:pPr>
            <w:r>
              <w:rPr>
                <w:rFonts w:ascii="Calibri" w:hAnsi="Calibri" w:cs="Calibri"/>
                <w:color w:val="000000"/>
                <w:sz w:val="18"/>
                <w:szCs w:val="18"/>
              </w:rPr>
              <w:t>UNCRPD</w:t>
            </w:r>
          </w:p>
        </w:tc>
        <w:tc>
          <w:tcPr>
            <w:tcW w:w="4505" w:type="dxa"/>
            <w:vAlign w:val="center"/>
          </w:tcPr>
          <w:p w14:paraId="0D1D16A4" w14:textId="646266C0" w:rsidR="005505BF" w:rsidRDefault="005505BF" w:rsidP="005505BF">
            <w:pPr>
              <w:rPr>
                <w:rFonts w:ascii="Calibri" w:hAnsi="Calibri" w:cs="Calibri"/>
                <w:color w:val="000000"/>
                <w:sz w:val="18"/>
                <w:szCs w:val="18"/>
              </w:rPr>
            </w:pPr>
            <w:r>
              <w:rPr>
                <w:rFonts w:ascii="Calibri" w:hAnsi="Calibri" w:cs="Calibri"/>
                <w:color w:val="000000"/>
                <w:sz w:val="18"/>
                <w:szCs w:val="18"/>
              </w:rPr>
              <w:t>United Nations Convention on the rights of persons with disabilities</w:t>
            </w:r>
          </w:p>
        </w:tc>
      </w:tr>
      <w:tr w:rsidR="005505BF" w:rsidRPr="00610088" w14:paraId="045EA380" w14:textId="77777777" w:rsidTr="00AD0FA5">
        <w:tc>
          <w:tcPr>
            <w:tcW w:w="4505" w:type="dxa"/>
            <w:vAlign w:val="center"/>
          </w:tcPr>
          <w:p w14:paraId="2F3DC701" w14:textId="2E0CB981" w:rsidR="005505BF" w:rsidRDefault="005505BF" w:rsidP="005505BF">
            <w:pPr>
              <w:rPr>
                <w:rFonts w:ascii="Calibri" w:hAnsi="Calibri" w:cs="Calibri"/>
                <w:color w:val="000000"/>
                <w:sz w:val="18"/>
                <w:szCs w:val="18"/>
              </w:rPr>
            </w:pPr>
            <w:r>
              <w:rPr>
                <w:rFonts w:ascii="Calibri" w:hAnsi="Calibri" w:cs="Calibri"/>
                <w:color w:val="000000"/>
                <w:sz w:val="18"/>
                <w:szCs w:val="18"/>
              </w:rPr>
              <w:t>UNDP</w:t>
            </w:r>
          </w:p>
        </w:tc>
        <w:tc>
          <w:tcPr>
            <w:tcW w:w="4505" w:type="dxa"/>
            <w:vAlign w:val="center"/>
          </w:tcPr>
          <w:p w14:paraId="70082ACB" w14:textId="393556F7" w:rsidR="005505BF" w:rsidRDefault="005505BF" w:rsidP="005505BF">
            <w:pPr>
              <w:rPr>
                <w:rFonts w:ascii="Calibri" w:hAnsi="Calibri" w:cs="Calibri"/>
                <w:color w:val="000000"/>
                <w:sz w:val="18"/>
                <w:szCs w:val="18"/>
              </w:rPr>
            </w:pPr>
            <w:r>
              <w:rPr>
                <w:rFonts w:ascii="Calibri" w:hAnsi="Calibri" w:cs="Calibri"/>
                <w:color w:val="000000"/>
                <w:sz w:val="18"/>
                <w:szCs w:val="18"/>
              </w:rPr>
              <w:t>United Nations Development Program</w:t>
            </w:r>
          </w:p>
        </w:tc>
      </w:tr>
      <w:tr w:rsidR="005505BF" w:rsidRPr="00610088" w14:paraId="5242FA01" w14:textId="77777777" w:rsidTr="00AD0FA5">
        <w:tc>
          <w:tcPr>
            <w:tcW w:w="4505" w:type="dxa"/>
            <w:vAlign w:val="center"/>
          </w:tcPr>
          <w:p w14:paraId="3DB31707" w14:textId="4E56180C" w:rsidR="005505BF" w:rsidRDefault="005505BF" w:rsidP="005505BF">
            <w:pPr>
              <w:rPr>
                <w:rFonts w:ascii="Calibri" w:hAnsi="Calibri" w:cs="Calibri"/>
                <w:color w:val="000000"/>
                <w:sz w:val="18"/>
                <w:szCs w:val="18"/>
              </w:rPr>
            </w:pPr>
            <w:r>
              <w:rPr>
                <w:rFonts w:ascii="Calibri" w:hAnsi="Calibri" w:cs="Calibri"/>
                <w:color w:val="000000"/>
                <w:sz w:val="18"/>
                <w:szCs w:val="18"/>
              </w:rPr>
              <w:t>UNICEF</w:t>
            </w:r>
          </w:p>
        </w:tc>
        <w:tc>
          <w:tcPr>
            <w:tcW w:w="4505" w:type="dxa"/>
            <w:vAlign w:val="center"/>
          </w:tcPr>
          <w:p w14:paraId="1A8743DB" w14:textId="57E567CA" w:rsidR="005505BF" w:rsidRDefault="005505BF" w:rsidP="005505BF">
            <w:pPr>
              <w:rPr>
                <w:rFonts w:ascii="Calibri" w:hAnsi="Calibri" w:cs="Calibri"/>
                <w:color w:val="000000"/>
                <w:sz w:val="18"/>
                <w:szCs w:val="18"/>
              </w:rPr>
            </w:pPr>
            <w:r>
              <w:rPr>
                <w:rFonts w:ascii="Calibri" w:hAnsi="Calibri" w:cs="Calibri"/>
                <w:color w:val="000000"/>
                <w:sz w:val="18"/>
                <w:szCs w:val="18"/>
              </w:rPr>
              <w:t>United Nations Children's Fund</w:t>
            </w:r>
          </w:p>
        </w:tc>
      </w:tr>
      <w:tr w:rsidR="005505BF" w:rsidRPr="00610088" w14:paraId="1C0AE0F6" w14:textId="77777777" w:rsidTr="00AD0FA5">
        <w:tc>
          <w:tcPr>
            <w:tcW w:w="4505" w:type="dxa"/>
            <w:vAlign w:val="center"/>
          </w:tcPr>
          <w:p w14:paraId="6E7DE335" w14:textId="16CB8BA6" w:rsidR="005505BF" w:rsidRDefault="005505BF" w:rsidP="005505BF">
            <w:pPr>
              <w:rPr>
                <w:rFonts w:ascii="Calibri" w:hAnsi="Calibri" w:cs="Calibri"/>
                <w:color w:val="000000"/>
                <w:sz w:val="18"/>
                <w:szCs w:val="18"/>
              </w:rPr>
            </w:pPr>
            <w:r>
              <w:rPr>
                <w:rFonts w:ascii="Calibri" w:hAnsi="Calibri" w:cs="Calibri"/>
                <w:color w:val="000000"/>
                <w:sz w:val="18"/>
                <w:szCs w:val="18"/>
              </w:rPr>
              <w:t>USD</w:t>
            </w:r>
          </w:p>
        </w:tc>
        <w:tc>
          <w:tcPr>
            <w:tcW w:w="4505" w:type="dxa"/>
            <w:vAlign w:val="center"/>
          </w:tcPr>
          <w:p w14:paraId="6E826934" w14:textId="19B91BED" w:rsidR="005505BF" w:rsidRDefault="005505BF" w:rsidP="005505BF">
            <w:pPr>
              <w:rPr>
                <w:rFonts w:ascii="Calibri" w:hAnsi="Calibri" w:cs="Calibri"/>
                <w:color w:val="000000"/>
                <w:sz w:val="18"/>
                <w:szCs w:val="18"/>
              </w:rPr>
            </w:pPr>
            <w:r>
              <w:rPr>
                <w:rFonts w:ascii="Calibri" w:hAnsi="Calibri" w:cs="Calibri"/>
                <w:color w:val="000000"/>
                <w:sz w:val="18"/>
                <w:szCs w:val="18"/>
              </w:rPr>
              <w:t>United States Dollar</w:t>
            </w:r>
          </w:p>
        </w:tc>
      </w:tr>
      <w:tr w:rsidR="005505BF" w:rsidRPr="00610088" w14:paraId="45CDCD00" w14:textId="77777777" w:rsidTr="00AD0FA5">
        <w:tc>
          <w:tcPr>
            <w:tcW w:w="4505" w:type="dxa"/>
            <w:vAlign w:val="center"/>
          </w:tcPr>
          <w:p w14:paraId="6864F496" w14:textId="6D71048C" w:rsidR="005505BF" w:rsidRDefault="005505BF" w:rsidP="005505BF">
            <w:pPr>
              <w:rPr>
                <w:rFonts w:ascii="Calibri" w:hAnsi="Calibri" w:cs="Calibri"/>
                <w:color w:val="000000"/>
                <w:sz w:val="18"/>
                <w:szCs w:val="18"/>
              </w:rPr>
            </w:pPr>
            <w:r>
              <w:rPr>
                <w:rFonts w:ascii="Calibri" w:hAnsi="Calibri" w:cs="Calibri"/>
                <w:color w:val="000000"/>
                <w:sz w:val="18"/>
                <w:szCs w:val="18"/>
              </w:rPr>
              <w:t>VDC</w:t>
            </w:r>
          </w:p>
        </w:tc>
        <w:tc>
          <w:tcPr>
            <w:tcW w:w="4505" w:type="dxa"/>
            <w:vAlign w:val="center"/>
          </w:tcPr>
          <w:p w14:paraId="040819AE" w14:textId="23C86A91" w:rsidR="005505BF" w:rsidRDefault="005505BF" w:rsidP="005505BF">
            <w:pPr>
              <w:rPr>
                <w:rFonts w:ascii="Calibri" w:hAnsi="Calibri" w:cs="Calibri"/>
                <w:color w:val="000000"/>
                <w:sz w:val="18"/>
                <w:szCs w:val="18"/>
              </w:rPr>
            </w:pPr>
            <w:r>
              <w:rPr>
                <w:rFonts w:ascii="Calibri" w:hAnsi="Calibri" w:cs="Calibri"/>
                <w:color w:val="000000"/>
                <w:sz w:val="18"/>
                <w:szCs w:val="18"/>
              </w:rPr>
              <w:t>Village Development Committee</w:t>
            </w:r>
          </w:p>
        </w:tc>
      </w:tr>
      <w:tr w:rsidR="005505BF" w:rsidRPr="00610088" w14:paraId="52769E4C" w14:textId="77777777" w:rsidTr="00AD0FA5">
        <w:tc>
          <w:tcPr>
            <w:tcW w:w="4505" w:type="dxa"/>
            <w:vAlign w:val="center"/>
          </w:tcPr>
          <w:p w14:paraId="033E59F6" w14:textId="5AAD1251" w:rsidR="005505BF" w:rsidRDefault="005505BF" w:rsidP="005505BF">
            <w:pPr>
              <w:rPr>
                <w:rFonts w:ascii="Calibri" w:hAnsi="Calibri" w:cs="Calibri"/>
                <w:color w:val="000000"/>
                <w:sz w:val="18"/>
                <w:szCs w:val="18"/>
              </w:rPr>
            </w:pPr>
            <w:r>
              <w:rPr>
                <w:rFonts w:ascii="Calibri" w:hAnsi="Calibri" w:cs="Calibri"/>
                <w:color w:val="000000"/>
                <w:sz w:val="18"/>
                <w:szCs w:val="18"/>
              </w:rPr>
              <w:t>VIJI</w:t>
            </w:r>
          </w:p>
        </w:tc>
        <w:tc>
          <w:tcPr>
            <w:tcW w:w="4505" w:type="dxa"/>
            <w:vAlign w:val="center"/>
          </w:tcPr>
          <w:p w14:paraId="0A0DE77F" w14:textId="3CA49EDE" w:rsidR="005505BF" w:rsidRDefault="005505BF" w:rsidP="005505BF">
            <w:pPr>
              <w:rPr>
                <w:rFonts w:ascii="Calibri" w:hAnsi="Calibri" w:cs="Calibri"/>
                <w:color w:val="000000"/>
                <w:sz w:val="18"/>
                <w:szCs w:val="18"/>
              </w:rPr>
            </w:pPr>
            <w:r>
              <w:rPr>
                <w:rFonts w:ascii="Calibri" w:hAnsi="Calibri" w:cs="Calibri"/>
                <w:color w:val="000000"/>
                <w:sz w:val="18"/>
                <w:szCs w:val="18"/>
              </w:rPr>
              <w:t xml:space="preserve">Verna </w:t>
            </w:r>
            <w:proofErr w:type="spellStart"/>
            <w:r>
              <w:rPr>
                <w:rFonts w:ascii="Calibri" w:hAnsi="Calibri" w:cs="Calibri"/>
                <w:color w:val="000000"/>
                <w:sz w:val="18"/>
                <w:szCs w:val="18"/>
              </w:rPr>
              <w:t>Iscandari</w:t>
            </w:r>
            <w:proofErr w:type="spellEnd"/>
            <w:r>
              <w:rPr>
                <w:rFonts w:ascii="Calibri" w:hAnsi="Calibri" w:cs="Calibri"/>
                <w:color w:val="000000"/>
                <w:sz w:val="18"/>
                <w:szCs w:val="18"/>
              </w:rPr>
              <w:t>-Johnson Initiative</w:t>
            </w:r>
          </w:p>
        </w:tc>
      </w:tr>
      <w:tr w:rsidR="005505BF" w:rsidRPr="00610088" w14:paraId="16A07968" w14:textId="77777777" w:rsidTr="00AD0FA5">
        <w:tc>
          <w:tcPr>
            <w:tcW w:w="4505" w:type="dxa"/>
            <w:vAlign w:val="center"/>
          </w:tcPr>
          <w:p w14:paraId="2BA3AC0F" w14:textId="126F84A4" w:rsidR="005505BF" w:rsidRDefault="005505BF" w:rsidP="005505BF">
            <w:pPr>
              <w:rPr>
                <w:rFonts w:ascii="Calibri" w:hAnsi="Calibri" w:cs="Calibri"/>
                <w:color w:val="000000"/>
                <w:sz w:val="18"/>
                <w:szCs w:val="18"/>
              </w:rPr>
            </w:pPr>
            <w:r>
              <w:rPr>
                <w:rFonts w:ascii="Calibri" w:hAnsi="Calibri" w:cs="Calibri"/>
                <w:color w:val="000000"/>
                <w:sz w:val="18"/>
                <w:szCs w:val="18"/>
              </w:rPr>
              <w:t>VOC</w:t>
            </w:r>
          </w:p>
        </w:tc>
        <w:tc>
          <w:tcPr>
            <w:tcW w:w="4505" w:type="dxa"/>
            <w:vAlign w:val="center"/>
          </w:tcPr>
          <w:p w14:paraId="410C7991" w14:textId="5B4040D2" w:rsidR="005505BF" w:rsidRDefault="005505BF" w:rsidP="005505BF">
            <w:pPr>
              <w:rPr>
                <w:rFonts w:ascii="Calibri" w:hAnsi="Calibri" w:cs="Calibri"/>
                <w:color w:val="000000"/>
                <w:sz w:val="18"/>
                <w:szCs w:val="18"/>
              </w:rPr>
            </w:pPr>
            <w:r>
              <w:rPr>
                <w:rFonts w:ascii="Calibri" w:hAnsi="Calibri" w:cs="Calibri"/>
                <w:color w:val="000000"/>
                <w:sz w:val="18"/>
                <w:szCs w:val="18"/>
              </w:rPr>
              <w:t>Volatile Organic Compound</w:t>
            </w:r>
          </w:p>
        </w:tc>
      </w:tr>
      <w:tr w:rsidR="005505BF" w:rsidRPr="00610088" w14:paraId="7573AF95" w14:textId="77777777" w:rsidTr="00AD0FA5">
        <w:tc>
          <w:tcPr>
            <w:tcW w:w="4505" w:type="dxa"/>
            <w:vAlign w:val="center"/>
          </w:tcPr>
          <w:p w14:paraId="255E5A6F" w14:textId="4B03AFCD" w:rsidR="005505BF" w:rsidRDefault="005505BF" w:rsidP="005505BF">
            <w:pPr>
              <w:rPr>
                <w:rFonts w:ascii="Calibri" w:hAnsi="Calibri" w:cs="Calibri"/>
                <w:color w:val="000000"/>
                <w:sz w:val="18"/>
                <w:szCs w:val="18"/>
              </w:rPr>
            </w:pPr>
            <w:r>
              <w:rPr>
                <w:rFonts w:ascii="Calibri" w:hAnsi="Calibri" w:cs="Calibri"/>
                <w:color w:val="000000"/>
                <w:sz w:val="18"/>
                <w:szCs w:val="18"/>
              </w:rPr>
              <w:t>VSO</w:t>
            </w:r>
          </w:p>
        </w:tc>
        <w:tc>
          <w:tcPr>
            <w:tcW w:w="4505" w:type="dxa"/>
            <w:vAlign w:val="center"/>
          </w:tcPr>
          <w:p w14:paraId="2FC00B06" w14:textId="677C1A72" w:rsidR="005505BF" w:rsidRDefault="005505BF" w:rsidP="005505BF">
            <w:pPr>
              <w:rPr>
                <w:rFonts w:ascii="Calibri" w:hAnsi="Calibri" w:cs="Calibri"/>
                <w:color w:val="000000"/>
                <w:sz w:val="18"/>
                <w:szCs w:val="18"/>
              </w:rPr>
            </w:pPr>
            <w:r>
              <w:rPr>
                <w:rFonts w:ascii="Calibri" w:hAnsi="Calibri" w:cs="Calibri"/>
                <w:color w:val="000000"/>
                <w:sz w:val="18"/>
                <w:szCs w:val="18"/>
              </w:rPr>
              <w:t>Voluntary Services Overseas</w:t>
            </w:r>
          </w:p>
        </w:tc>
      </w:tr>
      <w:tr w:rsidR="005505BF" w:rsidRPr="00610088" w14:paraId="14625501" w14:textId="77777777" w:rsidTr="00AD0FA5">
        <w:tc>
          <w:tcPr>
            <w:tcW w:w="4505" w:type="dxa"/>
            <w:vAlign w:val="center"/>
          </w:tcPr>
          <w:p w14:paraId="7223CF20" w14:textId="1F0F727D" w:rsidR="005505BF" w:rsidRDefault="005505BF" w:rsidP="005505BF">
            <w:pPr>
              <w:rPr>
                <w:rFonts w:ascii="Calibri" w:hAnsi="Calibri" w:cs="Calibri"/>
                <w:color w:val="000000"/>
                <w:sz w:val="18"/>
                <w:szCs w:val="18"/>
              </w:rPr>
            </w:pPr>
            <w:r>
              <w:rPr>
                <w:rFonts w:ascii="Calibri" w:hAnsi="Calibri" w:cs="Calibri"/>
                <w:color w:val="000000"/>
                <w:sz w:val="18"/>
                <w:szCs w:val="18"/>
              </w:rPr>
              <w:t>WHO</w:t>
            </w:r>
          </w:p>
        </w:tc>
        <w:tc>
          <w:tcPr>
            <w:tcW w:w="4505" w:type="dxa"/>
            <w:vAlign w:val="center"/>
          </w:tcPr>
          <w:p w14:paraId="62CE0352" w14:textId="2EA7EE8B" w:rsidR="005505BF" w:rsidRDefault="005505BF" w:rsidP="005505BF">
            <w:pPr>
              <w:rPr>
                <w:rFonts w:ascii="Calibri" w:hAnsi="Calibri" w:cs="Calibri"/>
                <w:color w:val="000000"/>
                <w:sz w:val="18"/>
                <w:szCs w:val="18"/>
              </w:rPr>
            </w:pPr>
            <w:r>
              <w:rPr>
                <w:rFonts w:ascii="Calibri" w:hAnsi="Calibri" w:cs="Calibri"/>
                <w:color w:val="000000"/>
                <w:sz w:val="18"/>
                <w:szCs w:val="18"/>
              </w:rPr>
              <w:t>World Health Organization</w:t>
            </w:r>
          </w:p>
        </w:tc>
      </w:tr>
      <w:tr w:rsidR="005505BF" w:rsidRPr="00610088" w14:paraId="6187701E" w14:textId="77777777" w:rsidTr="00AD0FA5">
        <w:tc>
          <w:tcPr>
            <w:tcW w:w="4505" w:type="dxa"/>
            <w:vAlign w:val="center"/>
          </w:tcPr>
          <w:p w14:paraId="1B63D6A4" w14:textId="7B7708C2" w:rsidR="005505BF" w:rsidRDefault="005505BF" w:rsidP="005505BF">
            <w:pPr>
              <w:rPr>
                <w:rFonts w:ascii="Calibri" w:hAnsi="Calibri" w:cs="Calibri"/>
                <w:color w:val="000000"/>
                <w:sz w:val="18"/>
                <w:szCs w:val="18"/>
              </w:rPr>
            </w:pPr>
            <w:r>
              <w:rPr>
                <w:rFonts w:ascii="Calibri" w:hAnsi="Calibri" w:cs="Calibri"/>
                <w:color w:val="000000"/>
                <w:sz w:val="18"/>
                <w:szCs w:val="18"/>
              </w:rPr>
              <w:t>YLD</w:t>
            </w:r>
          </w:p>
        </w:tc>
        <w:tc>
          <w:tcPr>
            <w:tcW w:w="4505" w:type="dxa"/>
            <w:vAlign w:val="center"/>
          </w:tcPr>
          <w:p w14:paraId="602E0BCC" w14:textId="2097F882" w:rsidR="005505BF" w:rsidRDefault="005505BF" w:rsidP="005505BF">
            <w:pPr>
              <w:rPr>
                <w:rFonts w:ascii="Calibri" w:hAnsi="Calibri" w:cs="Calibri"/>
                <w:color w:val="000000"/>
                <w:sz w:val="18"/>
                <w:szCs w:val="18"/>
              </w:rPr>
            </w:pPr>
            <w:r>
              <w:rPr>
                <w:rFonts w:ascii="Calibri" w:hAnsi="Calibri" w:cs="Calibri"/>
                <w:color w:val="000000"/>
                <w:sz w:val="18"/>
                <w:szCs w:val="18"/>
              </w:rPr>
              <w:t>Year Lived with Disability</w:t>
            </w:r>
          </w:p>
        </w:tc>
      </w:tr>
    </w:tbl>
    <w:p w14:paraId="6065B69F" w14:textId="77777777" w:rsidR="0057323A" w:rsidRPr="00610088" w:rsidRDefault="0057323A">
      <w:pPr>
        <w:rPr>
          <w:rFonts w:asciiTheme="majorHAnsi" w:eastAsiaTheme="majorEastAsia" w:hAnsiTheme="majorHAnsi" w:cstheme="majorBidi"/>
          <w:color w:val="2F5496" w:themeColor="accent1" w:themeShade="BF"/>
          <w:sz w:val="28"/>
          <w:szCs w:val="32"/>
          <w:lang w:val="en-GB"/>
        </w:rPr>
      </w:pPr>
      <w:r w:rsidRPr="00610088">
        <w:rPr>
          <w:lang w:val="en-GB"/>
        </w:rPr>
        <w:br w:type="page"/>
      </w:r>
    </w:p>
    <w:p w14:paraId="2716CAC7" w14:textId="400379D5" w:rsidR="003E41B9" w:rsidRPr="00610088" w:rsidRDefault="00402030" w:rsidP="00402030">
      <w:pPr>
        <w:pStyle w:val="Heading1"/>
        <w:numPr>
          <w:ilvl w:val="0"/>
          <w:numId w:val="0"/>
        </w:numPr>
        <w:ind w:left="360" w:hanging="360"/>
        <w:rPr>
          <w:lang w:val="en-GB"/>
        </w:rPr>
      </w:pPr>
      <w:bookmarkStart w:id="3" w:name="_Toc41370532"/>
      <w:r w:rsidRPr="00610088">
        <w:rPr>
          <w:lang w:val="en-GB"/>
        </w:rPr>
        <w:lastRenderedPageBreak/>
        <w:t>Executive Summary</w:t>
      </w:r>
      <w:bookmarkEnd w:id="3"/>
    </w:p>
    <w:p w14:paraId="196EE3CE" w14:textId="77777777" w:rsidR="009F7E12" w:rsidRPr="00610088" w:rsidRDefault="009F7E12" w:rsidP="009F7E12">
      <w:pPr>
        <w:rPr>
          <w:lang w:val="en-GB"/>
        </w:rPr>
      </w:pPr>
    </w:p>
    <w:p w14:paraId="4E26239C" w14:textId="158F4A38" w:rsidR="009F7E12" w:rsidRPr="005505BF" w:rsidRDefault="009F7E12" w:rsidP="005505BF">
      <w:pPr>
        <w:rPr>
          <w:b/>
          <w:bCs/>
          <w:lang w:val="en-GB"/>
        </w:rPr>
      </w:pPr>
      <w:r w:rsidRPr="005505BF">
        <w:rPr>
          <w:b/>
          <w:bCs/>
          <w:lang w:val="en-GB"/>
        </w:rPr>
        <w:t>Country background</w:t>
      </w:r>
    </w:p>
    <w:p w14:paraId="23E41AFD" w14:textId="7CFE2564" w:rsidR="0019510F" w:rsidRPr="00610088" w:rsidRDefault="0019510F" w:rsidP="005505BF">
      <w:pPr>
        <w:rPr>
          <w:lang w:val="en-GB"/>
        </w:rPr>
      </w:pPr>
      <w:r w:rsidRPr="00610088">
        <w:rPr>
          <w:lang w:val="en-GB"/>
        </w:rPr>
        <w:t>Sierra Leone is a small West-African country with a young population</w:t>
      </w:r>
      <w:r w:rsidR="008F1F5B" w:rsidRPr="00610088">
        <w:rPr>
          <w:lang w:val="en-GB"/>
        </w:rPr>
        <w:t xml:space="preserve"> (</w:t>
      </w:r>
      <w:r w:rsidRPr="00610088">
        <w:rPr>
          <w:lang w:val="en-GB"/>
        </w:rPr>
        <w:t>41.6% below 15 years) and a life expectancy of around 50 years. The country scores low on the Human Development and the Gender Inequality indexes: 184</w:t>
      </w:r>
      <w:r w:rsidRPr="00610088">
        <w:rPr>
          <w:vertAlign w:val="superscript"/>
          <w:lang w:val="en-GB"/>
        </w:rPr>
        <w:t xml:space="preserve"> </w:t>
      </w:r>
      <w:r w:rsidRPr="00610088">
        <w:rPr>
          <w:lang w:val="en-GB"/>
        </w:rPr>
        <w:t xml:space="preserve">and 150 respectively of the 189 countries in 2017. Development and economic growth and development have been hampered by a decade long civil war (1991-2002) and in more recent years by emergencies: the Ebola outbreak (2014-2016) and the Freetown landslides (August 2017). This is compounded further by an ongoing 2% population growth. </w:t>
      </w:r>
      <w:r w:rsidR="008F1F5B" w:rsidRPr="00610088">
        <w:rPr>
          <w:lang w:val="en-GB"/>
        </w:rPr>
        <w:t>Estimated p</w:t>
      </w:r>
      <w:r w:rsidRPr="00610088">
        <w:rPr>
          <w:lang w:val="en-GB"/>
        </w:rPr>
        <w:t xml:space="preserve">overty rates are above 50%.  </w:t>
      </w:r>
    </w:p>
    <w:p w14:paraId="7F5B697D" w14:textId="77777777" w:rsidR="0019510F" w:rsidRPr="00610088" w:rsidRDefault="0019510F" w:rsidP="005505BF">
      <w:pPr>
        <w:rPr>
          <w:lang w:val="en-GB"/>
        </w:rPr>
      </w:pPr>
    </w:p>
    <w:p w14:paraId="70477036" w14:textId="0FA3BEEF" w:rsidR="0019510F" w:rsidRPr="00610088" w:rsidRDefault="0019510F" w:rsidP="005505BF">
      <w:pPr>
        <w:rPr>
          <w:lang w:val="en-GB"/>
        </w:rPr>
      </w:pPr>
      <w:r w:rsidRPr="00610088">
        <w:rPr>
          <w:lang w:val="en-GB"/>
        </w:rPr>
        <w:t xml:space="preserve">Key health indicators show that Sierra Leone remains a country with high mortality and fertility rates and significant morbidity from preventable causes like malaria and malnutrition also due to considerable disease risk factor levels. There are relatively low health service coverage rates combined with a high out of pocket health expenditure. </w:t>
      </w:r>
    </w:p>
    <w:p w14:paraId="17E096E4" w14:textId="369D9D16" w:rsidR="0019510F" w:rsidRPr="00610088" w:rsidRDefault="0019510F" w:rsidP="005505BF">
      <w:pPr>
        <w:rPr>
          <w:lang w:val="en-GB"/>
        </w:rPr>
      </w:pPr>
    </w:p>
    <w:p w14:paraId="44D71C0B" w14:textId="38C39E09" w:rsidR="0019510F" w:rsidRPr="00610088" w:rsidRDefault="0019510F" w:rsidP="005505BF">
      <w:pPr>
        <w:rPr>
          <w:lang w:val="en-GB"/>
        </w:rPr>
      </w:pPr>
      <w:r w:rsidRPr="00610088">
        <w:rPr>
          <w:lang w:val="en-GB"/>
        </w:rPr>
        <w:t xml:space="preserve">Health services in the country are mostly delivered through </w:t>
      </w:r>
      <w:r w:rsidR="008F1F5B" w:rsidRPr="00610088">
        <w:rPr>
          <w:lang w:val="en-GB"/>
        </w:rPr>
        <w:t>a public system with 3 levels (</w:t>
      </w:r>
      <w:r w:rsidR="00AF38D4">
        <w:rPr>
          <w:lang w:val="en-GB"/>
        </w:rPr>
        <w:t>Peripheral Health Units (PHUs)</w:t>
      </w:r>
      <w:r w:rsidR="008F1F5B" w:rsidRPr="00610088">
        <w:rPr>
          <w:lang w:val="en-GB"/>
        </w:rPr>
        <w:t xml:space="preserve">, district and regional and tertiary hospitals). </w:t>
      </w:r>
      <w:r w:rsidRPr="00610088">
        <w:rPr>
          <w:lang w:val="en-GB"/>
        </w:rPr>
        <w:t xml:space="preserve">The country health systems </w:t>
      </w:r>
      <w:r w:rsidR="008F1F5B" w:rsidRPr="00610088">
        <w:rPr>
          <w:lang w:val="en-GB"/>
        </w:rPr>
        <w:t xml:space="preserve">have many challenges especially in the areas of leadership and governance, financing, human resources and drugs, supplies and equipment. </w:t>
      </w:r>
    </w:p>
    <w:p w14:paraId="0851B2A3" w14:textId="351EFF97" w:rsidR="009F7E12" w:rsidRPr="005505BF" w:rsidRDefault="009F7E12" w:rsidP="009F7E12">
      <w:pPr>
        <w:rPr>
          <w:b/>
          <w:bCs/>
          <w:sz w:val="22"/>
          <w:szCs w:val="22"/>
          <w:lang w:val="en-GB"/>
        </w:rPr>
      </w:pPr>
    </w:p>
    <w:p w14:paraId="01401502" w14:textId="092DBB79" w:rsidR="009F7E12" w:rsidRPr="005505BF" w:rsidRDefault="009F7E12" w:rsidP="005505BF">
      <w:pPr>
        <w:rPr>
          <w:b/>
          <w:bCs/>
          <w:lang w:val="en-GB"/>
        </w:rPr>
      </w:pPr>
      <w:r w:rsidRPr="005505BF">
        <w:rPr>
          <w:b/>
          <w:bCs/>
          <w:lang w:val="en-GB"/>
        </w:rPr>
        <w:t>Global NCD situation</w:t>
      </w:r>
    </w:p>
    <w:p w14:paraId="2400148E" w14:textId="05E8F9D9" w:rsidR="008F1F5B" w:rsidRPr="00610088" w:rsidRDefault="008F1F5B" w:rsidP="005505BF">
      <w:pPr>
        <w:rPr>
          <w:lang w:val="en-GB"/>
        </w:rPr>
      </w:pPr>
      <w:r w:rsidRPr="00610088">
        <w:rPr>
          <w:rFonts w:ascii="Calibri" w:hAnsi="Calibri" w:cs="Calibri"/>
          <w:i/>
          <w:iCs/>
          <w:lang w:val="en-GB"/>
        </w:rPr>
        <w:t xml:space="preserve">Non-Communicable Diseases (NCDs) </w:t>
      </w:r>
      <w:r w:rsidRPr="00610088">
        <w:rPr>
          <w:rFonts w:ascii="Calibri" w:hAnsi="Calibri" w:cs="Calibri"/>
          <w:lang w:val="en-GB"/>
        </w:rPr>
        <w:t xml:space="preserve">are not transmissible, not infectious and often chronic conditions with long duration resulting from a combination of genetic, physiological, environmental and behavioural factors. NCDs are closely linked to poverty and contribute to further poverty through, among others, catastrophic health costs and loss of bread winners. Every year there are 41 million NCD deaths, which are 71% of all global deaths. Of these almost 80% are due to cardiovascular diseases, cancers, respiratory diseases and diabetes, of which over 75% in Low- and Middle-Income Countries (LMICs). Premature deaths – taking place between ages 30 to 69 years – contribute to more than one third of NCD deaths, of which over 85% take place in LMICs like Sierra Leone. Over 80% of these premature deaths are from the 4 conditions mentioned above. NCDs leads to poverty at household level, which in turn leads to NCDs. </w:t>
      </w:r>
      <w:r w:rsidR="006E76BB" w:rsidRPr="00610088">
        <w:rPr>
          <w:rFonts w:ascii="Calibri" w:hAnsi="Calibri" w:cs="Calibri"/>
          <w:lang w:val="en-GB"/>
        </w:rPr>
        <w:t xml:space="preserve">There are also </w:t>
      </w:r>
      <w:r w:rsidRPr="00610088">
        <w:rPr>
          <w:lang w:val="en-GB"/>
        </w:rPr>
        <w:t>psychosocial consequences for the affected individuals and their surroundings</w:t>
      </w:r>
      <w:r w:rsidR="006E76BB" w:rsidRPr="00610088">
        <w:rPr>
          <w:lang w:val="en-GB"/>
        </w:rPr>
        <w:t>, including loss</w:t>
      </w:r>
      <w:r w:rsidRPr="00610088">
        <w:rPr>
          <w:lang w:val="en-GB"/>
        </w:rPr>
        <w:t xml:space="preserve"> of position in the family or community, stigma, misconceptions and necessary lifestyle changes.  </w:t>
      </w:r>
    </w:p>
    <w:p w14:paraId="32214761" w14:textId="77777777" w:rsidR="008F1F5B" w:rsidRPr="00610088" w:rsidRDefault="008F1F5B" w:rsidP="005505BF">
      <w:pPr>
        <w:rPr>
          <w:highlight w:val="yellow"/>
          <w:lang w:val="en-GB"/>
        </w:rPr>
      </w:pPr>
    </w:p>
    <w:p w14:paraId="37959CCB" w14:textId="1BFE6604" w:rsidR="008F1F5B" w:rsidRPr="00610088" w:rsidRDefault="006E76BB" w:rsidP="005505BF">
      <w:pPr>
        <w:rPr>
          <w:lang w:val="en-GB"/>
        </w:rPr>
      </w:pPr>
      <w:r w:rsidRPr="00610088">
        <w:rPr>
          <w:i/>
          <w:iCs/>
          <w:noProof/>
          <w:lang w:val="en-GB"/>
        </w:rPr>
        <w:t>Increased global</w:t>
      </w:r>
      <w:r w:rsidR="008F1F5B" w:rsidRPr="00610088">
        <w:rPr>
          <w:i/>
          <w:iCs/>
          <w:lang w:val="en-GB"/>
        </w:rPr>
        <w:t xml:space="preserve"> attention</w:t>
      </w:r>
      <w:r w:rsidR="008F1F5B" w:rsidRPr="00610088">
        <w:rPr>
          <w:b/>
          <w:bCs/>
          <w:lang w:val="en-GB"/>
        </w:rPr>
        <w:t xml:space="preserve"> </w:t>
      </w:r>
      <w:r w:rsidR="008F1F5B" w:rsidRPr="00610088">
        <w:rPr>
          <w:lang w:val="en-GB"/>
        </w:rPr>
        <w:t>for NCD prevention and control</w:t>
      </w:r>
      <w:r w:rsidRPr="00610088">
        <w:rPr>
          <w:lang w:val="en-GB"/>
        </w:rPr>
        <w:t xml:space="preserve"> has led to high-level </w:t>
      </w:r>
      <w:r w:rsidR="00FF2A88">
        <w:rPr>
          <w:lang w:val="en-GB"/>
        </w:rPr>
        <w:t>United Nations (UN)</w:t>
      </w:r>
      <w:r w:rsidRPr="00610088">
        <w:rPr>
          <w:lang w:val="en-GB"/>
        </w:rPr>
        <w:t xml:space="preserve"> and </w:t>
      </w:r>
      <w:r w:rsidR="00E01313">
        <w:rPr>
          <w:lang w:val="en-GB"/>
        </w:rPr>
        <w:t>World Health Organization (</w:t>
      </w:r>
      <w:r w:rsidR="004342BA" w:rsidRPr="00610088">
        <w:rPr>
          <w:lang w:val="en-GB"/>
        </w:rPr>
        <w:t>WHO</w:t>
      </w:r>
      <w:r w:rsidR="00E01313">
        <w:rPr>
          <w:lang w:val="en-GB"/>
        </w:rPr>
        <w:t>)</w:t>
      </w:r>
      <w:r w:rsidR="004342BA" w:rsidRPr="00610088">
        <w:rPr>
          <w:lang w:val="en-GB"/>
        </w:rPr>
        <w:t xml:space="preserve"> meetings and several global and African strategies (D</w:t>
      </w:r>
      <w:r w:rsidR="008F1F5B" w:rsidRPr="00610088">
        <w:rPr>
          <w:lang w:val="en-GB"/>
        </w:rPr>
        <w:t>iet, physical activity and health</w:t>
      </w:r>
      <w:r w:rsidR="004342BA" w:rsidRPr="00610088">
        <w:rPr>
          <w:lang w:val="en-GB"/>
        </w:rPr>
        <w:t xml:space="preserve"> strategy -</w:t>
      </w:r>
      <w:proofErr w:type="gramStart"/>
      <w:r w:rsidR="004342BA" w:rsidRPr="00610088">
        <w:rPr>
          <w:lang w:val="en-GB"/>
        </w:rPr>
        <w:t xml:space="preserve">2004; </w:t>
      </w:r>
      <w:r w:rsidR="008F1F5B" w:rsidRPr="00610088">
        <w:rPr>
          <w:lang w:val="en-GB"/>
        </w:rPr>
        <w:t xml:space="preserve"> harmful</w:t>
      </w:r>
      <w:proofErr w:type="gramEnd"/>
      <w:r w:rsidR="008F1F5B" w:rsidRPr="00610088">
        <w:rPr>
          <w:lang w:val="en-GB"/>
        </w:rPr>
        <w:t xml:space="preserve"> use of alcohol</w:t>
      </w:r>
      <w:r w:rsidR="004342BA" w:rsidRPr="00610088">
        <w:rPr>
          <w:lang w:val="en-GB"/>
        </w:rPr>
        <w:t xml:space="preserve"> strategies</w:t>
      </w:r>
      <w:r w:rsidR="008F1F5B" w:rsidRPr="00610088">
        <w:rPr>
          <w:lang w:val="en-GB"/>
        </w:rPr>
        <w:t xml:space="preserve"> </w:t>
      </w:r>
      <w:r w:rsidR="004342BA" w:rsidRPr="00610088">
        <w:rPr>
          <w:lang w:val="en-GB"/>
        </w:rPr>
        <w:t xml:space="preserve">– </w:t>
      </w:r>
      <w:r w:rsidR="008F1F5B" w:rsidRPr="00610088">
        <w:rPr>
          <w:lang w:val="en-GB"/>
        </w:rPr>
        <w:t>2010</w:t>
      </w:r>
      <w:r w:rsidR="004342BA" w:rsidRPr="00610088">
        <w:rPr>
          <w:lang w:val="en-GB"/>
        </w:rPr>
        <w:t>; G</w:t>
      </w:r>
      <w:r w:rsidR="008F1F5B" w:rsidRPr="00610088">
        <w:rPr>
          <w:lang w:val="en-GB"/>
        </w:rPr>
        <w:t xml:space="preserve">lobal action plan and monitoring framework for prevention and control of NCDs </w:t>
      </w:r>
      <w:r w:rsidR="004342BA" w:rsidRPr="00610088">
        <w:rPr>
          <w:lang w:val="en-GB"/>
        </w:rPr>
        <w:t>-</w:t>
      </w:r>
      <w:r w:rsidR="008F1F5B" w:rsidRPr="00610088">
        <w:rPr>
          <w:lang w:val="en-GB"/>
        </w:rPr>
        <w:t xml:space="preserve"> 2013 – replacing the previous global strategy</w:t>
      </w:r>
      <w:r w:rsidR="004342BA" w:rsidRPr="00610088">
        <w:rPr>
          <w:lang w:val="en-GB"/>
        </w:rPr>
        <w:t xml:space="preserve">) using a multisector approach. </w:t>
      </w:r>
      <w:r w:rsidR="008F1F5B" w:rsidRPr="00610088">
        <w:rPr>
          <w:lang w:val="en-GB"/>
        </w:rPr>
        <w:t>The global action plan aims for better NCD management in all aspects, including detection, screening, treatment and palliative care. The plan emphasizes the need to strengthen early detection and timely treatment, building on the realization that high impact essential NCD interventions through a primary health care approach can reduce the need for more expensive treatment. Several global initiatives focus on specific (sub-)risk factors. For example, there are specific initiatives for tobacco (Framework Convention for Tobacco Control – FCTC) and salt reduction. Global stakeholders developed global voluntary targets for NCDs in 2013</w:t>
      </w:r>
      <w:r w:rsidR="004342BA" w:rsidRPr="00610088">
        <w:rPr>
          <w:lang w:val="en-GB"/>
        </w:rPr>
        <w:t>.</w:t>
      </w:r>
    </w:p>
    <w:p w14:paraId="05A687AE" w14:textId="60AFCAA4" w:rsidR="004342BA" w:rsidRPr="00610088" w:rsidRDefault="004342BA" w:rsidP="005505BF">
      <w:pPr>
        <w:rPr>
          <w:lang w:val="en-GB"/>
        </w:rPr>
      </w:pPr>
    </w:p>
    <w:p w14:paraId="78EDCF9E" w14:textId="59C44565" w:rsidR="008F1F5B" w:rsidRPr="00610088" w:rsidRDefault="004342BA" w:rsidP="005505BF">
      <w:pPr>
        <w:rPr>
          <w:lang w:val="en-GB"/>
        </w:rPr>
      </w:pPr>
      <w:r w:rsidRPr="00610088">
        <w:rPr>
          <w:lang w:val="en-GB"/>
        </w:rPr>
        <w:t xml:space="preserve">The </w:t>
      </w:r>
      <w:r w:rsidRPr="00610088">
        <w:rPr>
          <w:i/>
          <w:iCs/>
          <w:lang w:val="en-GB"/>
        </w:rPr>
        <w:t xml:space="preserve">global NCD agenda </w:t>
      </w:r>
      <w:r w:rsidRPr="00610088">
        <w:rPr>
          <w:lang w:val="en-GB"/>
        </w:rPr>
        <w:t xml:space="preserve">(5x5) contains 5 diseases: cardiovascular diseases, chronic respiratory diseases, cancer, diabetes and mental health. It also contains 5 risk factors: unhealthy diet, tobacco use, harmful use of alcohol, physical inactivity and air pollution. </w:t>
      </w:r>
    </w:p>
    <w:p w14:paraId="7B0CC84A" w14:textId="77777777" w:rsidR="006E76BB" w:rsidRPr="00610088" w:rsidRDefault="006E76BB" w:rsidP="005505BF">
      <w:pPr>
        <w:rPr>
          <w:lang w:val="en-GB"/>
        </w:rPr>
      </w:pPr>
    </w:p>
    <w:p w14:paraId="4DC37B6B" w14:textId="5D46A561" w:rsidR="008F1F5B" w:rsidRPr="00610088" w:rsidRDefault="008F1F5B" w:rsidP="005505BF">
      <w:pPr>
        <w:rPr>
          <w:highlight w:val="yellow"/>
          <w:lang w:val="en-GB"/>
        </w:rPr>
      </w:pPr>
      <w:r w:rsidRPr="00610088">
        <w:rPr>
          <w:lang w:val="en-GB"/>
        </w:rPr>
        <w:t>Global stakeholders have developed several</w:t>
      </w:r>
      <w:r w:rsidR="006E76BB" w:rsidRPr="00610088">
        <w:rPr>
          <w:lang w:val="en-GB"/>
        </w:rPr>
        <w:t xml:space="preserve"> </w:t>
      </w:r>
      <w:r w:rsidR="006E76BB" w:rsidRPr="00610088">
        <w:rPr>
          <w:i/>
          <w:iCs/>
          <w:lang w:val="en-GB"/>
        </w:rPr>
        <w:t>NCD</w:t>
      </w:r>
      <w:r w:rsidRPr="00610088">
        <w:rPr>
          <w:i/>
          <w:iCs/>
          <w:lang w:val="en-GB"/>
        </w:rPr>
        <w:t xml:space="preserve"> intervention and recommendation packa</w:t>
      </w:r>
      <w:r w:rsidRPr="00610088">
        <w:rPr>
          <w:b/>
          <w:bCs/>
          <w:lang w:val="en-GB"/>
        </w:rPr>
        <w:t>ges</w:t>
      </w:r>
      <w:r w:rsidRPr="00610088">
        <w:rPr>
          <w:lang w:val="en-GB"/>
        </w:rPr>
        <w:t>, especially a package of</w:t>
      </w:r>
      <w:r w:rsidR="006E76BB" w:rsidRPr="00610088">
        <w:rPr>
          <w:lang w:val="en-GB"/>
        </w:rPr>
        <w:t xml:space="preserve"> 16 </w:t>
      </w:r>
      <w:r w:rsidRPr="00610088">
        <w:rPr>
          <w:lang w:val="en-GB"/>
        </w:rPr>
        <w:t>“best buys”</w:t>
      </w:r>
      <w:r w:rsidR="006E76BB" w:rsidRPr="00610088">
        <w:rPr>
          <w:lang w:val="en-GB"/>
        </w:rPr>
        <w:t xml:space="preserve"> (cost-effective, affordable, feasible and scalable in all settings) </w:t>
      </w:r>
      <w:r w:rsidRPr="00610088">
        <w:rPr>
          <w:lang w:val="en-GB"/>
        </w:rPr>
        <w:t xml:space="preserve">and the WHO Package of Essential Noncommunicable (PEN) disease interventions for primary health </w:t>
      </w:r>
      <w:r w:rsidRPr="005505BF">
        <w:t>care in low-resource settings</w:t>
      </w:r>
      <w:r w:rsidR="006E76BB" w:rsidRPr="005505BF">
        <w:t>. The 16 best buys focus on tobacco use (tax, packaging,</w:t>
      </w:r>
      <w:r w:rsidR="006E76BB" w:rsidRPr="00610088">
        <w:rPr>
          <w:lang w:val="en-GB"/>
        </w:rPr>
        <w:t xml:space="preserve"> </w:t>
      </w:r>
      <w:r w:rsidR="006E76BB" w:rsidRPr="00610088">
        <w:rPr>
          <w:lang w:val="en-GB"/>
        </w:rPr>
        <w:lastRenderedPageBreak/>
        <w:t xml:space="preserve">advertising/promotion/sponsorship, smoke-free public places, education), harmful use of alcohol (tax, advertising, availability), unhealthy diets (reformulate food, supportive environments, education), physical inactivity (education), Cardiovascular diseases and diabetes mellitus (drug therapy and counselling) and cancer (vaccination and screening). </w:t>
      </w:r>
    </w:p>
    <w:p w14:paraId="5F628A84" w14:textId="23393906" w:rsidR="008F1F5B" w:rsidRPr="00610088" w:rsidRDefault="006E76BB" w:rsidP="005505BF">
      <w:pPr>
        <w:rPr>
          <w:sz w:val="22"/>
          <w:szCs w:val="22"/>
          <w:highlight w:val="yellow"/>
          <w:lang w:val="en-GB"/>
        </w:rPr>
      </w:pPr>
      <w:r w:rsidRPr="00610088">
        <w:rPr>
          <w:sz w:val="22"/>
          <w:szCs w:val="22"/>
          <w:lang w:val="en-GB"/>
        </w:rPr>
        <w:t xml:space="preserve">PEN is a set of cost-effective intervention that can be delivered to an acceptable quality of care even in resource-poor settings. PEN includes clinical protocols for addressing cardiovascular risk, diabetes, prevention of renal disease, management of bronchial asthma and </w:t>
      </w:r>
      <w:r w:rsidR="00FF2A88">
        <w:rPr>
          <w:sz w:val="22"/>
          <w:szCs w:val="22"/>
          <w:lang w:val="en-GB"/>
        </w:rPr>
        <w:t>Chronic Obstructive Pulmonary Disease (</w:t>
      </w:r>
      <w:r w:rsidRPr="00610088">
        <w:rPr>
          <w:sz w:val="22"/>
          <w:szCs w:val="22"/>
          <w:lang w:val="en-GB"/>
        </w:rPr>
        <w:t>COPD</w:t>
      </w:r>
      <w:r w:rsidR="00FF2A88">
        <w:rPr>
          <w:sz w:val="22"/>
          <w:szCs w:val="22"/>
          <w:lang w:val="en-GB"/>
        </w:rPr>
        <w:t>)</w:t>
      </w:r>
      <w:r w:rsidRPr="00610088">
        <w:rPr>
          <w:sz w:val="22"/>
          <w:szCs w:val="22"/>
          <w:lang w:val="en-GB"/>
        </w:rPr>
        <w:t xml:space="preserve"> in low resource settings through a PHC approach, a protocol for early referral of individuals suspected of cancer in low resource settings, tools for rapid assessment of capacity in primary care and for costing of primary care programs and </w:t>
      </w:r>
      <w:proofErr w:type="gramStart"/>
      <w:r w:rsidRPr="00610088">
        <w:rPr>
          <w:sz w:val="22"/>
          <w:szCs w:val="22"/>
          <w:lang w:val="en-GB"/>
        </w:rPr>
        <w:t>evidence based</w:t>
      </w:r>
      <w:proofErr w:type="gramEnd"/>
      <w:r w:rsidRPr="00610088">
        <w:rPr>
          <w:sz w:val="22"/>
          <w:szCs w:val="22"/>
          <w:lang w:val="en-GB"/>
        </w:rPr>
        <w:t xml:space="preserve"> guidance on self-care of NCDs. </w:t>
      </w:r>
    </w:p>
    <w:p w14:paraId="07F8F37F" w14:textId="77777777" w:rsidR="006E76BB" w:rsidRPr="00610088" w:rsidRDefault="006E76BB" w:rsidP="009F7E12">
      <w:pPr>
        <w:rPr>
          <w:b/>
          <w:bCs/>
          <w:sz w:val="22"/>
          <w:szCs w:val="22"/>
          <w:lang w:val="en-GB"/>
        </w:rPr>
      </w:pPr>
    </w:p>
    <w:p w14:paraId="043C3B24" w14:textId="7963B40A" w:rsidR="009F7E12" w:rsidRPr="005505BF" w:rsidRDefault="009F7E12" w:rsidP="005505BF">
      <w:pPr>
        <w:rPr>
          <w:b/>
          <w:bCs/>
          <w:lang w:val="en-GB"/>
        </w:rPr>
      </w:pPr>
      <w:r w:rsidRPr="005505BF">
        <w:rPr>
          <w:b/>
          <w:bCs/>
          <w:lang w:val="en-GB"/>
        </w:rPr>
        <w:t>Sierra Leone NCD situation</w:t>
      </w:r>
    </w:p>
    <w:p w14:paraId="259F95BD" w14:textId="2234AE81" w:rsidR="004342BA" w:rsidRPr="00610088" w:rsidRDefault="004342BA" w:rsidP="005505BF">
      <w:pPr>
        <w:rPr>
          <w:lang w:val="en-GB"/>
        </w:rPr>
      </w:pPr>
      <w:r w:rsidRPr="00610088">
        <w:rPr>
          <w:lang w:val="en-GB"/>
        </w:rPr>
        <w:t xml:space="preserve">Non-Communicable Diseases (NCDs) including injuries contribute to 41% of mortality in Sierra Leone in 2016. There are an estimated 29,700 deaths every year in Sierra Leone because of NCDs. The 2016 premature death risk in Sierra Leone was 30%. Sierra Leone is not on track to reach the </w:t>
      </w:r>
      <w:r w:rsidR="002F142B" w:rsidRPr="00610088">
        <w:rPr>
          <w:lang w:val="en-GB"/>
        </w:rPr>
        <w:t xml:space="preserve">WHO </w:t>
      </w:r>
      <w:r w:rsidRPr="00610088">
        <w:rPr>
          <w:lang w:val="en-GB"/>
        </w:rPr>
        <w:t>2025 global target (25% reduction of premature death from the 4 main NCDs) for females.  It is estimated 9700 lives can be saved in Sierra Leone by 2025 by implementing all W</w:t>
      </w:r>
      <w:r w:rsidR="00FF2A88">
        <w:rPr>
          <w:lang w:val="en-GB"/>
        </w:rPr>
        <w:t>HO</w:t>
      </w:r>
      <w:r w:rsidRPr="00610088">
        <w:rPr>
          <w:lang w:val="en-GB"/>
        </w:rPr>
        <w:t xml:space="preserve"> “best buys”, which are cost-effective evidence-based NCD interventions.  </w:t>
      </w:r>
    </w:p>
    <w:p w14:paraId="764039A4" w14:textId="77777777" w:rsidR="004342BA" w:rsidRPr="00610088" w:rsidRDefault="004342BA" w:rsidP="005505BF">
      <w:pPr>
        <w:rPr>
          <w:lang w:val="en-GB"/>
        </w:rPr>
      </w:pPr>
    </w:p>
    <w:p w14:paraId="5325496C" w14:textId="0EB183A6" w:rsidR="004342BA" w:rsidRPr="00610088" w:rsidRDefault="004342BA" w:rsidP="005505BF">
      <w:pPr>
        <w:rPr>
          <w:lang w:val="en-GB"/>
        </w:rPr>
      </w:pPr>
      <w:r w:rsidRPr="00610088">
        <w:rPr>
          <w:lang w:val="en-GB"/>
        </w:rPr>
        <w:t>The cardiovascular diseases ischemic heart disease and stroke rank 4th and 6th among the causes of death for 2017 in Sierra Leone.  The most frequent cancers in Sierra Leone are breast, liver, prostate, cervix and colorectum cancers.   Prevalence of diabetes is estimated at 3.3% for 2017.   A 2002 Ministry of Health and Sanitation (</w:t>
      </w:r>
      <w:proofErr w:type="spellStart"/>
      <w:r w:rsidR="00156C15">
        <w:rPr>
          <w:lang w:val="en-GB"/>
        </w:rPr>
        <w:t>MoHS</w:t>
      </w:r>
      <w:proofErr w:type="spellEnd"/>
      <w:r w:rsidRPr="00610088">
        <w:rPr>
          <w:lang w:val="en-GB"/>
        </w:rPr>
        <w:t xml:space="preserve">) mental conditions needs assessment reported prevalence rates of 2 percent for psychosis, 4 percent for severe depression, 4 percent for severe substance abuse, 1 percent for mental disability and 1 percent for epilepsy.  Injuries and violence are common with 12.4% of the population having at least one traumatic injury in the preceding year, and 33.9% (women) / 26.0% (men) experiencing any form (emotional, physical, sexual) intimate partner violence in the previous 12 months.   Other NCD conditions of relevance for Sierra Leone are hemoglobinopathies and haemolytic anaemias (including sickle cell trait/disease and </w:t>
      </w:r>
      <w:r w:rsidR="0031704D" w:rsidRPr="0031704D">
        <w:rPr>
          <w:lang w:val="en-GB"/>
        </w:rPr>
        <w:t>Glucose-6-phosphate dehydrogenase</w:t>
      </w:r>
      <w:r w:rsidR="0031704D">
        <w:rPr>
          <w:lang w:val="en-GB"/>
        </w:rPr>
        <w:t xml:space="preserve"> (</w:t>
      </w:r>
      <w:r w:rsidRPr="00610088">
        <w:rPr>
          <w:lang w:val="en-GB"/>
        </w:rPr>
        <w:t>G6PD</w:t>
      </w:r>
      <w:r w:rsidR="0031704D">
        <w:rPr>
          <w:lang w:val="en-GB"/>
        </w:rPr>
        <w:t>)</w:t>
      </w:r>
      <w:r w:rsidRPr="00610088">
        <w:rPr>
          <w:lang w:val="en-GB"/>
        </w:rPr>
        <w:t xml:space="preserve"> deficiency), neurological disorders (mostly headache disorders), digestive diseases (mostly liver cirrhosis), skin and subcutaneous diseases, sense organ diseases and musculoskeletal disorders (mostly low back and neck pain). Six NCD conditions (headache disorders, low back pain, depressive disorders, diabetes, blindness and vision impairment and age-related hearing loss) are in the top 10 of disability causes for Sierra Leone. Disability prevalence in national surveys ranges from 1.3 to 9.2%. The most common types of disability in 2015 were physical disability caused by polio (21.8%) and partial sightedness (15.2%).  The main impairments are anaemia (53%), vision loss (14%) and hearing loss (12%).</w:t>
      </w:r>
    </w:p>
    <w:p w14:paraId="587E993D" w14:textId="77777777" w:rsidR="004342BA" w:rsidRPr="00610088" w:rsidRDefault="004342BA" w:rsidP="004342BA">
      <w:pPr>
        <w:rPr>
          <w:sz w:val="22"/>
          <w:szCs w:val="22"/>
          <w:lang w:val="en-GB"/>
        </w:rPr>
      </w:pPr>
    </w:p>
    <w:p w14:paraId="0BC98D4F" w14:textId="01FDBC12" w:rsidR="004342BA" w:rsidRPr="00610088" w:rsidRDefault="004342BA" w:rsidP="005505BF">
      <w:pPr>
        <w:rPr>
          <w:lang w:val="en-GB"/>
        </w:rPr>
      </w:pPr>
      <w:r w:rsidRPr="00610088">
        <w:rPr>
          <w:lang w:val="en-GB"/>
        </w:rPr>
        <w:t>Key NCD Risk factors consist of both modifiable behaviours (tobacco use, physical inactivity, harmful use of alcohol, unhealthy diets and air pollution) and metabolic risk factors (raised or elevated blood pressure (hypertension), overweight/obesity, hyperglycaemia and hyperlipidaemia. The top-10 of risk factors for death and disability combined in Sierra Leone in 2017 contain 7 NCD risk factors (air pollution, high blood pressure, dietary risks, alcohol use, tobacco, high fasting plasma blood glucose and high body mass index).</w:t>
      </w:r>
    </w:p>
    <w:p w14:paraId="4E3EC280" w14:textId="70A825D5" w:rsidR="004342BA" w:rsidRPr="00610088" w:rsidRDefault="004342BA" w:rsidP="005505BF">
      <w:pPr>
        <w:rPr>
          <w:lang w:val="en-GB"/>
        </w:rPr>
      </w:pPr>
      <w:r w:rsidRPr="00610088">
        <w:rPr>
          <w:lang w:val="en-GB"/>
        </w:rPr>
        <w:t>Sierra Leone has high levels of NCD risk factors. The 2009 STEPS</w:t>
      </w:r>
      <w:r w:rsidR="00E01313">
        <w:rPr>
          <w:lang w:val="en-GB"/>
        </w:rPr>
        <w:t xml:space="preserve"> (</w:t>
      </w:r>
      <w:proofErr w:type="spellStart"/>
      <w:r w:rsidR="00E01313">
        <w:rPr>
          <w:lang w:val="en-GB"/>
        </w:rPr>
        <w:t>STEPwise</w:t>
      </w:r>
      <w:proofErr w:type="spellEnd"/>
      <w:r w:rsidR="00E01313">
        <w:rPr>
          <w:lang w:val="en-GB"/>
        </w:rPr>
        <w:t xml:space="preserve"> approach to Surveillance)</w:t>
      </w:r>
      <w:r w:rsidRPr="00610088">
        <w:rPr>
          <w:lang w:val="en-GB"/>
        </w:rPr>
        <w:t xml:space="preserve"> survey found that 70-75% of the population had 1-2 NCD risk factors, while 27.0% had 3 or more NCD risk factors.   77% of over 40 years </w:t>
      </w:r>
      <w:proofErr w:type="gramStart"/>
      <w:r w:rsidRPr="00610088">
        <w:rPr>
          <w:lang w:val="en-GB"/>
        </w:rPr>
        <w:t>Bo</w:t>
      </w:r>
      <w:proofErr w:type="gramEnd"/>
      <w:r w:rsidRPr="00610088">
        <w:rPr>
          <w:lang w:val="en-GB"/>
        </w:rPr>
        <w:t xml:space="preserve"> adults in a study in 2018 had at least 1 NCD risk factor, with 25% using tobacco, over 90% adding salt during food preparation, 50% having hypertension, 27% being overweight or obese and 6.7% having hypercholesterolaemia.  </w:t>
      </w:r>
    </w:p>
    <w:p w14:paraId="58B8882F" w14:textId="77777777" w:rsidR="004342BA" w:rsidRPr="00610088" w:rsidRDefault="004342BA" w:rsidP="005505BF">
      <w:pPr>
        <w:rPr>
          <w:lang w:val="en-GB"/>
        </w:rPr>
      </w:pPr>
    </w:p>
    <w:p w14:paraId="3A912F1E" w14:textId="3523B44B" w:rsidR="004342BA" w:rsidRPr="00610088" w:rsidRDefault="004342BA" w:rsidP="005505BF">
      <w:pPr>
        <w:rPr>
          <w:lang w:val="en-GB"/>
        </w:rPr>
      </w:pPr>
      <w:r w:rsidRPr="00610088">
        <w:rPr>
          <w:lang w:val="en-GB"/>
        </w:rPr>
        <w:t xml:space="preserve">While Sierra Leone is a signatory to various global commitments regarding NCDs including the UN Sustainable Development Goals (SDGs) 2030, the Framework Convention on Tobacco Control (FCTC, 2009)  and the African Union’s Africa Health Strategy (2016-2030) , there has been limited </w:t>
      </w:r>
      <w:r w:rsidRPr="005505BF">
        <w:t xml:space="preserve">attention to NCDs inside Sierra Leone also due to competing RMNCAH (Reproductive, Maternal, Neonatal, Child and </w:t>
      </w:r>
      <w:r w:rsidRPr="005505BF">
        <w:lastRenderedPageBreak/>
        <w:t>Adolescent Health) and Communicable Disease priorities including a recent Ebola outbreak and limited integration with other health activities. NCDs are not mentioned in the current Health Policy (2002, revised in 2009), however they are - mostly globally - mentioned in the National Development Plan (2019-2013), the Basic Package of Essential Health Services (2015-2020) and National Health Sector Strategic Plan (2017-2021). The first ever national NCD policy and National NCD Strategic Plan (2013</w:t>
      </w:r>
      <w:r w:rsidRPr="00610088">
        <w:rPr>
          <w:lang w:val="en-GB"/>
        </w:rPr>
        <w:t xml:space="preserve">-2017) were launched in 2013. </w:t>
      </w:r>
    </w:p>
    <w:p w14:paraId="3D2EE640" w14:textId="77777777" w:rsidR="004342BA" w:rsidRPr="00610088" w:rsidRDefault="004342BA" w:rsidP="005505BF">
      <w:pPr>
        <w:rPr>
          <w:sz w:val="22"/>
          <w:szCs w:val="22"/>
          <w:lang w:val="en-GB"/>
        </w:rPr>
      </w:pPr>
    </w:p>
    <w:p w14:paraId="4B43FECA" w14:textId="7F827D40" w:rsidR="004342BA" w:rsidRPr="00610088" w:rsidRDefault="004342BA" w:rsidP="005505BF">
      <w:pPr>
        <w:rPr>
          <w:lang w:val="en-GB"/>
        </w:rPr>
      </w:pPr>
      <w:r w:rsidRPr="00610088">
        <w:rPr>
          <w:lang w:val="en-GB"/>
        </w:rPr>
        <w:t xml:space="preserve">The </w:t>
      </w:r>
      <w:proofErr w:type="spellStart"/>
      <w:r w:rsidR="00156C15">
        <w:rPr>
          <w:lang w:val="en-GB"/>
        </w:rPr>
        <w:t>MoHS</w:t>
      </w:r>
      <w:proofErr w:type="spellEnd"/>
      <w:r w:rsidRPr="00610088">
        <w:rPr>
          <w:lang w:val="en-GB"/>
        </w:rPr>
        <w:t xml:space="preserve"> Directorate of NCDs and Mental Health (DNCD&amp;MH) – in charge of NCDs, Mental Health and Physiotherapy/Rehabilitation - is in place since 2017</w:t>
      </w:r>
      <w:r w:rsidR="002F142B" w:rsidRPr="00610088">
        <w:rPr>
          <w:lang w:val="en-GB"/>
        </w:rPr>
        <w:t>. Previously – from around 2011/2012 -</w:t>
      </w:r>
      <w:r w:rsidRPr="00610088">
        <w:rPr>
          <w:lang w:val="en-GB"/>
        </w:rPr>
        <w:t xml:space="preserve"> NCDs were integrated in the Directorate of Training, NCDs and Research</w:t>
      </w:r>
      <w:r w:rsidR="00B80C28" w:rsidRPr="00610088">
        <w:rPr>
          <w:lang w:val="en-GB"/>
        </w:rPr>
        <w:t xml:space="preserve"> (DTNR)</w:t>
      </w:r>
      <w:r w:rsidRPr="00610088">
        <w:rPr>
          <w:lang w:val="en-GB"/>
        </w:rPr>
        <w:t xml:space="preserve">. Coordination and implementation of NCD activities at national and district level are limited, also due to financing and quality and quantity of staffing of the Directorate and of NCD services in general. Considering the burden of NCDs in Sierra Leone, the number of recent and ongoing specific NCD interventions and initiatives is very limited with very few funding and implementing partners. </w:t>
      </w:r>
    </w:p>
    <w:p w14:paraId="0A92678C" w14:textId="77777777" w:rsidR="004342BA" w:rsidRPr="00610088" w:rsidRDefault="004342BA" w:rsidP="004342BA">
      <w:pPr>
        <w:rPr>
          <w:sz w:val="22"/>
          <w:szCs w:val="22"/>
          <w:lang w:val="en-GB"/>
        </w:rPr>
      </w:pPr>
    </w:p>
    <w:p w14:paraId="2D9B295F" w14:textId="1241A96B" w:rsidR="004342BA" w:rsidRPr="00610088" w:rsidRDefault="004342BA" w:rsidP="005505BF">
      <w:pPr>
        <w:rPr>
          <w:lang w:val="en-GB"/>
        </w:rPr>
      </w:pPr>
      <w:r w:rsidRPr="00610088">
        <w:rPr>
          <w:lang w:val="en-GB"/>
        </w:rPr>
        <w:t xml:space="preserve">The 2017 Service Availability and Readiness Assessment (SARA) survey shows limited availability of NCD services, with only 11%, 20%, 15%, 3% and 59% of health facilities providing diabetes, cardiovascular, chronic respiratory, cervical cancer and basic surgical services respectively. Advanced diagnostic services were only available at 25% of the 54 hospitals. The same survey showed low availability at health facilities of drugs for cardiovascular diseases (range 4-29%), chronic respiratory diseases (range 2-5%), diabetes (range 3-5%) and other NCD (risk) conditions (range 1-38%), with a similar picture in the recent field assessment for the NCD policy/strategic plan development for basic equipment like blood pressure and blood glucose machines. </w:t>
      </w:r>
    </w:p>
    <w:p w14:paraId="348EEE3D" w14:textId="44AF2394" w:rsidR="004342BA" w:rsidRPr="00610088" w:rsidRDefault="004342BA" w:rsidP="005505BF">
      <w:pPr>
        <w:rPr>
          <w:lang w:val="en-GB"/>
        </w:rPr>
      </w:pPr>
      <w:r w:rsidRPr="00610088">
        <w:rPr>
          <w:lang w:val="en-GB"/>
        </w:rPr>
        <w:t xml:space="preserve">Accessibility of NCD services is a problem – for example of all the people over 40 years that knew they had a high fasting blood glucose or hypertension in the recent Bo </w:t>
      </w:r>
      <w:r w:rsidR="002F142B" w:rsidRPr="00610088">
        <w:rPr>
          <w:lang w:val="en-GB"/>
        </w:rPr>
        <w:t xml:space="preserve">District </w:t>
      </w:r>
      <w:r w:rsidRPr="00610088">
        <w:rPr>
          <w:lang w:val="en-GB"/>
        </w:rPr>
        <w:t>CVD</w:t>
      </w:r>
      <w:r w:rsidR="002B6A70">
        <w:rPr>
          <w:lang w:val="en-GB"/>
        </w:rPr>
        <w:t xml:space="preserve"> (Cardiovascular Diseases)</w:t>
      </w:r>
      <w:r w:rsidRPr="00610088">
        <w:rPr>
          <w:lang w:val="en-GB"/>
        </w:rPr>
        <w:t xml:space="preserve"> risk factor study (preliminary analysis), 43% and 59% respectively had been screened before, 32.9% and 33.2% respectively had been diagnosed with the condition, 19% and 14.7% respectively were treated and 8.6% and 4.6% respectively actually had a controlled condition.</w:t>
      </w:r>
    </w:p>
    <w:p w14:paraId="6A5673FF" w14:textId="77777777" w:rsidR="004342BA" w:rsidRPr="00610088" w:rsidRDefault="004342BA" w:rsidP="005505BF">
      <w:pPr>
        <w:rPr>
          <w:lang w:val="en-GB"/>
        </w:rPr>
      </w:pPr>
    </w:p>
    <w:p w14:paraId="3359A0E0" w14:textId="7E132ED3" w:rsidR="004342BA" w:rsidRPr="00610088" w:rsidRDefault="004342BA" w:rsidP="005505BF">
      <w:pPr>
        <w:rPr>
          <w:lang w:val="en-GB"/>
        </w:rPr>
      </w:pPr>
      <w:r w:rsidRPr="00610088">
        <w:rPr>
          <w:lang w:val="en-GB"/>
        </w:rPr>
        <w:t>Community level initiatives are small in number and (geographic) scope. There are limited relationships between the district health providers and authorities with the common first points of call for chronic / NCD conditions at community level: traditional healers, drug peddlers and low-level pharmacies. The Community Health Worker (CHW) scope of work does not include NCDs for now. Preliminary analysis of a recent study shows there is wide variety in the knowledge and understanding of cardiovascular disease risk factors at community level with poor perceptions of treatment options and coexistence of those risk factors.</w:t>
      </w:r>
    </w:p>
    <w:p w14:paraId="107D7F9A" w14:textId="77777777" w:rsidR="004342BA" w:rsidRPr="00610088" w:rsidRDefault="004342BA" w:rsidP="005505BF">
      <w:pPr>
        <w:rPr>
          <w:lang w:val="en-GB"/>
        </w:rPr>
      </w:pPr>
    </w:p>
    <w:p w14:paraId="399502B3" w14:textId="5F905737" w:rsidR="004342BA" w:rsidRPr="00610088" w:rsidRDefault="004342BA" w:rsidP="005505BF">
      <w:pPr>
        <w:rPr>
          <w:lang w:val="en-GB"/>
        </w:rPr>
      </w:pPr>
      <w:r w:rsidRPr="00610088">
        <w:rPr>
          <w:lang w:val="en-GB"/>
        </w:rPr>
        <w:t>There are no strategies or other guidelines for NCD health education and only very limited health education materials – often hailing from specific campaigns with a narrow focus (tobacco, salt). Although health education appears almost entirely focussed on RMNCAH, nutrition and communicable diseases; there are opportunities to</w:t>
      </w:r>
      <w:r w:rsidR="002F142B" w:rsidRPr="00610088">
        <w:rPr>
          <w:lang w:val="en-GB"/>
        </w:rPr>
        <w:t xml:space="preserve"> integrate or piggyback </w:t>
      </w:r>
      <w:r w:rsidRPr="00610088">
        <w:rPr>
          <w:lang w:val="en-GB"/>
        </w:rPr>
        <w:t xml:space="preserve">NCD health education </w:t>
      </w:r>
      <w:r w:rsidR="002F142B" w:rsidRPr="00610088">
        <w:rPr>
          <w:lang w:val="en-GB"/>
        </w:rPr>
        <w:t xml:space="preserve">in/onto </w:t>
      </w:r>
      <w:r w:rsidRPr="00610088">
        <w:rPr>
          <w:lang w:val="en-GB"/>
        </w:rPr>
        <w:t xml:space="preserve">these ongoing activities. </w:t>
      </w:r>
    </w:p>
    <w:p w14:paraId="24955902" w14:textId="77777777" w:rsidR="004342BA" w:rsidRPr="00610088" w:rsidRDefault="004342BA" w:rsidP="004342BA">
      <w:pPr>
        <w:rPr>
          <w:sz w:val="22"/>
          <w:szCs w:val="22"/>
          <w:lang w:val="en-GB"/>
        </w:rPr>
      </w:pPr>
    </w:p>
    <w:p w14:paraId="10845C40" w14:textId="77777777" w:rsidR="004342BA" w:rsidRPr="00610088" w:rsidRDefault="004342BA" w:rsidP="005505BF">
      <w:pPr>
        <w:rPr>
          <w:lang w:val="en-GB"/>
        </w:rPr>
      </w:pPr>
      <w:r w:rsidRPr="00610088">
        <w:rPr>
          <w:lang w:val="en-GB"/>
        </w:rPr>
        <w:t>Monitoring and Evaluation (M&amp;E) including surveillance and research of NCD (services) is very limited with no functional M&amp;E framework, only few NCDs included in the routine data collection system of the District Health Information System (DHIS), irregular monitoring visits and only a few research studies. Promising new initiatives like the national cancer registry and the Connaught stroke register only cover limited geographic areas for now.</w:t>
      </w:r>
    </w:p>
    <w:p w14:paraId="40D3B168" w14:textId="77777777" w:rsidR="004342BA" w:rsidRPr="00610088" w:rsidRDefault="004342BA" w:rsidP="004342BA">
      <w:pPr>
        <w:rPr>
          <w:sz w:val="22"/>
          <w:szCs w:val="22"/>
          <w:lang w:val="en-GB"/>
        </w:rPr>
      </w:pPr>
    </w:p>
    <w:p w14:paraId="4347033A" w14:textId="1762D2E3" w:rsidR="009F7E12" w:rsidRPr="005505BF" w:rsidRDefault="009F7E12" w:rsidP="005505BF">
      <w:pPr>
        <w:rPr>
          <w:b/>
          <w:bCs/>
          <w:lang w:val="en-GB"/>
        </w:rPr>
      </w:pPr>
      <w:r w:rsidRPr="005505BF">
        <w:rPr>
          <w:b/>
          <w:bCs/>
          <w:lang w:val="en-GB"/>
        </w:rPr>
        <w:t>Rationale for the strategic plan, its relation to policy and implementation plans and development process</w:t>
      </w:r>
    </w:p>
    <w:p w14:paraId="47256888" w14:textId="6EEB775F" w:rsidR="00AF5EF2" w:rsidRPr="00610088" w:rsidRDefault="00AF5EF2" w:rsidP="005505BF">
      <w:pPr>
        <w:rPr>
          <w:lang w:val="en-GB"/>
        </w:rPr>
      </w:pPr>
      <w:r w:rsidRPr="00610088">
        <w:rPr>
          <w:lang w:val="en-GB"/>
        </w:rPr>
        <w:t>This strategic plan was developed as guidance to the practical implementation of the NCD policy for the period 20</w:t>
      </w:r>
      <w:r w:rsidR="0059016A">
        <w:rPr>
          <w:lang w:val="en-GB"/>
        </w:rPr>
        <w:t>20</w:t>
      </w:r>
      <w:r w:rsidRPr="00610088">
        <w:rPr>
          <w:lang w:val="en-GB"/>
        </w:rPr>
        <w:t>-202</w:t>
      </w:r>
      <w:r w:rsidR="0059016A">
        <w:rPr>
          <w:lang w:val="en-GB"/>
        </w:rPr>
        <w:t>4</w:t>
      </w:r>
      <w:r w:rsidRPr="00610088">
        <w:rPr>
          <w:lang w:val="en-GB"/>
        </w:rPr>
        <w:t xml:space="preserve">, recognizing the need for accelerated prevention and control of NCDs and injuries and their risk factors considering their significant contribution to morbidity and mortality and their related psychosocial impact in Sierra Leone. </w:t>
      </w:r>
      <w:r w:rsidR="0019510F" w:rsidRPr="00610088">
        <w:rPr>
          <w:lang w:val="en-GB"/>
        </w:rPr>
        <w:t xml:space="preserve">This will include strengthening of the NCD implementation </w:t>
      </w:r>
      <w:r w:rsidR="0019510F" w:rsidRPr="00610088">
        <w:rPr>
          <w:lang w:val="en-GB"/>
        </w:rPr>
        <w:lastRenderedPageBreak/>
        <w:t xml:space="preserve">framework and the related NCD and Mental Health Directorate (established in 2017). </w:t>
      </w:r>
      <w:r w:rsidRPr="00610088">
        <w:rPr>
          <w:lang w:val="en-GB"/>
        </w:rPr>
        <w:t>There is also a need for multi-sectorial action considering major determinants and risk factors for NCDs lie outside the health sector.</w:t>
      </w:r>
      <w:r w:rsidR="0019510F" w:rsidRPr="00610088">
        <w:rPr>
          <w:lang w:val="en-GB"/>
        </w:rPr>
        <w:t xml:space="preserve"> </w:t>
      </w:r>
      <w:r w:rsidRPr="00610088">
        <w:rPr>
          <w:lang w:val="en-GB"/>
        </w:rPr>
        <w:t>This strategic plan covers both Non-Communicable Diseases and Injuries, and links closely to Mental Health, which ha</w:t>
      </w:r>
      <w:r w:rsidR="0019510F" w:rsidRPr="00610088">
        <w:rPr>
          <w:lang w:val="en-GB"/>
        </w:rPr>
        <w:t>d</w:t>
      </w:r>
      <w:r w:rsidRPr="00610088">
        <w:rPr>
          <w:lang w:val="en-GB"/>
        </w:rPr>
        <w:t xml:space="preserve"> its own policy and strategy launched in 2019.</w:t>
      </w:r>
      <w:r w:rsidR="0019510F" w:rsidRPr="00610088">
        <w:rPr>
          <w:vertAlign w:val="superscript"/>
          <w:lang w:val="en-GB"/>
        </w:rPr>
        <w:t xml:space="preserve"> </w:t>
      </w:r>
      <w:r w:rsidR="0019510F" w:rsidRPr="00610088">
        <w:rPr>
          <w:lang w:val="en-GB"/>
        </w:rPr>
        <w:t xml:space="preserve"> </w:t>
      </w:r>
      <w:r w:rsidRPr="00610088">
        <w:rPr>
          <w:lang w:val="en-GB"/>
        </w:rPr>
        <w:t>This strategic plan functions as an umbrella for shorter 2-year rolling implementation plans</w:t>
      </w:r>
      <w:r w:rsidR="0019510F" w:rsidRPr="00610088">
        <w:rPr>
          <w:lang w:val="en-GB"/>
        </w:rPr>
        <w:t xml:space="preserve"> for the areas </w:t>
      </w:r>
      <w:r w:rsidRPr="00610088">
        <w:rPr>
          <w:i/>
          <w:iCs/>
          <w:lang w:val="en-GB"/>
        </w:rPr>
        <w:t xml:space="preserve">Leadership and </w:t>
      </w:r>
      <w:r w:rsidR="0019510F" w:rsidRPr="00610088">
        <w:rPr>
          <w:i/>
          <w:iCs/>
          <w:lang w:val="en-GB"/>
        </w:rPr>
        <w:t>Governance, Health</w:t>
      </w:r>
      <w:r w:rsidRPr="00610088">
        <w:rPr>
          <w:i/>
          <w:iCs/>
          <w:lang w:val="en-GB"/>
        </w:rPr>
        <w:t xml:space="preserve"> Promotion</w:t>
      </w:r>
      <w:r w:rsidRPr="00610088">
        <w:rPr>
          <w:lang w:val="en-GB"/>
        </w:rPr>
        <w:t xml:space="preserve"> and </w:t>
      </w:r>
      <w:r w:rsidRPr="00610088">
        <w:rPr>
          <w:i/>
          <w:iCs/>
          <w:lang w:val="en-GB"/>
        </w:rPr>
        <w:t>NCD services</w:t>
      </w:r>
      <w:r w:rsidRPr="00610088">
        <w:rPr>
          <w:lang w:val="en-GB"/>
        </w:rPr>
        <w:t>.</w:t>
      </w:r>
      <w:r w:rsidR="006C57CA" w:rsidRPr="00610088">
        <w:rPr>
          <w:lang w:val="en-GB"/>
        </w:rPr>
        <w:t xml:space="preserve"> </w:t>
      </w:r>
      <w:r w:rsidR="00BE28F6" w:rsidRPr="00610088">
        <w:rPr>
          <w:lang w:val="en-GB"/>
        </w:rPr>
        <w:t xml:space="preserve">If needed sub-implementation plans can be developed, for example on Tobacco, Alcohol, and Cancer.   </w:t>
      </w:r>
    </w:p>
    <w:p w14:paraId="0CB26C84" w14:textId="28473131" w:rsidR="00AF5EF2" w:rsidRPr="00610088" w:rsidRDefault="00AF5EF2" w:rsidP="005505BF">
      <w:pPr>
        <w:rPr>
          <w:color w:val="000000" w:themeColor="text1"/>
          <w:lang w:val="en-GB"/>
        </w:rPr>
      </w:pPr>
      <w:r w:rsidRPr="00610088">
        <w:rPr>
          <w:color w:val="000000" w:themeColor="text1"/>
          <w:lang w:val="en-GB"/>
        </w:rPr>
        <w:t>The 20</w:t>
      </w:r>
      <w:r w:rsidR="0059016A">
        <w:rPr>
          <w:color w:val="000000" w:themeColor="text1"/>
          <w:lang w:val="en-GB"/>
        </w:rPr>
        <w:t>20</w:t>
      </w:r>
      <w:r w:rsidRPr="00610088">
        <w:rPr>
          <w:color w:val="000000" w:themeColor="text1"/>
          <w:lang w:val="en-GB"/>
        </w:rPr>
        <w:t xml:space="preserve"> policy and the 20</w:t>
      </w:r>
      <w:r w:rsidR="0059016A">
        <w:rPr>
          <w:color w:val="000000" w:themeColor="text1"/>
          <w:lang w:val="en-GB"/>
        </w:rPr>
        <w:t>20</w:t>
      </w:r>
      <w:r w:rsidRPr="00610088">
        <w:rPr>
          <w:color w:val="000000" w:themeColor="text1"/>
          <w:lang w:val="en-GB"/>
        </w:rPr>
        <w:t>-202</w:t>
      </w:r>
      <w:r w:rsidR="0059016A">
        <w:rPr>
          <w:color w:val="000000" w:themeColor="text1"/>
          <w:lang w:val="en-GB"/>
        </w:rPr>
        <w:t>4</w:t>
      </w:r>
      <w:r w:rsidRPr="00610088">
        <w:rPr>
          <w:color w:val="000000" w:themeColor="text1"/>
          <w:lang w:val="en-GB"/>
        </w:rPr>
        <w:t xml:space="preserve"> strategic plan were developed with the assistance of World Bank funds through IHPAU (Integrated Health Project Administration Unit) of the </w:t>
      </w:r>
      <w:proofErr w:type="spellStart"/>
      <w:r w:rsidR="00156C15">
        <w:rPr>
          <w:color w:val="000000" w:themeColor="text1"/>
          <w:lang w:val="en-GB"/>
        </w:rPr>
        <w:t>MoHS</w:t>
      </w:r>
      <w:proofErr w:type="spellEnd"/>
      <w:r w:rsidRPr="00610088">
        <w:rPr>
          <w:color w:val="000000" w:themeColor="text1"/>
          <w:lang w:val="en-GB"/>
        </w:rPr>
        <w:t>, which funded the assistance of a consultant who conducted a desk review and 2 joint field assessments, facilitated 4 participatory stakeholder workshops and several participatory stakeholder meetings and assisted with developing the draft policy and plan including indicative costing.</w:t>
      </w:r>
    </w:p>
    <w:p w14:paraId="7A539C70" w14:textId="77777777" w:rsidR="009F7E12" w:rsidRPr="00610088" w:rsidRDefault="009F7E12" w:rsidP="009F7E12">
      <w:pPr>
        <w:rPr>
          <w:sz w:val="22"/>
          <w:szCs w:val="22"/>
          <w:lang w:val="en-GB"/>
        </w:rPr>
      </w:pPr>
    </w:p>
    <w:p w14:paraId="16538EA8" w14:textId="31243882" w:rsidR="009F7E12" w:rsidRPr="005505BF" w:rsidRDefault="009F7E12" w:rsidP="005505BF">
      <w:pPr>
        <w:rPr>
          <w:b/>
          <w:bCs/>
          <w:lang w:val="en-GB"/>
        </w:rPr>
      </w:pPr>
      <w:r w:rsidRPr="005505BF">
        <w:rPr>
          <w:b/>
          <w:bCs/>
          <w:lang w:val="en-GB"/>
        </w:rPr>
        <w:t>Guiding principles</w:t>
      </w:r>
      <w:r w:rsidRPr="005505BF">
        <w:rPr>
          <w:b/>
          <w:bCs/>
          <w:lang w:val="en-GB"/>
        </w:rPr>
        <w:tab/>
      </w:r>
    </w:p>
    <w:p w14:paraId="5598A1FA" w14:textId="5BFD05B8" w:rsidR="00AF5EF2" w:rsidRPr="00610088" w:rsidRDefault="00AF5EF2" w:rsidP="005505BF">
      <w:pPr>
        <w:rPr>
          <w:lang w:val="en-GB"/>
        </w:rPr>
      </w:pPr>
      <w:r w:rsidRPr="00610088">
        <w:rPr>
          <w:lang w:val="en-GB"/>
        </w:rPr>
        <w:t xml:space="preserve">The guiding principles of the strategic plan are ownership and accountability, integrated people-centred health services, universal health coverage, focused on reducing inequities, encompassing the entire continuum of care, cost-effective evidence-based interventions, cultural relevance, community participation and multisectoral partnerships. </w:t>
      </w:r>
    </w:p>
    <w:p w14:paraId="39419AD9" w14:textId="77777777" w:rsidR="009F7E12" w:rsidRPr="00610088" w:rsidRDefault="009F7E12" w:rsidP="005505BF">
      <w:pPr>
        <w:rPr>
          <w:lang w:val="en-GB"/>
        </w:rPr>
      </w:pPr>
    </w:p>
    <w:p w14:paraId="7A14A8AD" w14:textId="62DF6F62" w:rsidR="009F7E12" w:rsidRPr="005505BF" w:rsidRDefault="009F7E12" w:rsidP="005505BF">
      <w:pPr>
        <w:rPr>
          <w:b/>
          <w:bCs/>
          <w:lang w:val="en-GB"/>
        </w:rPr>
      </w:pPr>
      <w:r w:rsidRPr="005505BF">
        <w:rPr>
          <w:b/>
          <w:bCs/>
          <w:lang w:val="en-GB"/>
        </w:rPr>
        <w:t>Strategic Plan Goal and Objectives</w:t>
      </w:r>
    </w:p>
    <w:p w14:paraId="4E10541A" w14:textId="63B948CE" w:rsidR="00AF5EF2" w:rsidRPr="00610088" w:rsidRDefault="00AF5EF2" w:rsidP="005505BF">
      <w:pPr>
        <w:rPr>
          <w:lang w:val="en-GB"/>
        </w:rPr>
      </w:pPr>
      <w:r w:rsidRPr="00610088">
        <w:rPr>
          <w:lang w:val="en-GB"/>
        </w:rPr>
        <w:t>The goal of the strategic plan is “</w:t>
      </w:r>
      <w:r w:rsidRPr="00610088">
        <w:rPr>
          <w:i/>
          <w:iCs/>
          <w:lang w:val="en-GB"/>
        </w:rPr>
        <w:t>To promote the healthy development and wellbeing and the accelerated reduction of preventable NCD deaths among Sierra Leoneans”</w:t>
      </w:r>
      <w:r w:rsidRPr="00610088">
        <w:rPr>
          <w:lang w:val="en-GB"/>
        </w:rPr>
        <w:t xml:space="preserve">. The NCD Strategic Plan Objectives are aligned to the Sustainable Development Goal targets for non-communicable diseases (SDG 3.4), substance abuse (SDG 3.5), road traffic accidents (SDG 3.6), hazardous chemicals and air, water and soil pollution and contamination (SDG 3.9) and the Framework Convention on Tobacco Control (SDG 3.A). They also align to the relevant global strategies and initiatives on diet, physical activity and health (2004, salt reduction 2019) and prevention and control of NCDs (2013 global action plan, 2018 high-level UN General Assembly).  </w:t>
      </w:r>
    </w:p>
    <w:p w14:paraId="2BBBE90B" w14:textId="0597FB59" w:rsidR="009F7E12" w:rsidRPr="00610088" w:rsidRDefault="009F7E12" w:rsidP="009F7E12">
      <w:pPr>
        <w:rPr>
          <w:sz w:val="22"/>
          <w:szCs w:val="22"/>
          <w:lang w:val="en-GB"/>
        </w:rPr>
      </w:pPr>
      <w:r w:rsidRPr="00610088">
        <w:rPr>
          <w:sz w:val="22"/>
          <w:szCs w:val="22"/>
          <w:lang w:val="en-GB"/>
        </w:rPr>
        <w:tab/>
      </w:r>
    </w:p>
    <w:p w14:paraId="05BAD666" w14:textId="77777777" w:rsidR="009F7E12" w:rsidRPr="005505BF" w:rsidRDefault="009F7E12" w:rsidP="005505BF">
      <w:pPr>
        <w:rPr>
          <w:b/>
          <w:bCs/>
          <w:lang w:val="en-GB"/>
        </w:rPr>
      </w:pPr>
      <w:r w:rsidRPr="005505BF">
        <w:rPr>
          <w:b/>
          <w:bCs/>
          <w:lang w:val="en-GB"/>
        </w:rPr>
        <w:t>NCD Priority intervention areas</w:t>
      </w:r>
      <w:r w:rsidRPr="005505BF">
        <w:rPr>
          <w:b/>
          <w:bCs/>
          <w:lang w:val="en-GB"/>
        </w:rPr>
        <w:tab/>
        <w:t xml:space="preserve"> </w:t>
      </w:r>
    </w:p>
    <w:p w14:paraId="27CB46AE" w14:textId="2EB77FBA" w:rsidR="00AF5EF2" w:rsidRPr="00610088" w:rsidRDefault="00AF5EF2" w:rsidP="005505BF">
      <w:pPr>
        <w:rPr>
          <w:lang w:val="en-GB"/>
        </w:rPr>
      </w:pPr>
      <w:r w:rsidRPr="00610088">
        <w:rPr>
          <w:lang w:val="en-GB"/>
        </w:rPr>
        <w:t xml:space="preserve">The approach for NCD prevention and control will focus on common NCD conditions in Sierra Leone and their underlying determinants and risk factors and equitable quality NCD services. The approach will integrate and link to approaches for mental conditions covered in the existing Mental Health Policy and Strategic Plan (launched in 2019).  </w:t>
      </w:r>
    </w:p>
    <w:p w14:paraId="49FF3B06" w14:textId="3246FC48" w:rsidR="00AF5EF2" w:rsidRPr="00610088" w:rsidRDefault="00AF5EF2" w:rsidP="005505BF">
      <w:pPr>
        <w:rPr>
          <w:lang w:val="en-GB"/>
        </w:rPr>
      </w:pPr>
      <w:r w:rsidRPr="00610088">
        <w:rPr>
          <w:lang w:val="en-GB"/>
        </w:rPr>
        <w:t xml:space="preserve">The NCD Policy Framework has </w:t>
      </w:r>
      <w:r w:rsidRPr="00610088">
        <w:rPr>
          <w:i/>
          <w:iCs/>
          <w:lang w:val="en-GB"/>
        </w:rPr>
        <w:t>10 priority intervention areas</w:t>
      </w:r>
      <w:r w:rsidRPr="00610088">
        <w:rPr>
          <w:lang w:val="en-GB"/>
        </w:rPr>
        <w:t xml:space="preserve"> - which are captured under 3 NCD Policy Domains: Leadership and Governance (</w:t>
      </w:r>
      <w:r w:rsidRPr="00610088">
        <w:rPr>
          <w:i/>
          <w:iCs/>
          <w:lang w:val="en-GB"/>
        </w:rPr>
        <w:t>legal framework; national guidelines/</w:t>
      </w:r>
      <w:r w:rsidR="00E01313">
        <w:rPr>
          <w:i/>
          <w:iCs/>
          <w:lang w:val="en-GB"/>
        </w:rPr>
        <w:t>Standard Operational Procedures (</w:t>
      </w:r>
      <w:r w:rsidRPr="00610088">
        <w:rPr>
          <w:i/>
          <w:iCs/>
          <w:lang w:val="en-GB"/>
        </w:rPr>
        <w:t>SOPs</w:t>
      </w:r>
      <w:r w:rsidR="00E01313">
        <w:rPr>
          <w:i/>
          <w:iCs/>
          <w:lang w:val="en-GB"/>
        </w:rPr>
        <w:t>)</w:t>
      </w:r>
      <w:r w:rsidRPr="00610088">
        <w:rPr>
          <w:i/>
          <w:iCs/>
          <w:lang w:val="en-GB"/>
        </w:rPr>
        <w:t>/tools; financing, collaboration and partnerships; capacity building; drugs, essential diagnostics and medical supplies for NCDs and M&amp;E)</w:t>
      </w:r>
      <w:r w:rsidRPr="00610088">
        <w:rPr>
          <w:lang w:val="en-GB"/>
        </w:rPr>
        <w:t>, Health Promotion (</w:t>
      </w:r>
      <w:r w:rsidRPr="00610088">
        <w:rPr>
          <w:i/>
          <w:iCs/>
          <w:lang w:val="en-GB"/>
        </w:rPr>
        <w:t>health promotion and prevention of NCDs</w:t>
      </w:r>
      <w:r w:rsidRPr="00610088">
        <w:rPr>
          <w:lang w:val="en-GB"/>
        </w:rPr>
        <w:t>), NCD services (</w:t>
      </w:r>
      <w:r w:rsidRPr="00610088">
        <w:rPr>
          <w:i/>
          <w:iCs/>
          <w:lang w:val="en-GB"/>
        </w:rPr>
        <w:t>NCDs management at Primary Health Care level)</w:t>
      </w:r>
      <w:r w:rsidRPr="00610088">
        <w:rPr>
          <w:lang w:val="en-GB"/>
        </w:rPr>
        <w:t xml:space="preserve">. </w:t>
      </w:r>
    </w:p>
    <w:p w14:paraId="5852D302" w14:textId="77777777" w:rsidR="009F7E12" w:rsidRPr="005505BF" w:rsidRDefault="009F7E12" w:rsidP="005505BF">
      <w:pPr>
        <w:rPr>
          <w:b/>
          <w:bCs/>
          <w:lang w:val="en-GB"/>
        </w:rPr>
      </w:pPr>
    </w:p>
    <w:p w14:paraId="14FE7DEC" w14:textId="76AFA80E" w:rsidR="009F7E12" w:rsidRPr="00610088" w:rsidRDefault="009F7E12" w:rsidP="005505BF">
      <w:pPr>
        <w:rPr>
          <w:lang w:val="en-GB"/>
        </w:rPr>
      </w:pPr>
      <w:r w:rsidRPr="005505BF">
        <w:rPr>
          <w:b/>
          <w:bCs/>
          <w:lang w:val="en-GB"/>
        </w:rPr>
        <w:t>Strategic objectives and broad activities</w:t>
      </w:r>
      <w:r w:rsidRPr="00610088">
        <w:rPr>
          <w:lang w:val="en-GB"/>
        </w:rPr>
        <w:tab/>
      </w:r>
    </w:p>
    <w:p w14:paraId="4BCF1E5E" w14:textId="11731DC9" w:rsidR="00FF2960" w:rsidRPr="00610088" w:rsidRDefault="00FF2960" w:rsidP="005505BF">
      <w:pPr>
        <w:rPr>
          <w:lang w:val="en-GB"/>
        </w:rPr>
      </w:pPr>
      <w:r w:rsidRPr="00610088">
        <w:rPr>
          <w:lang w:val="en-GB"/>
        </w:rPr>
        <w:t xml:space="preserve">Strategic Objectives (SOs) and their main strategies are displayed in the table below. Broad activities are defined under each main strategy. </w:t>
      </w:r>
      <w:r w:rsidR="00AF5EF2" w:rsidRPr="00610088">
        <w:rPr>
          <w:lang w:val="en-GB"/>
        </w:rPr>
        <w:t xml:space="preserve">It should be noted there is some overlap between the various SOs. </w:t>
      </w:r>
    </w:p>
    <w:p w14:paraId="7BBF81E2" w14:textId="77777777" w:rsidR="00FF2960" w:rsidRPr="00610088" w:rsidRDefault="00FF2960" w:rsidP="005505BF">
      <w:pPr>
        <w:rPr>
          <w:lang w:val="en-GB"/>
        </w:rPr>
      </w:pPr>
    </w:p>
    <w:tbl>
      <w:tblPr>
        <w:tblStyle w:val="GridTable4-Accent1"/>
        <w:tblW w:w="0" w:type="auto"/>
        <w:tblLook w:val="04A0" w:firstRow="1" w:lastRow="0" w:firstColumn="1" w:lastColumn="0" w:noHBand="0" w:noVBand="1"/>
      </w:tblPr>
      <w:tblGrid>
        <w:gridCol w:w="2830"/>
        <w:gridCol w:w="6180"/>
      </w:tblGrid>
      <w:tr w:rsidR="00FF2960" w:rsidRPr="00610088" w14:paraId="5487178D" w14:textId="77777777" w:rsidTr="00AF5EF2">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830" w:type="dxa"/>
          </w:tcPr>
          <w:p w14:paraId="1813BC0C" w14:textId="2837A567" w:rsidR="00FF2960" w:rsidRPr="00610088" w:rsidRDefault="00FF2960" w:rsidP="009F7E12">
            <w:pPr>
              <w:rPr>
                <w:sz w:val="18"/>
                <w:szCs w:val="18"/>
                <w:lang w:val="en-GB"/>
              </w:rPr>
            </w:pPr>
            <w:r w:rsidRPr="00610088">
              <w:rPr>
                <w:sz w:val="18"/>
                <w:szCs w:val="18"/>
                <w:lang w:val="en-GB"/>
              </w:rPr>
              <w:t>Strategic objective</w:t>
            </w:r>
          </w:p>
        </w:tc>
        <w:tc>
          <w:tcPr>
            <w:tcW w:w="6180" w:type="dxa"/>
          </w:tcPr>
          <w:p w14:paraId="4821D221" w14:textId="55168CF9" w:rsidR="00FF2960" w:rsidRPr="00610088" w:rsidRDefault="00FF2960" w:rsidP="009F7E12">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Main strategies</w:t>
            </w:r>
          </w:p>
        </w:tc>
      </w:tr>
      <w:tr w:rsidR="00FF2960" w:rsidRPr="00610088" w14:paraId="3F757D68" w14:textId="77777777" w:rsidTr="00AF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9F54B6" w14:textId="0ED146DF" w:rsidR="00FF2960" w:rsidRPr="00610088" w:rsidRDefault="00FF2960" w:rsidP="009F7E12">
            <w:pPr>
              <w:rPr>
                <w:sz w:val="18"/>
                <w:szCs w:val="18"/>
                <w:lang w:val="en-GB"/>
              </w:rPr>
            </w:pPr>
            <w:r w:rsidRPr="00610088">
              <w:rPr>
                <w:sz w:val="18"/>
                <w:szCs w:val="18"/>
                <w:lang w:val="en-GB"/>
              </w:rPr>
              <w:t>SO1</w:t>
            </w:r>
            <w:r w:rsidR="00AF5EF2" w:rsidRPr="00610088">
              <w:rPr>
                <w:sz w:val="18"/>
                <w:szCs w:val="18"/>
                <w:lang w:val="en-GB"/>
              </w:rPr>
              <w:t>:</w:t>
            </w:r>
            <w:r w:rsidRPr="00610088">
              <w:rPr>
                <w:sz w:val="18"/>
                <w:szCs w:val="18"/>
                <w:lang w:val="en-GB"/>
              </w:rPr>
              <w:t xml:space="preserve"> </w:t>
            </w:r>
            <w:r w:rsidRPr="00610088">
              <w:rPr>
                <w:b w:val="0"/>
                <w:bCs w:val="0"/>
                <w:sz w:val="18"/>
                <w:szCs w:val="18"/>
                <w:lang w:val="en-GB"/>
              </w:rPr>
              <w:t>To reinforce leadership and strengthen capacity of the health system for prevention and control of NCDs</w:t>
            </w:r>
          </w:p>
        </w:tc>
        <w:tc>
          <w:tcPr>
            <w:tcW w:w="6180" w:type="dxa"/>
          </w:tcPr>
          <w:p w14:paraId="39C40BA4" w14:textId="77777777" w:rsidR="00FF2960" w:rsidRPr="00610088" w:rsidRDefault="00FF2960" w:rsidP="00FF2960">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Strengthening and capacity building of NCD Directorate at national and district level</w:t>
            </w:r>
          </w:p>
          <w:p w14:paraId="34DC4552" w14:textId="20AC68F1" w:rsidR="00FF2960" w:rsidRPr="00610088" w:rsidRDefault="00FF2960" w:rsidP="00FF2960">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Sensitization/ Advocacy at all levels (Other sectors, </w:t>
            </w:r>
            <w:proofErr w:type="spellStart"/>
            <w:r w:rsidR="00156C15">
              <w:rPr>
                <w:sz w:val="18"/>
                <w:szCs w:val="18"/>
                <w:lang w:val="en-GB"/>
              </w:rPr>
              <w:t>MoHS</w:t>
            </w:r>
            <w:proofErr w:type="spellEnd"/>
            <w:r w:rsidRPr="00610088">
              <w:rPr>
                <w:sz w:val="18"/>
                <w:szCs w:val="18"/>
                <w:lang w:val="en-GB"/>
              </w:rPr>
              <w:t>)</w:t>
            </w:r>
          </w:p>
          <w:p w14:paraId="4481B7D0" w14:textId="23935FA4" w:rsidR="00FF2960" w:rsidRPr="00610088" w:rsidRDefault="00FF2960" w:rsidP="00AF5EF2">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Establish / advocate for legal framework for NCDs and its risk factors (including reduction of presence of risk factors such as salt, sugar, alcohol and tobacco)</w:t>
            </w:r>
          </w:p>
        </w:tc>
      </w:tr>
      <w:tr w:rsidR="00FF2960" w:rsidRPr="00610088" w14:paraId="04C1AD81" w14:textId="77777777" w:rsidTr="00AF5EF2">
        <w:tc>
          <w:tcPr>
            <w:cnfStyle w:val="001000000000" w:firstRow="0" w:lastRow="0" w:firstColumn="1" w:lastColumn="0" w:oddVBand="0" w:evenVBand="0" w:oddHBand="0" w:evenHBand="0" w:firstRowFirstColumn="0" w:firstRowLastColumn="0" w:lastRowFirstColumn="0" w:lastRowLastColumn="0"/>
            <w:tcW w:w="2830" w:type="dxa"/>
          </w:tcPr>
          <w:p w14:paraId="1958C644" w14:textId="5095DD21" w:rsidR="00FF2960" w:rsidRPr="00610088" w:rsidRDefault="00FF2960" w:rsidP="00FF2960">
            <w:pPr>
              <w:rPr>
                <w:sz w:val="18"/>
                <w:szCs w:val="18"/>
                <w:lang w:val="en-GB"/>
              </w:rPr>
            </w:pPr>
            <w:r w:rsidRPr="00610088">
              <w:rPr>
                <w:sz w:val="18"/>
                <w:szCs w:val="18"/>
                <w:lang w:val="en-GB"/>
              </w:rPr>
              <w:t xml:space="preserve">SO2: </w:t>
            </w:r>
            <w:r w:rsidRPr="00610088">
              <w:rPr>
                <w:b w:val="0"/>
                <w:bCs w:val="0"/>
                <w:sz w:val="18"/>
                <w:szCs w:val="18"/>
                <w:lang w:val="en-GB"/>
              </w:rPr>
              <w:t>To mobilize sustainable funding for NCD activities at all levels</w:t>
            </w:r>
          </w:p>
        </w:tc>
        <w:tc>
          <w:tcPr>
            <w:tcW w:w="6180" w:type="dxa"/>
          </w:tcPr>
          <w:p w14:paraId="7DBADD1D" w14:textId="1ECBF767" w:rsidR="00FF2960" w:rsidRPr="00610088" w:rsidRDefault="00FF2960" w:rsidP="00AF5EF2">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bCs/>
                <w:sz w:val="18"/>
                <w:szCs w:val="18"/>
                <w:lang w:val="en-GB"/>
              </w:rPr>
              <w:t>Fundraising for NCDs both in / out of country (</w:t>
            </w:r>
            <w:proofErr w:type="spellStart"/>
            <w:r w:rsidRPr="00610088">
              <w:rPr>
                <w:bCs/>
                <w:sz w:val="18"/>
                <w:szCs w:val="18"/>
                <w:lang w:val="en-GB"/>
              </w:rPr>
              <w:t>GoSL</w:t>
            </w:r>
            <w:proofErr w:type="spellEnd"/>
            <w:r w:rsidRPr="00610088">
              <w:rPr>
                <w:bCs/>
                <w:sz w:val="18"/>
                <w:szCs w:val="18"/>
                <w:lang w:val="en-GB"/>
              </w:rPr>
              <w:t>, local councils, in/out country donors)</w:t>
            </w:r>
          </w:p>
        </w:tc>
      </w:tr>
      <w:tr w:rsidR="00FF2960" w:rsidRPr="00610088" w14:paraId="64E53C20" w14:textId="77777777" w:rsidTr="00AF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529ED08" w14:textId="7B684E45" w:rsidR="00FF2960" w:rsidRPr="00610088" w:rsidRDefault="00FF2960" w:rsidP="00FF2960">
            <w:pPr>
              <w:rPr>
                <w:sz w:val="18"/>
                <w:szCs w:val="18"/>
                <w:lang w:val="en-GB"/>
              </w:rPr>
            </w:pPr>
            <w:r w:rsidRPr="00610088">
              <w:rPr>
                <w:sz w:val="18"/>
                <w:szCs w:val="18"/>
                <w:lang w:val="en-GB"/>
              </w:rPr>
              <w:lastRenderedPageBreak/>
              <w:t xml:space="preserve">SO3: </w:t>
            </w:r>
            <w:r w:rsidRPr="00610088">
              <w:rPr>
                <w:b w:val="0"/>
                <w:bCs w:val="0"/>
                <w:sz w:val="18"/>
                <w:szCs w:val="18"/>
                <w:lang w:val="en-GB"/>
              </w:rPr>
              <w:t>To promote healthy lifestyles and reduce risk factors using health promotion strategies.</w:t>
            </w:r>
            <w:r w:rsidRPr="00610088">
              <w:rPr>
                <w:b w:val="0"/>
                <w:bCs w:val="0"/>
                <w:sz w:val="18"/>
                <w:szCs w:val="18"/>
                <w:lang w:val="en-GB"/>
              </w:rPr>
              <w:tab/>
            </w:r>
          </w:p>
        </w:tc>
        <w:tc>
          <w:tcPr>
            <w:tcW w:w="6180" w:type="dxa"/>
          </w:tcPr>
          <w:p w14:paraId="70C9486E" w14:textId="4F090CF6" w:rsidR="00AF5EF2"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Promotion of healthy lifestyles through IEC/BCC</w:t>
            </w:r>
          </w:p>
          <w:p w14:paraId="300A3F91" w14:textId="77777777" w:rsidR="00AF5EF2"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Focus on children, adolescents and young people</w:t>
            </w:r>
          </w:p>
          <w:p w14:paraId="0477041B" w14:textId="732F2076" w:rsidR="00FF2960"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Provision of enabling environment for behaviour change towards healthy lifestyles</w:t>
            </w:r>
          </w:p>
        </w:tc>
      </w:tr>
      <w:tr w:rsidR="00FF2960" w:rsidRPr="00610088" w14:paraId="15103BF5" w14:textId="77777777" w:rsidTr="00AF5EF2">
        <w:tc>
          <w:tcPr>
            <w:cnfStyle w:val="001000000000" w:firstRow="0" w:lastRow="0" w:firstColumn="1" w:lastColumn="0" w:oddVBand="0" w:evenVBand="0" w:oddHBand="0" w:evenHBand="0" w:firstRowFirstColumn="0" w:firstRowLastColumn="0" w:lastRowFirstColumn="0" w:lastRowLastColumn="0"/>
            <w:tcW w:w="2830" w:type="dxa"/>
          </w:tcPr>
          <w:p w14:paraId="494079EE" w14:textId="79E84AB7" w:rsidR="00FF2960" w:rsidRPr="00610088" w:rsidRDefault="00FF2960" w:rsidP="009F7E12">
            <w:pPr>
              <w:rPr>
                <w:sz w:val="18"/>
                <w:szCs w:val="18"/>
                <w:lang w:val="en-GB"/>
              </w:rPr>
            </w:pPr>
            <w:r w:rsidRPr="00610088">
              <w:rPr>
                <w:sz w:val="18"/>
                <w:szCs w:val="18"/>
                <w:lang w:val="en-GB"/>
              </w:rPr>
              <w:t xml:space="preserve">SO4: </w:t>
            </w:r>
            <w:r w:rsidRPr="00610088">
              <w:rPr>
                <w:b w:val="0"/>
                <w:bCs w:val="0"/>
                <w:sz w:val="18"/>
                <w:szCs w:val="18"/>
                <w:lang w:val="en-GB"/>
              </w:rPr>
              <w:t>To strengthen NCD prevention, screening, diagnosis, management and care at all levels through implementation of practical, cost-effective and evidence-based interventions at all levels of care</w:t>
            </w:r>
          </w:p>
        </w:tc>
        <w:tc>
          <w:tcPr>
            <w:tcW w:w="6180" w:type="dxa"/>
          </w:tcPr>
          <w:p w14:paraId="7E1B870A"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Training of health workers at all service delivery levels </w:t>
            </w:r>
          </w:p>
          <w:p w14:paraId="25FD60A2"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Strengthen NCD services at PHU and hospital level</w:t>
            </w:r>
          </w:p>
          <w:p w14:paraId="4F5F1620"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Establish and strengthen NCD community /family services and care</w:t>
            </w:r>
          </w:p>
          <w:p w14:paraId="7DBE9B85"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Establish guidelines / protocols for NCD prevention, screening diagnosis, management and care</w:t>
            </w:r>
          </w:p>
          <w:p w14:paraId="4992854A" w14:textId="77777777" w:rsidR="00FF2960" w:rsidRPr="00610088" w:rsidRDefault="00FF2960" w:rsidP="009F7E12">
            <w:pPr>
              <w:cnfStyle w:val="000000000000" w:firstRow="0" w:lastRow="0" w:firstColumn="0" w:lastColumn="0" w:oddVBand="0" w:evenVBand="0" w:oddHBand="0" w:evenHBand="0" w:firstRowFirstColumn="0" w:firstRowLastColumn="0" w:lastRowFirstColumn="0" w:lastRowLastColumn="0"/>
              <w:rPr>
                <w:sz w:val="18"/>
                <w:szCs w:val="18"/>
                <w:lang w:val="en-GB"/>
              </w:rPr>
            </w:pPr>
          </w:p>
        </w:tc>
      </w:tr>
      <w:tr w:rsidR="00FF2960" w:rsidRPr="00610088" w14:paraId="4C5DEC9A" w14:textId="77777777" w:rsidTr="00AF5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AD8D1D7" w14:textId="17D9131B" w:rsidR="00FF2960" w:rsidRPr="00610088" w:rsidRDefault="00FF2960" w:rsidP="009F7E12">
            <w:pPr>
              <w:rPr>
                <w:sz w:val="18"/>
                <w:szCs w:val="18"/>
                <w:lang w:val="en-GB"/>
              </w:rPr>
            </w:pPr>
            <w:r w:rsidRPr="00610088">
              <w:rPr>
                <w:sz w:val="18"/>
                <w:szCs w:val="18"/>
                <w:lang w:val="en-GB"/>
              </w:rPr>
              <w:t xml:space="preserve">SO5: </w:t>
            </w:r>
            <w:r w:rsidRPr="00610088">
              <w:rPr>
                <w:b w:val="0"/>
                <w:bCs w:val="0"/>
                <w:sz w:val="18"/>
                <w:szCs w:val="18"/>
                <w:lang w:val="en-GB"/>
              </w:rPr>
              <w:t>To strengthen partnerships and establish a network of relevant stakeholders for surveillance, prevention, screening, diagnosis, management and care of NCDs.</w:t>
            </w:r>
          </w:p>
        </w:tc>
        <w:tc>
          <w:tcPr>
            <w:tcW w:w="6180" w:type="dxa"/>
          </w:tcPr>
          <w:p w14:paraId="1CC90443" w14:textId="77777777" w:rsidR="00AF5EF2"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Establish national and district level coordination and partnership structures and support NCDI commission and its related TWGs and District NCD committees (see also SO1)</w:t>
            </w:r>
          </w:p>
          <w:p w14:paraId="20EEB01C" w14:textId="77777777" w:rsidR="00AF5EF2"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Ensure community level participation in all relevant NCD activities</w:t>
            </w:r>
          </w:p>
          <w:p w14:paraId="59E641B4" w14:textId="77777777" w:rsidR="00AF5EF2"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Participation of all relevant NCD implementers / stakeholders/ partners/ donors in coordination structures and partnership structures</w:t>
            </w:r>
          </w:p>
          <w:p w14:paraId="5AF6E28C" w14:textId="44EC9396" w:rsidR="00FF2960" w:rsidRPr="00610088" w:rsidRDefault="00AF5EF2" w:rsidP="00AF5EF2">
            <w:pPr>
              <w:pStyle w:val="ListParagraph"/>
              <w:numPr>
                <w:ilvl w:val="0"/>
                <w:numId w:val="43"/>
              </w:num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Alignment of all NCD implementers to NCD Directorate/ </w:t>
            </w:r>
            <w:proofErr w:type="spellStart"/>
            <w:r w:rsidR="00156C15">
              <w:rPr>
                <w:sz w:val="18"/>
                <w:szCs w:val="18"/>
                <w:lang w:val="en-GB"/>
              </w:rPr>
              <w:t>MoHS</w:t>
            </w:r>
            <w:proofErr w:type="spellEnd"/>
            <w:r w:rsidRPr="00610088">
              <w:rPr>
                <w:sz w:val="18"/>
                <w:szCs w:val="18"/>
                <w:lang w:val="en-GB"/>
              </w:rPr>
              <w:t xml:space="preserve"> NCD guidelines / programs</w:t>
            </w:r>
          </w:p>
        </w:tc>
      </w:tr>
      <w:tr w:rsidR="00FF2960" w:rsidRPr="00610088" w14:paraId="7BAEF76A" w14:textId="77777777" w:rsidTr="00AF5EF2">
        <w:tc>
          <w:tcPr>
            <w:cnfStyle w:val="001000000000" w:firstRow="0" w:lastRow="0" w:firstColumn="1" w:lastColumn="0" w:oddVBand="0" w:evenVBand="0" w:oddHBand="0" w:evenHBand="0" w:firstRowFirstColumn="0" w:firstRowLastColumn="0" w:lastRowFirstColumn="0" w:lastRowLastColumn="0"/>
            <w:tcW w:w="2830" w:type="dxa"/>
          </w:tcPr>
          <w:p w14:paraId="4A4A9E52" w14:textId="460F4B6E" w:rsidR="00FF2960" w:rsidRPr="00610088" w:rsidRDefault="00FF2960" w:rsidP="009F7E12">
            <w:pPr>
              <w:rPr>
                <w:sz w:val="18"/>
                <w:szCs w:val="18"/>
                <w:lang w:val="en-GB"/>
              </w:rPr>
            </w:pPr>
            <w:r w:rsidRPr="00610088">
              <w:rPr>
                <w:sz w:val="18"/>
                <w:szCs w:val="18"/>
                <w:lang w:val="en-GB"/>
              </w:rPr>
              <w:t xml:space="preserve">SO6: </w:t>
            </w:r>
            <w:r w:rsidRPr="00610088">
              <w:rPr>
                <w:b w:val="0"/>
                <w:bCs w:val="0"/>
                <w:sz w:val="18"/>
                <w:szCs w:val="18"/>
                <w:lang w:val="en-GB"/>
              </w:rPr>
              <w:t>To establish systems for monitoring and evaluation (including research and surveillance) to provide evidence for decision making and to assess effectiveness of promotion, prevention and control measures for NCDs at all levels of the healthcare system</w:t>
            </w:r>
            <w:r w:rsidRPr="00610088">
              <w:rPr>
                <w:b w:val="0"/>
                <w:bCs w:val="0"/>
                <w:sz w:val="18"/>
                <w:szCs w:val="18"/>
                <w:lang w:val="en-GB"/>
              </w:rPr>
              <w:tab/>
            </w:r>
          </w:p>
        </w:tc>
        <w:tc>
          <w:tcPr>
            <w:tcW w:w="6180" w:type="dxa"/>
          </w:tcPr>
          <w:p w14:paraId="2611886F"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Obtain data for action and advocacy</w:t>
            </w:r>
          </w:p>
          <w:p w14:paraId="19A796DD"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Establish M&amp;E system including surveillance</w:t>
            </w:r>
          </w:p>
          <w:p w14:paraId="64965C87" w14:textId="77777777"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Support and expand existing cancer registry</w:t>
            </w:r>
          </w:p>
          <w:p w14:paraId="053E6302" w14:textId="39B76EF0" w:rsidR="00AF5EF2" w:rsidRPr="00610088" w:rsidRDefault="00AF5EF2" w:rsidP="00AF5EF2">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Establish NCD Research system</w:t>
            </w:r>
          </w:p>
          <w:p w14:paraId="4568F661" w14:textId="77777777" w:rsidR="00AF5EF2" w:rsidRPr="00610088" w:rsidRDefault="00AF5EF2" w:rsidP="00AF5EF2">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66C0B8FC" w14:textId="77777777" w:rsidR="00AF5EF2" w:rsidRPr="00610088" w:rsidRDefault="00AF5EF2" w:rsidP="00AF5EF2">
            <w:pPr>
              <w:cnfStyle w:val="000000000000" w:firstRow="0" w:lastRow="0" w:firstColumn="0" w:lastColumn="0" w:oddVBand="0" w:evenVBand="0" w:oddHBand="0" w:evenHBand="0" w:firstRowFirstColumn="0" w:firstRowLastColumn="0" w:lastRowFirstColumn="0" w:lastRowLastColumn="0"/>
              <w:rPr>
                <w:sz w:val="18"/>
                <w:szCs w:val="18"/>
                <w:lang w:val="en-GB"/>
              </w:rPr>
            </w:pPr>
          </w:p>
          <w:p w14:paraId="2BA8897B" w14:textId="77777777" w:rsidR="00FF2960" w:rsidRPr="00610088" w:rsidRDefault="00FF2960" w:rsidP="009F7E12">
            <w:pPr>
              <w:cnfStyle w:val="000000000000" w:firstRow="0" w:lastRow="0" w:firstColumn="0" w:lastColumn="0" w:oddVBand="0" w:evenVBand="0" w:oddHBand="0" w:evenHBand="0" w:firstRowFirstColumn="0" w:firstRowLastColumn="0" w:lastRowFirstColumn="0" w:lastRowLastColumn="0"/>
              <w:rPr>
                <w:sz w:val="18"/>
                <w:szCs w:val="18"/>
                <w:lang w:val="en-GB"/>
              </w:rPr>
            </w:pPr>
          </w:p>
        </w:tc>
      </w:tr>
    </w:tbl>
    <w:p w14:paraId="459F4F0A" w14:textId="77777777" w:rsidR="00FF2960" w:rsidRPr="00610088" w:rsidRDefault="00FF2960" w:rsidP="009F7E12">
      <w:pPr>
        <w:rPr>
          <w:sz w:val="22"/>
          <w:szCs w:val="22"/>
          <w:lang w:val="en-GB"/>
        </w:rPr>
      </w:pPr>
    </w:p>
    <w:p w14:paraId="71B97184" w14:textId="293671FE" w:rsidR="009F7E12" w:rsidRPr="005505BF" w:rsidRDefault="009F7E12" w:rsidP="005505BF">
      <w:pPr>
        <w:rPr>
          <w:b/>
          <w:bCs/>
          <w:lang w:val="en-GB"/>
        </w:rPr>
      </w:pPr>
      <w:r w:rsidRPr="005505BF">
        <w:rPr>
          <w:b/>
          <w:bCs/>
          <w:lang w:val="en-GB"/>
        </w:rPr>
        <w:t>Indicative budget by Strategic Objective</w:t>
      </w:r>
    </w:p>
    <w:p w14:paraId="4DC45A43" w14:textId="14739386" w:rsidR="00FF2960" w:rsidRDefault="00FF2960" w:rsidP="005505BF">
      <w:pPr>
        <w:rPr>
          <w:lang w:val="en-GB"/>
        </w:rPr>
      </w:pPr>
      <w:r w:rsidRPr="00610088">
        <w:rPr>
          <w:lang w:val="en-GB"/>
        </w:rPr>
        <w:t xml:space="preserve">The total indicative cost for the </w:t>
      </w:r>
      <w:proofErr w:type="gramStart"/>
      <w:r w:rsidRPr="00610088">
        <w:rPr>
          <w:lang w:val="en-GB"/>
        </w:rPr>
        <w:t>5 year</w:t>
      </w:r>
      <w:proofErr w:type="gramEnd"/>
      <w:r w:rsidRPr="00610088">
        <w:rPr>
          <w:lang w:val="en-GB"/>
        </w:rPr>
        <w:t xml:space="preserve"> strategic plan is </w:t>
      </w:r>
      <w:r w:rsidR="00E01313">
        <w:rPr>
          <w:lang w:val="en-GB"/>
        </w:rPr>
        <w:t>United States Dollar (</w:t>
      </w:r>
      <w:r w:rsidRPr="00610088">
        <w:rPr>
          <w:lang w:val="en-GB"/>
        </w:rPr>
        <w:t>USD</w:t>
      </w:r>
      <w:r w:rsidR="00E01313">
        <w:rPr>
          <w:lang w:val="en-GB"/>
        </w:rPr>
        <w:t>)</w:t>
      </w:r>
      <w:r w:rsidRPr="00610088">
        <w:rPr>
          <w:lang w:val="en-GB"/>
        </w:rPr>
        <w:t xml:space="preserve"> 9,</w:t>
      </w:r>
      <w:r w:rsidR="009E1E03">
        <w:rPr>
          <w:lang w:val="en-GB"/>
        </w:rPr>
        <w:t>205</w:t>
      </w:r>
      <w:r w:rsidRPr="00610088">
        <w:rPr>
          <w:lang w:val="en-GB"/>
        </w:rPr>
        <w:t>,800, of which 3,0</w:t>
      </w:r>
      <w:r w:rsidR="009E1E03">
        <w:rPr>
          <w:lang w:val="en-GB"/>
        </w:rPr>
        <w:t>4</w:t>
      </w:r>
      <w:r w:rsidRPr="00610088">
        <w:rPr>
          <w:lang w:val="en-GB"/>
        </w:rPr>
        <w:t>8,800 for Leadership &amp; Governance (SO1: 3</w:t>
      </w:r>
      <w:r w:rsidR="009E1E03">
        <w:rPr>
          <w:lang w:val="en-GB"/>
        </w:rPr>
        <w:t>5</w:t>
      </w:r>
      <w:r w:rsidRPr="00610088">
        <w:rPr>
          <w:lang w:val="en-GB"/>
        </w:rPr>
        <w:t xml:space="preserve">3,60; SO2: 10,000; SO5: 786,200, SO6: 1,899,000), 1,716,000 for Health Promotion (SO3) and 4,441,000 for Services (SO4). </w:t>
      </w:r>
    </w:p>
    <w:p w14:paraId="685678E3" w14:textId="77777777" w:rsidR="00FF2960" w:rsidRPr="00610088" w:rsidRDefault="00FF2960" w:rsidP="005505BF">
      <w:pPr>
        <w:rPr>
          <w:lang w:val="en-GB"/>
        </w:rPr>
      </w:pPr>
    </w:p>
    <w:p w14:paraId="7B8C0A9B" w14:textId="2B767E69" w:rsidR="009F7E12" w:rsidRPr="005505BF" w:rsidRDefault="009F7E12" w:rsidP="005505BF">
      <w:pPr>
        <w:rPr>
          <w:b/>
          <w:bCs/>
          <w:lang w:val="en-GB"/>
        </w:rPr>
      </w:pPr>
      <w:r w:rsidRPr="005505BF">
        <w:rPr>
          <w:b/>
          <w:bCs/>
          <w:lang w:val="en-GB"/>
        </w:rPr>
        <w:t>Proposed M&amp;E Framework</w:t>
      </w:r>
      <w:r w:rsidRPr="005505BF">
        <w:rPr>
          <w:b/>
          <w:bCs/>
          <w:lang w:val="en-GB"/>
        </w:rPr>
        <w:tab/>
      </w:r>
    </w:p>
    <w:p w14:paraId="79F5D990" w14:textId="677C366E" w:rsidR="00FF2960" w:rsidRPr="00610088" w:rsidRDefault="00FF2960" w:rsidP="005505BF">
      <w:pPr>
        <w:rPr>
          <w:lang w:val="en-GB"/>
        </w:rPr>
      </w:pPr>
      <w:r w:rsidRPr="00610088">
        <w:rPr>
          <w:lang w:val="en-GB"/>
        </w:rPr>
        <w:t>The Monitoring and Evaluation, including surveillance and research, of the strategic plan will be implemented by the DNCD&amp;MH together with its partners including the national N</w:t>
      </w:r>
      <w:r w:rsidR="001C492E">
        <w:rPr>
          <w:lang w:val="en-GB"/>
        </w:rPr>
        <w:t xml:space="preserve">CD and Injuries (NCDI) </w:t>
      </w:r>
      <w:r w:rsidRPr="00610088">
        <w:rPr>
          <w:lang w:val="en-GB"/>
        </w:rPr>
        <w:t xml:space="preserve">commission and </w:t>
      </w:r>
      <w:r w:rsidR="00E01313">
        <w:rPr>
          <w:lang w:val="en-GB"/>
        </w:rPr>
        <w:t>Technical Working Groups (</w:t>
      </w:r>
      <w:r w:rsidRPr="00610088">
        <w:rPr>
          <w:lang w:val="en-GB"/>
        </w:rPr>
        <w:t>TWGs</w:t>
      </w:r>
      <w:r w:rsidR="00E01313">
        <w:rPr>
          <w:lang w:val="en-GB"/>
        </w:rPr>
        <w:t>)</w:t>
      </w:r>
      <w:r w:rsidRPr="00610088">
        <w:rPr>
          <w:lang w:val="en-GB"/>
        </w:rPr>
        <w:t>. The NCD Monitoring and Evaluation (M&amp;E) framework will be further developed based on the current 5-year NCD strategic plan (20</w:t>
      </w:r>
      <w:r w:rsidR="0059016A">
        <w:rPr>
          <w:lang w:val="en-GB"/>
        </w:rPr>
        <w:t>20</w:t>
      </w:r>
      <w:r w:rsidRPr="00610088">
        <w:rPr>
          <w:lang w:val="en-GB"/>
        </w:rPr>
        <w:t>-202</w:t>
      </w:r>
      <w:r w:rsidR="0059016A">
        <w:rPr>
          <w:lang w:val="en-GB"/>
        </w:rPr>
        <w:t>4</w:t>
      </w:r>
      <w:r w:rsidRPr="00610088">
        <w:rPr>
          <w:lang w:val="en-GB"/>
        </w:rPr>
        <w:t xml:space="preserve">) and the detailed implementation plans. The proposed key indicators include 2 impact indicators and sets of indicators for each of the 6 strategic objectives. </w:t>
      </w:r>
    </w:p>
    <w:p w14:paraId="67A86C23" w14:textId="77777777" w:rsidR="00FF2960" w:rsidRPr="00610088" w:rsidRDefault="00FF2960" w:rsidP="005505BF">
      <w:pPr>
        <w:rPr>
          <w:lang w:val="en-GB"/>
        </w:rPr>
      </w:pPr>
    </w:p>
    <w:p w14:paraId="0A6C1EA2" w14:textId="7248ABD0" w:rsidR="009F7E12" w:rsidRPr="005505BF" w:rsidRDefault="009F7E12" w:rsidP="005505BF">
      <w:pPr>
        <w:rPr>
          <w:b/>
          <w:bCs/>
          <w:lang w:val="en-GB"/>
        </w:rPr>
      </w:pPr>
      <w:r w:rsidRPr="005505BF">
        <w:rPr>
          <w:b/>
          <w:bCs/>
          <w:lang w:val="en-GB"/>
        </w:rPr>
        <w:t>Annexes</w:t>
      </w:r>
    </w:p>
    <w:p w14:paraId="28E43C4D" w14:textId="4B74AB27" w:rsidR="009F7E12" w:rsidRPr="00610088" w:rsidRDefault="00A30444" w:rsidP="005505BF">
      <w:pPr>
        <w:rPr>
          <w:lang w:val="en-GB"/>
        </w:rPr>
      </w:pPr>
      <w:r w:rsidRPr="00610088">
        <w:rPr>
          <w:lang w:val="en-GB"/>
        </w:rPr>
        <w:t xml:space="preserve">The annexes of the strategic plan contain a detailed description of the </w:t>
      </w:r>
      <w:r w:rsidR="009F7E12" w:rsidRPr="00610088">
        <w:rPr>
          <w:lang w:val="en-GB"/>
        </w:rPr>
        <w:t xml:space="preserve">Country Health System </w:t>
      </w:r>
      <w:r w:rsidRPr="00610088">
        <w:rPr>
          <w:lang w:val="en-GB"/>
        </w:rPr>
        <w:t xml:space="preserve">(Annex 1), of the NCD status (Annex 2) and risk factors (Annex 3) in Sierra Leone. Annex 4 contains a detailed table with NCD programs in Sierra Leone and their </w:t>
      </w:r>
      <w:r w:rsidR="009F7E12" w:rsidRPr="00610088">
        <w:rPr>
          <w:lang w:val="en-GB"/>
        </w:rPr>
        <w:t xml:space="preserve">supporters </w:t>
      </w:r>
      <w:r w:rsidRPr="00610088">
        <w:rPr>
          <w:lang w:val="en-GB"/>
        </w:rPr>
        <w:t>and/or</w:t>
      </w:r>
      <w:r w:rsidR="009F7E12" w:rsidRPr="00610088">
        <w:rPr>
          <w:lang w:val="en-GB"/>
        </w:rPr>
        <w:t xml:space="preserve"> implementers</w:t>
      </w:r>
      <w:r w:rsidRPr="00610088">
        <w:rPr>
          <w:lang w:val="en-GB"/>
        </w:rPr>
        <w:t>. The full indicators definitions and related calculations of the proposed M&amp;E framework are provided in Annex 5. The last annex contains the references and notes</w:t>
      </w:r>
      <w:r w:rsidR="00FF2960" w:rsidRPr="00610088">
        <w:rPr>
          <w:lang w:val="en-GB"/>
        </w:rPr>
        <w:t xml:space="preserve"> (Annex 6). </w:t>
      </w:r>
      <w:r w:rsidR="009F7E12" w:rsidRPr="00610088">
        <w:rPr>
          <w:lang w:val="en-GB"/>
        </w:rPr>
        <w:tab/>
      </w:r>
    </w:p>
    <w:p w14:paraId="1EE7ED3D" w14:textId="55D6C5FE" w:rsidR="0057323A" w:rsidRPr="00610088" w:rsidRDefault="0057323A" w:rsidP="005505BF">
      <w:pPr>
        <w:rPr>
          <w:highlight w:val="yellow"/>
          <w:lang w:val="en-GB"/>
        </w:rPr>
      </w:pPr>
      <w:r w:rsidRPr="00610088">
        <w:rPr>
          <w:highlight w:val="yellow"/>
          <w:lang w:val="en-GB"/>
        </w:rPr>
        <w:br w:type="page"/>
      </w:r>
    </w:p>
    <w:p w14:paraId="4B89CE42" w14:textId="77777777" w:rsidR="0057323A" w:rsidRPr="00610088" w:rsidRDefault="0057323A" w:rsidP="00F1043E">
      <w:pPr>
        <w:pStyle w:val="Heading1"/>
        <w:rPr>
          <w:lang w:val="en-GB"/>
        </w:rPr>
      </w:pPr>
      <w:bookmarkStart w:id="4" w:name="_Toc41370533"/>
      <w:r w:rsidRPr="00610088">
        <w:rPr>
          <w:lang w:val="en-GB"/>
        </w:rPr>
        <w:lastRenderedPageBreak/>
        <w:t>Country background</w:t>
      </w:r>
      <w:bookmarkEnd w:id="4"/>
    </w:p>
    <w:p w14:paraId="00BA9937" w14:textId="77777777" w:rsidR="0057323A" w:rsidRPr="00610088" w:rsidRDefault="0057323A" w:rsidP="0057323A">
      <w:pPr>
        <w:rPr>
          <w:lang w:val="en-GB"/>
        </w:rPr>
      </w:pPr>
    </w:p>
    <w:p w14:paraId="1194814A" w14:textId="67DA050F" w:rsidR="0057323A" w:rsidRPr="00610088" w:rsidRDefault="0057323A" w:rsidP="00F1043E">
      <w:pPr>
        <w:pStyle w:val="Heading2"/>
        <w:rPr>
          <w:lang w:val="en-GB"/>
        </w:rPr>
      </w:pPr>
      <w:bookmarkStart w:id="5" w:name="_Toc41370534"/>
      <w:r w:rsidRPr="00610088">
        <w:rPr>
          <w:lang w:val="en-GB"/>
        </w:rPr>
        <w:t>Country profile</w:t>
      </w:r>
      <w:bookmarkEnd w:id="5"/>
    </w:p>
    <w:p w14:paraId="3200F12F" w14:textId="77777777" w:rsidR="00E71579" w:rsidRPr="00610088" w:rsidRDefault="00E71579" w:rsidP="00E71579">
      <w:pPr>
        <w:rPr>
          <w:lang w:val="en-GB"/>
        </w:rPr>
      </w:pPr>
    </w:p>
    <w:p w14:paraId="2C0700C9" w14:textId="6191D5BB" w:rsidR="0057323A" w:rsidRPr="00610088" w:rsidRDefault="0057323A" w:rsidP="005505BF">
      <w:pPr>
        <w:rPr>
          <w:lang w:val="en-GB"/>
        </w:rPr>
      </w:pPr>
      <w:r w:rsidRPr="00610088">
        <w:rPr>
          <w:lang w:val="en-GB"/>
        </w:rPr>
        <w:t>Sierra Leone is a small country on the coast of West Africa bordered by Guinea and Liberia. It has an estimated population in 2019 of 7,901,454 people, of which 59% reside in rural areas and 41.6% are under the age of 15 years. Life expectancy at birth for the period 2015-2020 is estimated to be 48.3 and 50.8 years respectively for males and females.</w:t>
      </w:r>
      <w:bookmarkStart w:id="6" w:name="_Ref16772678"/>
      <w:r w:rsidRPr="00610088">
        <w:rPr>
          <w:rStyle w:val="EndnoteReference"/>
          <w:rFonts w:cs="Calibri"/>
          <w:color w:val="000000" w:themeColor="text1"/>
          <w:lang w:val="en-GB"/>
        </w:rPr>
        <w:endnoteReference w:id="1"/>
      </w:r>
      <w:bookmarkEnd w:id="6"/>
      <w:r w:rsidRPr="00610088">
        <w:rPr>
          <w:noProof/>
          <w:lang w:val="en-GB"/>
        </w:rPr>
        <w:t xml:space="preserve"> </w:t>
      </w:r>
    </w:p>
    <w:p w14:paraId="23B5E20C" w14:textId="77777777" w:rsidR="0057323A" w:rsidRPr="00610088" w:rsidRDefault="0057323A" w:rsidP="005505BF">
      <w:pPr>
        <w:rPr>
          <w:lang w:val="en-GB"/>
        </w:rPr>
      </w:pPr>
    </w:p>
    <w:p w14:paraId="13AD98FA" w14:textId="26056D31" w:rsidR="0057323A" w:rsidRPr="00610088" w:rsidRDefault="0057323A" w:rsidP="005505BF">
      <w:pPr>
        <w:rPr>
          <w:lang w:val="en-GB"/>
        </w:rPr>
      </w:pPr>
      <w:r w:rsidRPr="00610088">
        <w:rPr>
          <w:lang w:val="en-GB"/>
        </w:rPr>
        <w:t xml:space="preserve">Sierra Leone is divided in 4 provinces (Northern, Eastern, Southern, North Western) and 1 Western Area, see. The Western Area contains the capital Freetown. The provinces are divided into in total 16 districts, which are further sub-divided into 190 chiefdoms. </w:t>
      </w:r>
    </w:p>
    <w:p w14:paraId="05D269E8" w14:textId="77777777" w:rsidR="0057323A" w:rsidRPr="00610088" w:rsidRDefault="0057323A" w:rsidP="005505BF">
      <w:pPr>
        <w:rPr>
          <w:lang w:val="en-GB"/>
        </w:rPr>
      </w:pPr>
    </w:p>
    <w:p w14:paraId="74359227" w14:textId="77777777" w:rsidR="0057323A" w:rsidRPr="00610088" w:rsidRDefault="0057323A" w:rsidP="005505BF">
      <w:pPr>
        <w:rPr>
          <w:lang w:val="en-GB"/>
        </w:rPr>
      </w:pPr>
      <w:r w:rsidRPr="00610088">
        <w:rPr>
          <w:lang w:val="en-GB"/>
        </w:rPr>
        <w:t>The official language in Sierra Leone is English. The majority of Sierra Leoneans speak the lingua franca Krio. Next to this there are 14 other local languages. In total there are 15 local ethnic groups, of which the Mende and Temne together compose 63.8% of the population.</w:t>
      </w:r>
      <w:bookmarkStart w:id="7" w:name="_Ref14907376"/>
      <w:r w:rsidRPr="00610088">
        <w:rPr>
          <w:rStyle w:val="EndnoteReference"/>
          <w:rFonts w:cs="Calibri"/>
          <w:color w:val="000000" w:themeColor="text1"/>
          <w:lang w:val="en-GB"/>
        </w:rPr>
        <w:endnoteReference w:id="2"/>
      </w:r>
      <w:bookmarkEnd w:id="7"/>
    </w:p>
    <w:p w14:paraId="4634D273" w14:textId="77777777" w:rsidR="0057323A" w:rsidRPr="00610088" w:rsidRDefault="0057323A" w:rsidP="005505BF">
      <w:pPr>
        <w:rPr>
          <w:lang w:val="en-GB"/>
        </w:rPr>
      </w:pPr>
    </w:p>
    <w:p w14:paraId="737A53C6" w14:textId="77777777" w:rsidR="0057323A" w:rsidRPr="00610088" w:rsidRDefault="0057323A" w:rsidP="005505BF">
      <w:pPr>
        <w:rPr>
          <w:lang w:val="en-GB"/>
        </w:rPr>
      </w:pPr>
      <w:r w:rsidRPr="00610088">
        <w:rPr>
          <w:lang w:val="en-GB"/>
        </w:rPr>
        <w:t xml:space="preserve">Sierra Leone became independent from Britain in 1961. Sierra Leone is a multiparty democratic republic. Sierra Leone is governed at national level by a one house parliament and at local level by the elected local district and city councils and the elected heads of chiefdoms (paramount chiefs). </w:t>
      </w:r>
    </w:p>
    <w:p w14:paraId="36ECD681" w14:textId="77777777" w:rsidR="0057323A" w:rsidRPr="00610088" w:rsidRDefault="0057323A" w:rsidP="005505BF">
      <w:pPr>
        <w:rPr>
          <w:lang w:val="en-GB"/>
        </w:rPr>
      </w:pPr>
    </w:p>
    <w:p w14:paraId="36EDEB34" w14:textId="35EF1650" w:rsidR="0057323A" w:rsidRPr="00610088" w:rsidRDefault="0057323A" w:rsidP="005505BF">
      <w:pPr>
        <w:rPr>
          <w:lang w:val="en-GB"/>
        </w:rPr>
      </w:pPr>
      <w:r w:rsidRPr="00610088">
        <w:rPr>
          <w:lang w:val="en-GB"/>
        </w:rPr>
        <w:t>Sierra Leone scored low on the Human Development and the Gender Inequality indexes: 184</w:t>
      </w:r>
      <w:r w:rsidRPr="00610088">
        <w:rPr>
          <w:vertAlign w:val="superscript"/>
          <w:lang w:val="en-GB"/>
        </w:rPr>
        <w:t xml:space="preserve"> </w:t>
      </w:r>
      <w:r w:rsidRPr="00610088">
        <w:rPr>
          <w:lang w:val="en-GB"/>
        </w:rPr>
        <w:t>and 150 respectively of the 189 countries in 2017</w:t>
      </w:r>
      <w:r w:rsidR="00780675" w:rsidRPr="00610088">
        <w:rPr>
          <w:lang w:val="en-GB"/>
        </w:rPr>
        <w:t xml:space="preserve"> </w:t>
      </w:r>
      <w:r w:rsidRPr="00610088">
        <w:rPr>
          <w:rStyle w:val="EndnoteReference"/>
          <w:rFonts w:cs="Calibri"/>
          <w:color w:val="000000" w:themeColor="text1"/>
          <w:lang w:val="en-GB"/>
        </w:rPr>
        <w:endnoteReference w:id="3"/>
      </w:r>
      <w:r w:rsidRPr="00610088">
        <w:rPr>
          <w:lang w:val="en-GB"/>
        </w:rPr>
        <w:t>. In 2015 51.4% of the population above 10 years was literate, with lower literacy levels in rural areas (37.3% vs urban 69.7%), in females (43.9% vs 59.4% in males), and in older people (15-19 y</w:t>
      </w:r>
      <w:r w:rsidR="000828AC" w:rsidRPr="00610088">
        <w:rPr>
          <w:lang w:val="en-GB"/>
        </w:rPr>
        <w:t>ears</w:t>
      </w:r>
      <w:r w:rsidRPr="00610088">
        <w:rPr>
          <w:lang w:val="en-GB"/>
        </w:rPr>
        <w:t xml:space="preserve"> 70.3% vs 23.9% in 60 years and older).</w:t>
      </w:r>
      <w:r w:rsidRPr="00610088">
        <w:rPr>
          <w:vertAlign w:val="superscript"/>
          <w:lang w:val="en-GB"/>
        </w:rPr>
        <w:fldChar w:fldCharType="begin"/>
      </w:r>
      <w:r w:rsidRPr="00610088">
        <w:rPr>
          <w:vertAlign w:val="superscript"/>
          <w:lang w:val="en-GB"/>
        </w:rPr>
        <w:instrText xml:space="preserve"> NOTEREF _Ref14907376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w:t>
      </w:r>
      <w:r w:rsidRPr="00610088">
        <w:rPr>
          <w:vertAlign w:val="superscript"/>
          <w:lang w:val="en-GB"/>
        </w:rPr>
        <w:fldChar w:fldCharType="end"/>
      </w:r>
      <w:r w:rsidRPr="00610088">
        <w:rPr>
          <w:lang w:val="en-GB"/>
        </w:rPr>
        <w:t xml:space="preserve">  </w:t>
      </w:r>
    </w:p>
    <w:p w14:paraId="606509A6" w14:textId="77777777" w:rsidR="0057323A" w:rsidRPr="00610088" w:rsidRDefault="0057323A" w:rsidP="005505BF">
      <w:pPr>
        <w:rPr>
          <w:lang w:val="en-GB"/>
        </w:rPr>
      </w:pPr>
    </w:p>
    <w:p w14:paraId="1F300464" w14:textId="68993778" w:rsidR="0057323A" w:rsidRPr="00610088" w:rsidRDefault="0057323A" w:rsidP="005505BF">
      <w:pPr>
        <w:rPr>
          <w:lang w:val="en-GB"/>
        </w:rPr>
      </w:pPr>
      <w:r w:rsidRPr="00610088">
        <w:rPr>
          <w:lang w:val="en-GB"/>
        </w:rPr>
        <w:t>Development and economic growth and development have been hampered by a decade long civil war (1991-2002) and in more recent years by emergencies: the Ebola outbreak (2014-2016) and the Freetown landslides (August 2017). This is compounded further by an ongoing 2% population growth. Per capita income is an estimated at 506</w:t>
      </w:r>
      <w:r w:rsidR="00FF2A88">
        <w:rPr>
          <w:lang w:val="en-GB"/>
        </w:rPr>
        <w:t xml:space="preserve"> United States Dollar (USD)</w:t>
      </w:r>
      <w:r w:rsidRPr="00610088">
        <w:rPr>
          <w:lang w:val="en-GB"/>
        </w:rPr>
        <w:t xml:space="preserve"> in 2018, still below the pre-Ebola level of 660 USD.</w:t>
      </w:r>
      <w:bookmarkStart w:id="8" w:name="_Ref14906310"/>
      <w:r w:rsidRPr="00610088">
        <w:rPr>
          <w:rStyle w:val="EndnoteReference"/>
          <w:rFonts w:cs="Calibri"/>
          <w:color w:val="000000" w:themeColor="text1"/>
          <w:lang w:val="en-GB"/>
        </w:rPr>
        <w:endnoteReference w:id="4"/>
      </w:r>
      <w:bookmarkEnd w:id="8"/>
      <w:r w:rsidRPr="00610088">
        <w:rPr>
          <w:lang w:val="en-GB"/>
        </w:rPr>
        <w:t xml:space="preserve"> The provisional poverty rate for 2018 is 56.7% as compared to 53.8% in 2011, with much higher poverty in rural areas (72.2%) than in urban towns (18.4% in Freetown).</w:t>
      </w:r>
      <w:r w:rsidRPr="00610088">
        <w:rPr>
          <w:vertAlign w:val="superscript"/>
          <w:lang w:val="en-GB"/>
        </w:rPr>
        <w:fldChar w:fldCharType="begin"/>
      </w:r>
      <w:r w:rsidRPr="00610088">
        <w:rPr>
          <w:vertAlign w:val="superscript"/>
          <w:lang w:val="en-GB"/>
        </w:rPr>
        <w:instrText xml:space="preserve"> NOTEREF _Ref14906310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4</w:t>
      </w:r>
      <w:r w:rsidRPr="00610088">
        <w:rPr>
          <w:vertAlign w:val="superscript"/>
          <w:lang w:val="en-GB"/>
        </w:rPr>
        <w:fldChar w:fldCharType="end"/>
      </w:r>
      <w:r w:rsidRPr="00610088">
        <w:rPr>
          <w:vertAlign w:val="superscript"/>
          <w:lang w:val="en-GB"/>
        </w:rPr>
        <w:t>,</w:t>
      </w:r>
      <w:r w:rsidRPr="00610088">
        <w:rPr>
          <w:rStyle w:val="EndnoteReference"/>
          <w:rFonts w:cs="Calibri"/>
          <w:color w:val="000000" w:themeColor="text1"/>
          <w:lang w:val="en-GB"/>
        </w:rPr>
        <w:endnoteReference w:id="5"/>
      </w:r>
      <w:r w:rsidRPr="00610088">
        <w:rPr>
          <w:lang w:val="en-GB"/>
        </w:rPr>
        <w:t xml:space="preserve"> Agriculture was the biggest contributor (50%) to the Gross Domestic product</w:t>
      </w:r>
      <w:r w:rsidR="00780675" w:rsidRPr="00610088">
        <w:rPr>
          <w:lang w:val="en-GB"/>
        </w:rPr>
        <w:t xml:space="preserve"> (GDP)</w:t>
      </w:r>
      <w:r w:rsidRPr="00610088">
        <w:rPr>
          <w:lang w:val="en-GB"/>
        </w:rPr>
        <w:t xml:space="preserve"> for the period 2017, followed by services (such as retail trade, transport, banking, education and hotels and restaurant, 36%) and industries (Mining, manufacturing, utilities and construction, 9.7%) and.</w:t>
      </w:r>
      <w:r w:rsidRPr="00610088">
        <w:rPr>
          <w:rStyle w:val="EndnoteReference"/>
          <w:rFonts w:cs="Calibri"/>
          <w:color w:val="000000" w:themeColor="text1"/>
          <w:lang w:val="en-GB"/>
        </w:rPr>
        <w:endnoteReference w:id="6"/>
      </w:r>
      <w:r w:rsidRPr="00610088">
        <w:rPr>
          <w:lang w:val="en-GB"/>
        </w:rPr>
        <w:t xml:space="preserve"> The GDP share of industry reduced from 29.8% in 2014 to 9.3% in 2017 due to fluctuations in the outputs of iron ore and diamond mining. </w:t>
      </w:r>
    </w:p>
    <w:p w14:paraId="10253710" w14:textId="510C7607" w:rsidR="0057323A" w:rsidRPr="00610088" w:rsidRDefault="0057323A" w:rsidP="005505BF">
      <w:pPr>
        <w:rPr>
          <w:vertAlign w:val="superscript"/>
          <w:lang w:val="en-GB"/>
        </w:rPr>
      </w:pPr>
      <w:r w:rsidRPr="00610088">
        <w:rPr>
          <w:lang w:val="en-GB"/>
        </w:rPr>
        <w:t>62% of the people above 15 years in Sierra Leone are economically active, with only 2.7% of the population indicating that they were unemployed in 2015. Only a small part (10.5%) of Sierra Leonean employees were paid employees, the vast majority are self-employed (82.7%), with remaining small numbers as (un)paid apprentices or unpaid family workers.</w:t>
      </w:r>
      <w:r w:rsidRPr="00610088">
        <w:rPr>
          <w:vertAlign w:val="superscript"/>
          <w:lang w:val="en-GB"/>
        </w:rPr>
        <w:fldChar w:fldCharType="begin"/>
      </w:r>
      <w:r w:rsidRPr="00610088">
        <w:rPr>
          <w:vertAlign w:val="superscript"/>
          <w:lang w:val="en-GB"/>
        </w:rPr>
        <w:instrText xml:space="preserve"> NOTEREF _Ref14907376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w:t>
      </w:r>
      <w:r w:rsidRPr="00610088">
        <w:rPr>
          <w:vertAlign w:val="superscript"/>
          <w:lang w:val="en-GB"/>
        </w:rPr>
        <w:fldChar w:fldCharType="end"/>
      </w:r>
    </w:p>
    <w:p w14:paraId="7EBE2644" w14:textId="77777777" w:rsidR="0057323A" w:rsidRPr="00610088" w:rsidRDefault="0057323A" w:rsidP="005505BF">
      <w:pPr>
        <w:rPr>
          <w:vertAlign w:val="superscript"/>
          <w:lang w:val="en-GB"/>
        </w:rPr>
      </w:pPr>
    </w:p>
    <w:p w14:paraId="5FCF0D84" w14:textId="7542C62F" w:rsidR="0057323A" w:rsidRPr="00610088" w:rsidRDefault="0057323A" w:rsidP="005505BF">
      <w:pPr>
        <w:rPr>
          <w:lang w:val="en-GB"/>
        </w:rPr>
      </w:pPr>
      <w:r w:rsidRPr="00610088">
        <w:rPr>
          <w:lang w:val="en-GB"/>
        </w:rPr>
        <w:t>The Multiple Indicator Cluster Survey of 2017 (MICS 2017</w:t>
      </w:r>
      <w:bookmarkStart w:id="9" w:name="_Ref16853648"/>
      <w:r w:rsidR="00780675" w:rsidRPr="00610088">
        <w:rPr>
          <w:lang w:val="en-GB"/>
        </w:rPr>
        <w:t xml:space="preserve">) </w:t>
      </w:r>
      <w:bookmarkStart w:id="10" w:name="_Ref17613464"/>
      <w:r w:rsidRPr="00610088">
        <w:rPr>
          <w:rStyle w:val="EndnoteReference"/>
          <w:lang w:val="en-GB"/>
        </w:rPr>
        <w:endnoteReference w:id="7"/>
      </w:r>
      <w:bookmarkEnd w:id="9"/>
      <w:bookmarkEnd w:id="10"/>
      <w:r w:rsidRPr="00610088">
        <w:rPr>
          <w:lang w:val="en-GB"/>
        </w:rPr>
        <w:t xml:space="preserve"> shows that 23.0% of the members in households surveyed had access to electricity. Exposure to mass media (defined as at least once a week reading a newspaper or magazine, listening to the radio or watching television) among people aged 15-49 years is limited: 2.8% for women and 7.4% for men. Household telephone (mobile or fixed line), radio, television and computer ownership </w:t>
      </w:r>
      <w:proofErr w:type="gramStart"/>
      <w:r w:rsidRPr="00610088">
        <w:rPr>
          <w:lang w:val="en-GB"/>
        </w:rPr>
        <w:t>is</w:t>
      </w:r>
      <w:proofErr w:type="gramEnd"/>
      <w:r w:rsidRPr="00610088">
        <w:rPr>
          <w:lang w:val="en-GB"/>
        </w:rPr>
        <w:t xml:space="preserve"> respectively 71.5%, 54.7%, 18.2% and 5.7%.  Although more men than women (64.8% versus 45.2%) own a mobile phone, mobile phone use is higher among 15-19-year women than men (61.4% versus 47.4%). Use of internet in the last 3 months is still relatively low: 7.5% of women and 10.6% of men. </w:t>
      </w:r>
    </w:p>
    <w:p w14:paraId="254662E3" w14:textId="69315EA8" w:rsidR="0057323A" w:rsidRPr="00610088" w:rsidRDefault="0057323A" w:rsidP="005505BF">
      <w:pPr>
        <w:rPr>
          <w:lang w:val="en-GB"/>
        </w:rPr>
      </w:pPr>
    </w:p>
    <w:p w14:paraId="260930EB" w14:textId="49A671B3" w:rsidR="00E71579" w:rsidRPr="00610088" w:rsidRDefault="00E71579" w:rsidP="005505BF">
      <w:pPr>
        <w:rPr>
          <w:lang w:val="en-GB"/>
        </w:rPr>
      </w:pPr>
    </w:p>
    <w:p w14:paraId="1164C110" w14:textId="77777777" w:rsidR="00E71579" w:rsidRPr="00610088" w:rsidRDefault="00E71579" w:rsidP="005505BF">
      <w:pPr>
        <w:rPr>
          <w:lang w:val="en-GB"/>
        </w:rPr>
      </w:pPr>
    </w:p>
    <w:p w14:paraId="0535EC0B" w14:textId="4D102BBB" w:rsidR="0057323A" w:rsidRDefault="000828AC" w:rsidP="000828AC">
      <w:pPr>
        <w:pStyle w:val="Heading2"/>
        <w:rPr>
          <w:lang w:val="en-GB"/>
        </w:rPr>
      </w:pPr>
      <w:bookmarkStart w:id="11" w:name="_Toc41370535"/>
      <w:r w:rsidRPr="00610088">
        <w:rPr>
          <w:lang w:val="en-GB"/>
        </w:rPr>
        <w:lastRenderedPageBreak/>
        <w:t>Key health indicators</w:t>
      </w:r>
      <w:bookmarkEnd w:id="11"/>
      <w:r w:rsidR="0057323A" w:rsidRPr="00610088">
        <w:rPr>
          <w:lang w:val="en-GB"/>
        </w:rPr>
        <w:t xml:space="preserve"> </w:t>
      </w:r>
    </w:p>
    <w:p w14:paraId="006A8991" w14:textId="77777777" w:rsidR="005505BF" w:rsidRPr="005505BF" w:rsidRDefault="005505BF" w:rsidP="005505BF">
      <w:pPr>
        <w:rPr>
          <w:lang w:val="en-GB"/>
        </w:rPr>
      </w:pPr>
    </w:p>
    <w:p w14:paraId="35FA375F" w14:textId="15AB181A" w:rsidR="000828AC" w:rsidRPr="00610088" w:rsidRDefault="00B26C4F" w:rsidP="005505BF">
      <w:pPr>
        <w:rPr>
          <w:lang w:val="en-GB"/>
        </w:rPr>
      </w:pPr>
      <w:r w:rsidRPr="00610088">
        <w:rPr>
          <w:lang w:val="en-GB"/>
        </w:rPr>
        <w:t xml:space="preserve">The selected key health </w:t>
      </w:r>
      <w:r w:rsidRPr="00DC67A7">
        <w:rPr>
          <w:color w:val="000000" w:themeColor="text1"/>
          <w:lang w:val="en-GB"/>
        </w:rPr>
        <w:t xml:space="preserve">indicators in </w:t>
      </w:r>
      <w:r w:rsidR="00DC67A7" w:rsidRPr="005505BF">
        <w:rPr>
          <w:color w:val="000000" w:themeColor="text1"/>
          <w:lang w:val="en-GB"/>
        </w:rPr>
        <w:fldChar w:fldCharType="begin"/>
      </w:r>
      <w:r w:rsidR="00DC67A7" w:rsidRPr="005505BF">
        <w:rPr>
          <w:color w:val="000000" w:themeColor="text1"/>
          <w:lang w:val="en-GB"/>
        </w:rPr>
        <w:instrText xml:space="preserve"> REF _Ref34577262 \h </w:instrText>
      </w:r>
      <w:r w:rsidR="005505BF" w:rsidRPr="005505BF">
        <w:rPr>
          <w:color w:val="000000" w:themeColor="text1"/>
          <w:lang w:val="en-GB"/>
        </w:rPr>
        <w:instrText xml:space="preserve"> \* MERGEFORMAT </w:instrText>
      </w:r>
      <w:r w:rsidR="00DC67A7" w:rsidRPr="005505BF">
        <w:rPr>
          <w:color w:val="000000" w:themeColor="text1"/>
          <w:lang w:val="en-GB"/>
        </w:rPr>
      </w:r>
      <w:r w:rsidR="00DC67A7" w:rsidRPr="005505BF">
        <w:rPr>
          <w:color w:val="000000" w:themeColor="text1"/>
          <w:lang w:val="en-GB"/>
        </w:rPr>
        <w:fldChar w:fldCharType="separate"/>
      </w:r>
      <w:r w:rsidR="00CB360C" w:rsidRPr="00CB360C">
        <w:rPr>
          <w:color w:val="000000" w:themeColor="text1"/>
          <w:sz w:val="20"/>
          <w:szCs w:val="20"/>
          <w:lang w:val="en-GB"/>
        </w:rPr>
        <w:t xml:space="preserve">Table </w:t>
      </w:r>
      <w:r w:rsidR="00CB360C" w:rsidRPr="00CB360C">
        <w:rPr>
          <w:noProof/>
          <w:color w:val="000000" w:themeColor="text1"/>
          <w:sz w:val="20"/>
          <w:szCs w:val="20"/>
          <w:lang w:val="en-GB"/>
        </w:rPr>
        <w:t>1</w:t>
      </w:r>
      <w:r w:rsidR="00DC67A7" w:rsidRPr="005505BF">
        <w:rPr>
          <w:color w:val="000000" w:themeColor="text1"/>
          <w:lang w:val="en-GB"/>
        </w:rPr>
        <w:fldChar w:fldCharType="end"/>
      </w:r>
      <w:r w:rsidRPr="005505BF">
        <w:rPr>
          <w:color w:val="000000" w:themeColor="text1"/>
          <w:lang w:val="en-GB"/>
        </w:rPr>
        <w:t xml:space="preserve"> show </w:t>
      </w:r>
      <w:r w:rsidRPr="00610088">
        <w:rPr>
          <w:lang w:val="en-GB"/>
        </w:rPr>
        <w:t xml:space="preserve">that Sierra Leone remains a country with high mortality and fertility rates and significant morbidity from preventable causes like malaria and malnutrition also due to considerable disease risk factor levels. There are relatively low health service coverage rates combined with a high out of pocket health expenditure. Please note the full results of the </w:t>
      </w:r>
      <w:r w:rsidR="002B6A70">
        <w:rPr>
          <w:lang w:val="en-GB"/>
        </w:rPr>
        <w:t>Demographic Health Survey (</w:t>
      </w:r>
      <w:r w:rsidRPr="00610088">
        <w:rPr>
          <w:lang w:val="en-GB"/>
        </w:rPr>
        <w:t>DHS</w:t>
      </w:r>
      <w:r w:rsidR="002B6A70">
        <w:rPr>
          <w:lang w:val="en-GB"/>
        </w:rPr>
        <w:t>)</w:t>
      </w:r>
      <w:r w:rsidRPr="00610088">
        <w:rPr>
          <w:lang w:val="en-GB"/>
        </w:rPr>
        <w:t xml:space="preserve"> 2019 </w:t>
      </w:r>
      <w:r w:rsidRPr="002B6A70">
        <w:rPr>
          <w:vertAlign w:val="superscript"/>
          <w:lang w:val="en-GB"/>
        </w:rPr>
        <w:fldChar w:fldCharType="begin"/>
      </w:r>
      <w:r w:rsidRPr="002B6A70">
        <w:rPr>
          <w:vertAlign w:val="superscript"/>
          <w:lang w:val="en-GB"/>
        </w:rPr>
        <w:instrText xml:space="preserve"> NOTEREF _Ref32406910 \h  \* MERGEFORMAT </w:instrText>
      </w:r>
      <w:r w:rsidRPr="002B6A70">
        <w:rPr>
          <w:vertAlign w:val="superscript"/>
          <w:lang w:val="en-GB"/>
        </w:rPr>
      </w:r>
      <w:r w:rsidRPr="002B6A70">
        <w:rPr>
          <w:vertAlign w:val="superscript"/>
          <w:lang w:val="en-GB"/>
        </w:rPr>
        <w:fldChar w:fldCharType="separate"/>
      </w:r>
      <w:r w:rsidR="00CB360C">
        <w:rPr>
          <w:vertAlign w:val="superscript"/>
          <w:lang w:val="en-GB"/>
        </w:rPr>
        <w:t>9</w:t>
      </w:r>
      <w:r w:rsidRPr="002B6A70">
        <w:rPr>
          <w:vertAlign w:val="superscript"/>
          <w:lang w:val="en-GB"/>
        </w:rPr>
        <w:fldChar w:fldCharType="end"/>
      </w:r>
      <w:r w:rsidRPr="00610088">
        <w:rPr>
          <w:lang w:val="en-GB"/>
        </w:rPr>
        <w:t xml:space="preserve"> were not out at the time of developing this table.</w:t>
      </w:r>
    </w:p>
    <w:p w14:paraId="2BEDC583" w14:textId="77777777" w:rsidR="00E71579" w:rsidRPr="00610088" w:rsidRDefault="00E71579" w:rsidP="005505BF">
      <w:pPr>
        <w:rPr>
          <w:b/>
          <w:bCs/>
          <w:color w:val="4472C4" w:themeColor="accent1"/>
          <w:sz w:val="20"/>
          <w:szCs w:val="20"/>
          <w:lang w:val="en-GB"/>
        </w:rPr>
      </w:pPr>
      <w:bookmarkStart w:id="12" w:name="_Ref17018449"/>
    </w:p>
    <w:p w14:paraId="00AD158D" w14:textId="2FE1A9AA" w:rsidR="0057323A" w:rsidRPr="00F0634E" w:rsidRDefault="0057323A" w:rsidP="0057323A">
      <w:pPr>
        <w:pStyle w:val="NoSpacing"/>
        <w:rPr>
          <w:color w:val="4472C4" w:themeColor="accent1"/>
          <w:sz w:val="20"/>
          <w:szCs w:val="20"/>
          <w:lang w:val="en-GB"/>
        </w:rPr>
      </w:pPr>
      <w:bookmarkStart w:id="13" w:name="_Ref34577262"/>
      <w:bookmarkStart w:id="14" w:name="_Toc34804979"/>
      <w:r w:rsidRPr="00F0634E">
        <w:rPr>
          <w:color w:val="4472C4" w:themeColor="accent1"/>
          <w:sz w:val="20"/>
          <w:szCs w:val="20"/>
          <w:lang w:val="en-GB"/>
        </w:rPr>
        <w:t xml:space="preserve">Table </w:t>
      </w:r>
      <w:r w:rsidRPr="00F0634E">
        <w:rPr>
          <w:color w:val="4472C4" w:themeColor="accent1"/>
          <w:sz w:val="20"/>
          <w:szCs w:val="20"/>
          <w:lang w:val="en-GB"/>
        </w:rPr>
        <w:fldChar w:fldCharType="begin"/>
      </w:r>
      <w:r w:rsidRPr="00F0634E">
        <w:rPr>
          <w:color w:val="4472C4" w:themeColor="accent1"/>
          <w:sz w:val="20"/>
          <w:szCs w:val="20"/>
          <w:lang w:val="en-GB"/>
        </w:rPr>
        <w:instrText xml:space="preserve"> SEQ Table \* ARABIC </w:instrText>
      </w:r>
      <w:r w:rsidRPr="00F0634E">
        <w:rPr>
          <w:color w:val="4472C4" w:themeColor="accent1"/>
          <w:sz w:val="20"/>
          <w:szCs w:val="20"/>
          <w:lang w:val="en-GB"/>
        </w:rPr>
        <w:fldChar w:fldCharType="separate"/>
      </w:r>
      <w:r w:rsidR="00CB360C">
        <w:rPr>
          <w:noProof/>
          <w:color w:val="4472C4" w:themeColor="accent1"/>
          <w:sz w:val="20"/>
          <w:szCs w:val="20"/>
          <w:lang w:val="en-GB"/>
        </w:rPr>
        <w:t>1</w:t>
      </w:r>
      <w:r w:rsidRPr="00F0634E">
        <w:rPr>
          <w:color w:val="4472C4" w:themeColor="accent1"/>
          <w:sz w:val="20"/>
          <w:szCs w:val="20"/>
          <w:lang w:val="en-GB"/>
        </w:rPr>
        <w:fldChar w:fldCharType="end"/>
      </w:r>
      <w:bookmarkEnd w:id="12"/>
      <w:bookmarkEnd w:id="13"/>
      <w:r w:rsidR="008C5B62" w:rsidRPr="00F0634E">
        <w:rPr>
          <w:color w:val="4472C4" w:themeColor="accent1"/>
          <w:sz w:val="20"/>
          <w:szCs w:val="20"/>
          <w:lang w:val="en-GB"/>
        </w:rPr>
        <w:t xml:space="preserve">:  </w:t>
      </w:r>
      <w:r w:rsidR="001A662F" w:rsidRPr="00F0634E">
        <w:rPr>
          <w:color w:val="4472C4" w:themeColor="accent1"/>
          <w:sz w:val="20"/>
          <w:szCs w:val="20"/>
          <w:lang w:val="en-GB"/>
        </w:rPr>
        <w:t xml:space="preserve">Selected </w:t>
      </w:r>
      <w:r w:rsidRPr="00F0634E">
        <w:rPr>
          <w:color w:val="4472C4" w:themeColor="accent1"/>
          <w:sz w:val="20"/>
          <w:szCs w:val="20"/>
          <w:lang w:val="en-GB"/>
        </w:rPr>
        <w:t>Key Health indicators, Sierra Leone</w:t>
      </w:r>
      <w:bookmarkEnd w:id="14"/>
      <w:r w:rsidRPr="00F0634E">
        <w:rPr>
          <w:color w:val="4472C4" w:themeColor="accent1"/>
          <w:sz w:val="20"/>
          <w:szCs w:val="20"/>
          <w:lang w:val="en-GB"/>
        </w:rPr>
        <w:t xml:space="preserve"> </w:t>
      </w:r>
    </w:p>
    <w:tbl>
      <w:tblPr>
        <w:tblStyle w:val="GridTable4-Accent1"/>
        <w:tblW w:w="9776" w:type="dxa"/>
        <w:tblLook w:val="04A0" w:firstRow="1" w:lastRow="0" w:firstColumn="1" w:lastColumn="0" w:noHBand="0" w:noVBand="1"/>
      </w:tblPr>
      <w:tblGrid>
        <w:gridCol w:w="435"/>
        <w:gridCol w:w="5291"/>
        <w:gridCol w:w="2092"/>
        <w:gridCol w:w="1958"/>
      </w:tblGrid>
      <w:tr w:rsidR="00C03C67" w:rsidRPr="00610088" w14:paraId="1D40991E" w14:textId="77777777" w:rsidTr="00E71579">
        <w:trPr>
          <w:cnfStyle w:val="100000000000" w:firstRow="1" w:lastRow="0" w:firstColumn="0" w:lastColumn="0" w:oddVBand="0" w:evenVBand="0" w:oddHBand="0" w:evenHBand="0" w:firstRowFirstColumn="0" w:firstRowLastColumn="0" w:lastRowFirstColumn="0" w:lastRowLastColumn="0"/>
          <w:cantSplit/>
          <w:trHeight w:val="277"/>
          <w:tblHeader/>
        </w:trPr>
        <w:tc>
          <w:tcPr>
            <w:cnfStyle w:val="001000000000" w:firstRow="0" w:lastRow="0" w:firstColumn="1" w:lastColumn="0" w:oddVBand="0" w:evenVBand="0" w:oddHBand="0" w:evenHBand="0" w:firstRowFirstColumn="0" w:firstRowLastColumn="0" w:lastRowFirstColumn="0" w:lastRowLastColumn="0"/>
            <w:tcW w:w="5665" w:type="dxa"/>
            <w:gridSpan w:val="2"/>
            <w:vAlign w:val="center"/>
          </w:tcPr>
          <w:p w14:paraId="0B207481" w14:textId="688D1DED" w:rsidR="002E0C12" w:rsidRPr="00610088" w:rsidRDefault="002E0C12" w:rsidP="002E0C12">
            <w:pPr>
              <w:pStyle w:val="NoSpacing"/>
              <w:jc w:val="center"/>
              <w:rPr>
                <w:rFonts w:ascii="Arial Narrow" w:hAnsi="Arial Narrow"/>
                <w:b w:val="0"/>
                <w:bCs w:val="0"/>
                <w:sz w:val="18"/>
                <w:szCs w:val="18"/>
                <w:lang w:val="en-GB"/>
              </w:rPr>
            </w:pPr>
            <w:r w:rsidRPr="00610088">
              <w:rPr>
                <w:rFonts w:ascii="Arial Narrow" w:hAnsi="Arial Narrow"/>
                <w:b w:val="0"/>
                <w:bCs w:val="0"/>
                <w:sz w:val="18"/>
                <w:szCs w:val="18"/>
                <w:lang w:val="en-GB"/>
              </w:rPr>
              <w:t>Indicator</w:t>
            </w:r>
          </w:p>
        </w:tc>
        <w:tc>
          <w:tcPr>
            <w:tcW w:w="2127" w:type="dxa"/>
            <w:vAlign w:val="center"/>
          </w:tcPr>
          <w:p w14:paraId="772227C4" w14:textId="77777777" w:rsidR="002E0C12" w:rsidRPr="00610088" w:rsidRDefault="002E0C12" w:rsidP="002E0C12">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lang w:val="en-GB"/>
              </w:rPr>
            </w:pPr>
            <w:r w:rsidRPr="00610088">
              <w:rPr>
                <w:rFonts w:ascii="Arial Narrow" w:hAnsi="Arial Narrow"/>
                <w:b w:val="0"/>
                <w:bCs w:val="0"/>
                <w:sz w:val="18"/>
                <w:szCs w:val="18"/>
                <w:lang w:val="en-GB"/>
              </w:rPr>
              <w:t>Value</w:t>
            </w:r>
          </w:p>
        </w:tc>
        <w:tc>
          <w:tcPr>
            <w:tcW w:w="1984" w:type="dxa"/>
            <w:vAlign w:val="center"/>
          </w:tcPr>
          <w:p w14:paraId="745C8AAA" w14:textId="77777777" w:rsidR="002E0C12" w:rsidRPr="00610088" w:rsidRDefault="002E0C12" w:rsidP="002E0C12">
            <w:pPr>
              <w:pStyle w:val="No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18"/>
                <w:szCs w:val="18"/>
                <w:lang w:val="en-GB"/>
              </w:rPr>
            </w:pPr>
            <w:r w:rsidRPr="00610088">
              <w:rPr>
                <w:rFonts w:ascii="Arial Narrow" w:hAnsi="Arial Narrow"/>
                <w:b w:val="0"/>
                <w:bCs w:val="0"/>
                <w:sz w:val="18"/>
                <w:szCs w:val="18"/>
                <w:lang w:val="en-GB"/>
              </w:rPr>
              <w:t>Source - Year</w:t>
            </w:r>
          </w:p>
        </w:tc>
      </w:tr>
      <w:tr w:rsidR="00C03C67" w:rsidRPr="00610088" w14:paraId="11FFF4B8"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val="restart"/>
            <w:shd w:val="clear" w:color="auto" w:fill="4472C4" w:themeFill="accent1"/>
            <w:textDirection w:val="btLr"/>
          </w:tcPr>
          <w:p w14:paraId="6018814A" w14:textId="4E4B9A19" w:rsidR="000828AC" w:rsidRPr="00610088" w:rsidRDefault="000828AC" w:rsidP="000828AC">
            <w:pPr>
              <w:ind w:left="113" w:right="113"/>
              <w:jc w:val="center"/>
              <w:rPr>
                <w:rFonts w:ascii="Arial Narrow" w:hAnsi="Arial Narrow"/>
                <w:b w:val="0"/>
                <w:bCs w:val="0"/>
                <w:color w:val="000000"/>
                <w:sz w:val="18"/>
                <w:szCs w:val="18"/>
                <w:lang w:val="en-GB"/>
              </w:rPr>
            </w:pPr>
            <w:r w:rsidRPr="00610088">
              <w:rPr>
                <w:rFonts w:ascii="Arial Narrow" w:hAnsi="Arial Narrow"/>
                <w:b w:val="0"/>
                <w:bCs w:val="0"/>
                <w:color w:val="FFFFFF" w:themeColor="background1"/>
                <w:sz w:val="18"/>
                <w:szCs w:val="18"/>
                <w:lang w:val="en-GB"/>
              </w:rPr>
              <w:t>Health Status</w:t>
            </w:r>
          </w:p>
        </w:tc>
        <w:tc>
          <w:tcPr>
            <w:tcW w:w="5386" w:type="dxa"/>
            <w:shd w:val="clear" w:color="auto" w:fill="FFFFFF" w:themeFill="background1"/>
          </w:tcPr>
          <w:p w14:paraId="523EC307" w14:textId="14717815"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Mortality</w:t>
            </w:r>
          </w:p>
        </w:tc>
        <w:tc>
          <w:tcPr>
            <w:tcW w:w="2127" w:type="dxa"/>
            <w:shd w:val="clear" w:color="auto" w:fill="FFFFFF" w:themeFill="background1"/>
          </w:tcPr>
          <w:p w14:paraId="4CCCC70C"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66FCF997"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070FFABF"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4A14A275"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235BE8AC" w14:textId="2724CE8C"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Life expectancy at birth for the period 2015-2020 (in years)</w:t>
            </w:r>
          </w:p>
        </w:tc>
        <w:tc>
          <w:tcPr>
            <w:tcW w:w="2127" w:type="dxa"/>
            <w:shd w:val="clear" w:color="auto" w:fill="FFFFFF" w:themeFill="background1"/>
          </w:tcPr>
          <w:p w14:paraId="17F9E04F"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 48.3, F 50.8</w:t>
            </w:r>
          </w:p>
        </w:tc>
        <w:tc>
          <w:tcPr>
            <w:tcW w:w="1984" w:type="dxa"/>
            <w:shd w:val="clear" w:color="auto" w:fill="FFFFFF" w:themeFill="background1"/>
          </w:tcPr>
          <w:p w14:paraId="681EF7A9" w14:textId="21CCCB4E"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Census 2015 (projected)</w:t>
            </w:r>
            <w:r w:rsidR="00813E11" w:rsidRPr="00610088">
              <w:rPr>
                <w:rFonts w:ascii="Arial Narrow" w:hAnsi="Arial Narrow"/>
                <w:color w:val="000000"/>
                <w:sz w:val="18"/>
                <w:szCs w:val="18"/>
                <w:lang w:val="en-GB"/>
              </w:rPr>
              <w:t xml:space="preserve"> </w:t>
            </w:r>
            <w:r w:rsidR="001A662F" w:rsidRPr="00610088">
              <w:rPr>
                <w:rFonts w:ascii="Arial Narrow" w:hAnsi="Arial Narrow"/>
                <w:color w:val="000000"/>
                <w:sz w:val="18"/>
                <w:szCs w:val="18"/>
                <w:vertAlign w:val="superscript"/>
                <w:lang w:val="en-GB"/>
              </w:rPr>
              <w:fldChar w:fldCharType="begin"/>
            </w:r>
            <w:r w:rsidR="001A662F" w:rsidRPr="00610088">
              <w:rPr>
                <w:rFonts w:ascii="Arial Narrow" w:hAnsi="Arial Narrow"/>
                <w:color w:val="000000"/>
                <w:sz w:val="18"/>
                <w:szCs w:val="18"/>
                <w:vertAlign w:val="superscript"/>
                <w:lang w:val="en-GB"/>
              </w:rPr>
              <w:instrText xml:space="preserve"> NOTEREF _Ref16772678 \h  \* MERGEFORMAT </w:instrText>
            </w:r>
            <w:r w:rsidR="001A662F" w:rsidRPr="00610088">
              <w:rPr>
                <w:rFonts w:ascii="Arial Narrow" w:hAnsi="Arial Narrow"/>
                <w:color w:val="000000"/>
                <w:sz w:val="18"/>
                <w:szCs w:val="18"/>
                <w:vertAlign w:val="superscript"/>
                <w:lang w:val="en-GB"/>
              </w:rPr>
            </w:r>
            <w:r w:rsidR="001A662F" w:rsidRPr="00610088">
              <w:rPr>
                <w:rFonts w:ascii="Arial Narrow" w:hAnsi="Arial Narrow"/>
                <w:color w:val="000000"/>
                <w:sz w:val="18"/>
                <w:szCs w:val="18"/>
                <w:vertAlign w:val="superscript"/>
                <w:lang w:val="en-GB"/>
              </w:rPr>
              <w:fldChar w:fldCharType="separate"/>
            </w:r>
            <w:r w:rsidR="00CB360C">
              <w:rPr>
                <w:rFonts w:ascii="Arial Narrow" w:hAnsi="Arial Narrow"/>
                <w:color w:val="000000"/>
                <w:sz w:val="18"/>
                <w:szCs w:val="18"/>
                <w:vertAlign w:val="superscript"/>
                <w:lang w:val="en-GB"/>
              </w:rPr>
              <w:t>1</w:t>
            </w:r>
            <w:r w:rsidR="001A662F" w:rsidRPr="00610088">
              <w:rPr>
                <w:rFonts w:ascii="Arial Narrow" w:hAnsi="Arial Narrow"/>
                <w:color w:val="000000"/>
                <w:sz w:val="18"/>
                <w:szCs w:val="18"/>
                <w:vertAlign w:val="superscript"/>
                <w:lang w:val="en-GB"/>
              </w:rPr>
              <w:fldChar w:fldCharType="end"/>
            </w:r>
          </w:p>
        </w:tc>
      </w:tr>
      <w:tr w:rsidR="00C03C67" w:rsidRPr="00610088" w14:paraId="7570D7E5"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3A603A72"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0B131787" w14:textId="14A934EE"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Maternal mortality ratio (per 100,000 women)</w:t>
            </w:r>
          </w:p>
        </w:tc>
        <w:tc>
          <w:tcPr>
            <w:tcW w:w="2127" w:type="dxa"/>
            <w:shd w:val="clear" w:color="auto" w:fill="FFFFFF" w:themeFill="background1"/>
          </w:tcPr>
          <w:p w14:paraId="767A5AF9"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1165</w:t>
            </w:r>
          </w:p>
        </w:tc>
        <w:tc>
          <w:tcPr>
            <w:tcW w:w="1984" w:type="dxa"/>
            <w:shd w:val="clear" w:color="auto" w:fill="FFFFFF" w:themeFill="background1"/>
          </w:tcPr>
          <w:p w14:paraId="4F0106DB" w14:textId="392FA371"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2013</w:t>
            </w:r>
            <w:r w:rsidR="00813E11" w:rsidRPr="00610088">
              <w:rPr>
                <w:rFonts w:ascii="Arial Narrow" w:hAnsi="Arial Narrow"/>
                <w:color w:val="000000"/>
                <w:sz w:val="18"/>
                <w:szCs w:val="18"/>
                <w:lang w:val="en-GB"/>
              </w:rPr>
              <w:t xml:space="preserve"> </w:t>
            </w:r>
            <w:bookmarkStart w:id="15" w:name="_Ref17298289"/>
            <w:r w:rsidR="001A662F" w:rsidRPr="00610088">
              <w:rPr>
                <w:rStyle w:val="EndnoteReference"/>
                <w:rFonts w:ascii="Arial Narrow" w:hAnsi="Arial Narrow"/>
                <w:color w:val="000000"/>
                <w:sz w:val="18"/>
                <w:szCs w:val="18"/>
                <w:lang w:val="en-GB"/>
              </w:rPr>
              <w:endnoteReference w:id="8"/>
            </w:r>
            <w:bookmarkEnd w:id="15"/>
          </w:p>
        </w:tc>
      </w:tr>
      <w:tr w:rsidR="00C03C67" w:rsidRPr="00610088" w14:paraId="30A9D586"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0AA52540"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05177251" w14:textId="18AEF2CB"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Under-5 mortality ratio (per 1,000 children)</w:t>
            </w:r>
          </w:p>
        </w:tc>
        <w:tc>
          <w:tcPr>
            <w:tcW w:w="2127" w:type="dxa"/>
            <w:shd w:val="clear" w:color="auto" w:fill="FFFFFF" w:themeFill="background1"/>
          </w:tcPr>
          <w:p w14:paraId="6F89464B" w14:textId="7F6FC73B" w:rsidR="000828AC" w:rsidRPr="00610088" w:rsidRDefault="00E71579"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122</w:t>
            </w:r>
          </w:p>
        </w:tc>
        <w:tc>
          <w:tcPr>
            <w:tcW w:w="1984" w:type="dxa"/>
            <w:shd w:val="clear" w:color="auto" w:fill="FFFFFF" w:themeFill="background1"/>
          </w:tcPr>
          <w:p w14:paraId="005AA648" w14:textId="0317CF4F" w:rsidR="000828AC" w:rsidRPr="00610088" w:rsidRDefault="00E71579"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r w:rsidR="00813E11" w:rsidRPr="00610088">
              <w:rPr>
                <w:rFonts w:ascii="Arial Narrow" w:hAnsi="Arial Narrow"/>
                <w:color w:val="000000"/>
                <w:sz w:val="18"/>
                <w:szCs w:val="18"/>
                <w:lang w:val="en-GB"/>
              </w:rPr>
              <w:t xml:space="preserve"> </w:t>
            </w:r>
            <w:bookmarkStart w:id="16" w:name="_Ref32406910"/>
            <w:r w:rsidRPr="00610088">
              <w:rPr>
                <w:rStyle w:val="EndnoteReference"/>
                <w:rFonts w:ascii="Arial Narrow" w:hAnsi="Arial Narrow"/>
                <w:color w:val="000000"/>
                <w:sz w:val="18"/>
                <w:szCs w:val="18"/>
                <w:lang w:val="en-GB"/>
              </w:rPr>
              <w:endnoteReference w:id="9"/>
            </w:r>
            <w:bookmarkEnd w:id="16"/>
          </w:p>
        </w:tc>
      </w:tr>
      <w:tr w:rsidR="00C03C67" w:rsidRPr="00610088" w14:paraId="40E3138B"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229D92BD"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7E714673" w14:textId="7C92B102"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Neonatal mortality ratio (per 1,000 neonates)</w:t>
            </w:r>
          </w:p>
        </w:tc>
        <w:tc>
          <w:tcPr>
            <w:tcW w:w="2127" w:type="dxa"/>
            <w:shd w:val="clear" w:color="auto" w:fill="FFFFFF" w:themeFill="background1"/>
          </w:tcPr>
          <w:p w14:paraId="5AA8B106" w14:textId="2006682D" w:rsidR="000828AC" w:rsidRPr="00610088" w:rsidRDefault="00E71579"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31</w:t>
            </w:r>
          </w:p>
        </w:tc>
        <w:tc>
          <w:tcPr>
            <w:tcW w:w="1984" w:type="dxa"/>
            <w:shd w:val="clear" w:color="auto" w:fill="FFFFFF" w:themeFill="background1"/>
          </w:tcPr>
          <w:p w14:paraId="149C07C7" w14:textId="32E61131" w:rsidR="000828AC" w:rsidRPr="00610088" w:rsidRDefault="00E71579"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5DD3632E"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0264491D"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62718274" w14:textId="12131DA0"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Fertility</w:t>
            </w:r>
          </w:p>
        </w:tc>
        <w:tc>
          <w:tcPr>
            <w:tcW w:w="2127" w:type="dxa"/>
            <w:shd w:val="clear" w:color="auto" w:fill="FFFFFF" w:themeFill="background1"/>
          </w:tcPr>
          <w:p w14:paraId="37A67681"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081D0EF4"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07E8BEEB"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57A948C8"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1190D2ED" w14:textId="7130C86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Adolescent birth rate (per 1000 women in the 1</w:t>
            </w:r>
            <w:r w:rsidR="00E71579" w:rsidRPr="00610088">
              <w:rPr>
                <w:rFonts w:ascii="Arial Narrow" w:hAnsi="Arial Narrow"/>
                <w:color w:val="000000"/>
                <w:sz w:val="18"/>
                <w:szCs w:val="18"/>
                <w:lang w:val="en-GB"/>
              </w:rPr>
              <w:t>5</w:t>
            </w:r>
            <w:r w:rsidRPr="00610088">
              <w:rPr>
                <w:rFonts w:ascii="Arial Narrow" w:hAnsi="Arial Narrow"/>
                <w:color w:val="000000"/>
                <w:sz w:val="18"/>
                <w:szCs w:val="18"/>
                <w:lang w:val="en-GB"/>
              </w:rPr>
              <w:t>-19-year age group)</w:t>
            </w:r>
          </w:p>
        </w:tc>
        <w:tc>
          <w:tcPr>
            <w:tcW w:w="2127" w:type="dxa"/>
            <w:shd w:val="clear" w:color="auto" w:fill="FFFFFF" w:themeFill="background1"/>
          </w:tcPr>
          <w:p w14:paraId="7BF88132" w14:textId="45C0195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10</w:t>
            </w:r>
            <w:r w:rsidR="00E71579" w:rsidRPr="00610088">
              <w:rPr>
                <w:rFonts w:ascii="Arial Narrow" w:hAnsi="Arial Narrow"/>
                <w:color w:val="000000"/>
                <w:sz w:val="18"/>
                <w:szCs w:val="18"/>
                <w:lang w:val="en-GB"/>
              </w:rPr>
              <w:t>2</w:t>
            </w:r>
          </w:p>
        </w:tc>
        <w:tc>
          <w:tcPr>
            <w:tcW w:w="1984" w:type="dxa"/>
            <w:shd w:val="clear" w:color="auto" w:fill="FFFFFF" w:themeFill="background1"/>
          </w:tcPr>
          <w:p w14:paraId="078156B9" w14:textId="3FDDC5A5" w:rsidR="000828AC" w:rsidRPr="00610088" w:rsidRDefault="00E71579"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44F73633"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5EFF1CDD"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06F0EA55" w14:textId="145A15B2"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Total Fertility rate </w:t>
            </w:r>
          </w:p>
        </w:tc>
        <w:tc>
          <w:tcPr>
            <w:tcW w:w="2127" w:type="dxa"/>
            <w:shd w:val="clear" w:color="auto" w:fill="FFFFFF" w:themeFill="background1"/>
          </w:tcPr>
          <w:p w14:paraId="635A71C1" w14:textId="67E8CAAB"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4.</w:t>
            </w:r>
            <w:r w:rsidR="00E71579" w:rsidRPr="00610088">
              <w:rPr>
                <w:rFonts w:ascii="Arial Narrow" w:hAnsi="Arial Narrow"/>
                <w:color w:val="000000"/>
                <w:sz w:val="18"/>
                <w:szCs w:val="18"/>
                <w:lang w:val="en-GB"/>
              </w:rPr>
              <w:t>2</w:t>
            </w:r>
          </w:p>
        </w:tc>
        <w:tc>
          <w:tcPr>
            <w:tcW w:w="1984" w:type="dxa"/>
            <w:shd w:val="clear" w:color="auto" w:fill="FFFFFF" w:themeFill="background1"/>
          </w:tcPr>
          <w:p w14:paraId="1FCADFC4" w14:textId="5AD5D253"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w:t>
            </w:r>
            <w:r w:rsidR="00E71579" w:rsidRPr="00610088">
              <w:rPr>
                <w:rFonts w:ascii="Arial Narrow" w:hAnsi="Arial Narrow"/>
                <w:color w:val="000000"/>
                <w:sz w:val="18"/>
                <w:szCs w:val="18"/>
                <w:lang w:val="en-GB"/>
              </w:rPr>
              <w:t>9</w:t>
            </w:r>
          </w:p>
        </w:tc>
      </w:tr>
      <w:tr w:rsidR="00C03C67" w:rsidRPr="00610088" w14:paraId="7133220B"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1F8511B0"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5AE70DC1" w14:textId="7C0323E5"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Morbidity</w:t>
            </w:r>
          </w:p>
        </w:tc>
        <w:tc>
          <w:tcPr>
            <w:tcW w:w="2127" w:type="dxa"/>
            <w:shd w:val="clear" w:color="auto" w:fill="FFFFFF" w:themeFill="background1"/>
          </w:tcPr>
          <w:p w14:paraId="6D078D09"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55BA9000"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1A844DA2"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72F3DF7C"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51ADFC3A" w14:textId="4F044C6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HIV prevalence, adults 15-49 years</w:t>
            </w:r>
          </w:p>
        </w:tc>
        <w:tc>
          <w:tcPr>
            <w:tcW w:w="2127" w:type="dxa"/>
            <w:shd w:val="clear" w:color="auto" w:fill="FFFFFF" w:themeFill="background1"/>
          </w:tcPr>
          <w:p w14:paraId="1AB21D35"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1.5</w:t>
            </w:r>
          </w:p>
        </w:tc>
        <w:tc>
          <w:tcPr>
            <w:tcW w:w="1984" w:type="dxa"/>
            <w:shd w:val="clear" w:color="auto" w:fill="FFFFFF" w:themeFill="background1"/>
          </w:tcPr>
          <w:p w14:paraId="3E172F74"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2013</w:t>
            </w:r>
          </w:p>
        </w:tc>
      </w:tr>
      <w:tr w:rsidR="00C03C67" w:rsidRPr="00610088" w14:paraId="6FB0A1F9"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52A56E30"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60A3072E" w14:textId="10D1909C"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STI prevalence (self-reported by adults 15-49 years for the last 12 months)</w:t>
            </w:r>
          </w:p>
        </w:tc>
        <w:tc>
          <w:tcPr>
            <w:tcW w:w="2127" w:type="dxa"/>
            <w:shd w:val="clear" w:color="auto" w:fill="FFFFFF" w:themeFill="background1"/>
          </w:tcPr>
          <w:p w14:paraId="69576CEA"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11%</w:t>
            </w:r>
          </w:p>
        </w:tc>
        <w:tc>
          <w:tcPr>
            <w:tcW w:w="1984" w:type="dxa"/>
            <w:shd w:val="clear" w:color="auto" w:fill="FFFFFF" w:themeFill="background1"/>
          </w:tcPr>
          <w:p w14:paraId="59FA3ADA"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2013</w:t>
            </w:r>
          </w:p>
        </w:tc>
      </w:tr>
      <w:tr w:rsidR="00C03C67" w:rsidRPr="00610088" w14:paraId="619F0FEB"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03D5AA10"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6642B30F" w14:textId="2F810626"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TB incidence (per 100,000 population, estimated)</w:t>
            </w:r>
          </w:p>
        </w:tc>
        <w:tc>
          <w:tcPr>
            <w:tcW w:w="2127" w:type="dxa"/>
            <w:shd w:val="clear" w:color="auto" w:fill="FFFFFF" w:themeFill="background1"/>
          </w:tcPr>
          <w:p w14:paraId="27DC2BFB" w14:textId="77777777"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301</w:t>
            </w:r>
          </w:p>
        </w:tc>
        <w:tc>
          <w:tcPr>
            <w:tcW w:w="1984" w:type="dxa"/>
            <w:shd w:val="clear" w:color="auto" w:fill="FFFFFF" w:themeFill="background1"/>
          </w:tcPr>
          <w:p w14:paraId="448FF461" w14:textId="69479395" w:rsidR="000828AC" w:rsidRPr="00610088" w:rsidRDefault="000828AC" w:rsidP="002B69FA">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WHO TB Country Profile 2017</w:t>
            </w:r>
            <w:r w:rsidR="00813E11" w:rsidRPr="00610088">
              <w:rPr>
                <w:rFonts w:ascii="Arial Narrow" w:hAnsi="Arial Narrow"/>
                <w:color w:val="000000"/>
                <w:sz w:val="18"/>
                <w:szCs w:val="18"/>
                <w:lang w:val="en-GB"/>
              </w:rPr>
              <w:t xml:space="preserve"> </w:t>
            </w:r>
            <w:r w:rsidR="00813E11" w:rsidRPr="00610088">
              <w:rPr>
                <w:rStyle w:val="EndnoteReference"/>
                <w:rFonts w:ascii="Arial Narrow" w:hAnsi="Arial Narrow"/>
                <w:color w:val="000000"/>
                <w:sz w:val="18"/>
                <w:szCs w:val="18"/>
                <w:lang w:val="en-GB"/>
              </w:rPr>
              <w:endnoteReference w:id="10"/>
            </w:r>
          </w:p>
        </w:tc>
      </w:tr>
      <w:tr w:rsidR="00C03C67" w:rsidRPr="00610088" w14:paraId="29A56792"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4497172B" w14:textId="77777777" w:rsidR="000828AC" w:rsidRPr="00610088" w:rsidRDefault="000828AC" w:rsidP="002B69FA">
            <w:pPr>
              <w:rPr>
                <w:rFonts w:ascii="Arial Narrow" w:hAnsi="Arial Narrow"/>
                <w:b w:val="0"/>
                <w:bCs w:val="0"/>
                <w:color w:val="000000"/>
                <w:sz w:val="18"/>
                <w:szCs w:val="18"/>
                <w:lang w:val="en-GB"/>
              </w:rPr>
            </w:pPr>
          </w:p>
        </w:tc>
        <w:tc>
          <w:tcPr>
            <w:tcW w:w="5386" w:type="dxa"/>
            <w:shd w:val="clear" w:color="auto" w:fill="FFFFFF" w:themeFill="background1"/>
          </w:tcPr>
          <w:p w14:paraId="2E328CAE" w14:textId="36E9DB84"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Malaria parasite prevalence, 6-59 months (microscopy)</w:t>
            </w:r>
          </w:p>
        </w:tc>
        <w:tc>
          <w:tcPr>
            <w:tcW w:w="2127" w:type="dxa"/>
            <w:shd w:val="clear" w:color="auto" w:fill="FFFFFF" w:themeFill="background1"/>
          </w:tcPr>
          <w:p w14:paraId="644BAEAC"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40.1%</w:t>
            </w:r>
          </w:p>
        </w:tc>
        <w:tc>
          <w:tcPr>
            <w:tcW w:w="1984" w:type="dxa"/>
            <w:shd w:val="clear" w:color="auto" w:fill="FFFFFF" w:themeFill="background1"/>
          </w:tcPr>
          <w:p w14:paraId="4678F6EB" w14:textId="77777777" w:rsidR="000828AC" w:rsidRPr="00610088" w:rsidRDefault="000828AC" w:rsidP="002B69FA">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MIS 2016</w:t>
            </w:r>
          </w:p>
        </w:tc>
      </w:tr>
      <w:tr w:rsidR="00C03C67" w:rsidRPr="00610088" w14:paraId="4AB34571" w14:textId="77777777" w:rsidTr="00E71579">
        <w:tc>
          <w:tcPr>
            <w:cnfStyle w:val="001000000000" w:firstRow="0" w:lastRow="0" w:firstColumn="1" w:lastColumn="0" w:oddVBand="0" w:evenVBand="0" w:oddHBand="0" w:evenHBand="0" w:firstRowFirstColumn="0" w:firstRowLastColumn="0" w:lastRowFirstColumn="0" w:lastRowLastColumn="0"/>
            <w:tcW w:w="279" w:type="dxa"/>
            <w:vMerge w:val="restart"/>
            <w:shd w:val="clear" w:color="auto" w:fill="9CC2E5" w:themeFill="accent5" w:themeFillTint="99"/>
            <w:textDirection w:val="btLr"/>
          </w:tcPr>
          <w:p w14:paraId="28D5A9D9" w14:textId="294F67B5" w:rsidR="001A662F" w:rsidRPr="00610088" w:rsidRDefault="001A662F" w:rsidP="002E0C12">
            <w:pPr>
              <w:ind w:left="113" w:right="113"/>
              <w:jc w:val="center"/>
              <w:rPr>
                <w:rFonts w:ascii="Arial Narrow" w:hAnsi="Arial Narrow"/>
                <w:b w:val="0"/>
                <w:bCs w:val="0"/>
                <w:color w:val="FFFFFF" w:themeColor="background1"/>
                <w:sz w:val="18"/>
                <w:szCs w:val="18"/>
                <w:lang w:val="en-GB"/>
              </w:rPr>
            </w:pPr>
            <w:r w:rsidRPr="00610088">
              <w:rPr>
                <w:rFonts w:ascii="Arial Narrow" w:hAnsi="Arial Narrow"/>
                <w:b w:val="0"/>
                <w:bCs w:val="0"/>
                <w:color w:val="FFFFFF" w:themeColor="background1"/>
                <w:sz w:val="18"/>
                <w:szCs w:val="18"/>
                <w:lang w:val="en-GB"/>
              </w:rPr>
              <w:t>Risk factors</w:t>
            </w:r>
          </w:p>
        </w:tc>
        <w:tc>
          <w:tcPr>
            <w:tcW w:w="5386" w:type="dxa"/>
            <w:shd w:val="clear" w:color="auto" w:fill="FFFFFF" w:themeFill="background1"/>
          </w:tcPr>
          <w:p w14:paraId="27E1C087" w14:textId="0A49C2FA"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Nutrition</w:t>
            </w:r>
          </w:p>
        </w:tc>
        <w:tc>
          <w:tcPr>
            <w:tcW w:w="2127" w:type="dxa"/>
            <w:shd w:val="clear" w:color="auto" w:fill="FFFFFF" w:themeFill="background1"/>
          </w:tcPr>
          <w:p w14:paraId="1AA3B497"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1553CB84"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12934BD2"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extDirection w:val="btLr"/>
          </w:tcPr>
          <w:p w14:paraId="37925363" w14:textId="77777777" w:rsidR="001A662F" w:rsidRPr="00610088" w:rsidRDefault="001A662F" w:rsidP="002E0C12">
            <w:pPr>
              <w:ind w:left="113" w:right="113"/>
              <w:jc w:val="center"/>
              <w:rPr>
                <w:rFonts w:ascii="Arial Narrow" w:hAnsi="Arial Narrow"/>
                <w:b w:val="0"/>
                <w:bCs w:val="0"/>
                <w:color w:val="FFFFFF" w:themeColor="background1"/>
                <w:sz w:val="18"/>
                <w:szCs w:val="18"/>
                <w:lang w:val="en-GB"/>
              </w:rPr>
            </w:pPr>
          </w:p>
        </w:tc>
        <w:tc>
          <w:tcPr>
            <w:tcW w:w="5386" w:type="dxa"/>
            <w:shd w:val="clear" w:color="auto" w:fill="FFFFFF" w:themeFill="background1"/>
          </w:tcPr>
          <w:p w14:paraId="0395DC0E" w14:textId="6CFD3708"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Exclusive breastfeeding rate 0-5 months of age</w:t>
            </w:r>
          </w:p>
        </w:tc>
        <w:tc>
          <w:tcPr>
            <w:tcW w:w="2127" w:type="dxa"/>
            <w:shd w:val="clear" w:color="auto" w:fill="FFFFFF" w:themeFill="background1"/>
          </w:tcPr>
          <w:p w14:paraId="2727A575" w14:textId="1B6CE0F5"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5</w:t>
            </w:r>
            <w:r w:rsidR="00E71579" w:rsidRPr="00610088">
              <w:rPr>
                <w:rFonts w:ascii="Arial Narrow" w:hAnsi="Arial Narrow"/>
                <w:color w:val="000000"/>
                <w:sz w:val="18"/>
                <w:szCs w:val="18"/>
                <w:lang w:val="en-GB"/>
              </w:rPr>
              <w:t>4.1</w:t>
            </w:r>
            <w:r w:rsidRPr="00610088">
              <w:rPr>
                <w:rFonts w:ascii="Arial Narrow" w:hAnsi="Arial Narrow"/>
                <w:color w:val="000000"/>
                <w:sz w:val="18"/>
                <w:szCs w:val="18"/>
                <w:lang w:val="en-GB"/>
              </w:rPr>
              <w:t>%</w:t>
            </w:r>
          </w:p>
        </w:tc>
        <w:tc>
          <w:tcPr>
            <w:tcW w:w="1984" w:type="dxa"/>
            <w:shd w:val="clear" w:color="auto" w:fill="FFFFFF" w:themeFill="background1"/>
          </w:tcPr>
          <w:p w14:paraId="37033EF7" w14:textId="7740A3B3" w:rsidR="001A662F" w:rsidRPr="00610088" w:rsidRDefault="00E71579"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52CE7042"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extDirection w:val="btLr"/>
          </w:tcPr>
          <w:p w14:paraId="658981D3" w14:textId="77777777" w:rsidR="001A662F" w:rsidRPr="00610088" w:rsidRDefault="001A662F" w:rsidP="002E0C12">
            <w:pPr>
              <w:ind w:left="113" w:right="113"/>
              <w:jc w:val="center"/>
              <w:rPr>
                <w:rFonts w:ascii="Arial Narrow" w:hAnsi="Arial Narrow"/>
                <w:b w:val="0"/>
                <w:bCs w:val="0"/>
                <w:color w:val="FFFFFF" w:themeColor="background1"/>
                <w:sz w:val="18"/>
                <w:szCs w:val="18"/>
                <w:lang w:val="en-GB"/>
              </w:rPr>
            </w:pPr>
          </w:p>
        </w:tc>
        <w:tc>
          <w:tcPr>
            <w:tcW w:w="5386" w:type="dxa"/>
            <w:shd w:val="clear" w:color="auto" w:fill="FFFFFF" w:themeFill="background1"/>
          </w:tcPr>
          <w:p w14:paraId="6746708A" w14:textId="0E00473B"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Early initiation of breastfeeding</w:t>
            </w:r>
          </w:p>
        </w:tc>
        <w:tc>
          <w:tcPr>
            <w:tcW w:w="2127" w:type="dxa"/>
            <w:shd w:val="clear" w:color="auto" w:fill="FFFFFF" w:themeFill="background1"/>
          </w:tcPr>
          <w:p w14:paraId="145845C3" w14:textId="75DA545B"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54.5%</w:t>
            </w:r>
          </w:p>
        </w:tc>
        <w:tc>
          <w:tcPr>
            <w:tcW w:w="1984" w:type="dxa"/>
            <w:shd w:val="clear" w:color="auto" w:fill="FFFFFF" w:themeFill="background1"/>
          </w:tcPr>
          <w:p w14:paraId="19790556" w14:textId="47665D8E"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r w:rsidR="00E71579" w:rsidRPr="00610088">
              <w:rPr>
                <w:rFonts w:ascii="Arial Narrow" w:hAnsi="Arial Narrow"/>
                <w:color w:val="000000"/>
                <w:sz w:val="18"/>
                <w:szCs w:val="18"/>
                <w:lang w:val="en-GB"/>
              </w:rPr>
              <w:t xml:space="preserve"> </w:t>
            </w:r>
            <w:r w:rsidR="00E71579" w:rsidRPr="00610088">
              <w:rPr>
                <w:rFonts w:ascii="Arial Narrow" w:hAnsi="Arial Narrow"/>
                <w:color w:val="000000"/>
                <w:sz w:val="18"/>
                <w:szCs w:val="18"/>
                <w:vertAlign w:val="superscript"/>
                <w:lang w:val="en-GB"/>
              </w:rPr>
              <w:fldChar w:fldCharType="begin"/>
            </w:r>
            <w:r w:rsidR="00E71579" w:rsidRPr="00610088">
              <w:rPr>
                <w:rFonts w:ascii="Arial Narrow" w:hAnsi="Arial Narrow"/>
                <w:color w:val="000000"/>
                <w:sz w:val="18"/>
                <w:szCs w:val="18"/>
                <w:vertAlign w:val="superscript"/>
                <w:lang w:val="en-GB"/>
              </w:rPr>
              <w:instrText xml:space="preserve"> NOTEREF _Ref17613464 \h  \* MERGEFORMAT </w:instrText>
            </w:r>
            <w:r w:rsidR="00E71579" w:rsidRPr="00610088">
              <w:rPr>
                <w:rFonts w:ascii="Arial Narrow" w:hAnsi="Arial Narrow"/>
                <w:color w:val="000000"/>
                <w:sz w:val="18"/>
                <w:szCs w:val="18"/>
                <w:vertAlign w:val="superscript"/>
                <w:lang w:val="en-GB"/>
              </w:rPr>
            </w:r>
            <w:r w:rsidR="00E71579" w:rsidRPr="00610088">
              <w:rPr>
                <w:rFonts w:ascii="Arial Narrow" w:hAnsi="Arial Narrow"/>
                <w:color w:val="000000"/>
                <w:sz w:val="18"/>
                <w:szCs w:val="18"/>
                <w:vertAlign w:val="superscript"/>
                <w:lang w:val="en-GB"/>
              </w:rPr>
              <w:fldChar w:fldCharType="separate"/>
            </w:r>
            <w:r w:rsidR="00CB360C">
              <w:rPr>
                <w:rFonts w:ascii="Arial Narrow" w:hAnsi="Arial Narrow"/>
                <w:color w:val="000000"/>
                <w:sz w:val="18"/>
                <w:szCs w:val="18"/>
                <w:vertAlign w:val="superscript"/>
                <w:lang w:val="en-GB"/>
              </w:rPr>
              <w:t>7</w:t>
            </w:r>
            <w:r w:rsidR="00E71579" w:rsidRPr="00610088">
              <w:rPr>
                <w:rFonts w:ascii="Arial Narrow" w:hAnsi="Arial Narrow"/>
                <w:color w:val="000000"/>
                <w:sz w:val="18"/>
                <w:szCs w:val="18"/>
                <w:vertAlign w:val="superscript"/>
                <w:lang w:val="en-GB"/>
              </w:rPr>
              <w:fldChar w:fldCharType="end"/>
            </w:r>
          </w:p>
        </w:tc>
      </w:tr>
      <w:tr w:rsidR="00C03C67" w:rsidRPr="00610088" w14:paraId="21D57701"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extDirection w:val="btLr"/>
          </w:tcPr>
          <w:p w14:paraId="1E125B8F" w14:textId="56B999D5" w:rsidR="001A662F" w:rsidRPr="00610088" w:rsidRDefault="001A662F" w:rsidP="002E0C12">
            <w:pPr>
              <w:ind w:left="113" w:right="113"/>
              <w:jc w:val="center"/>
              <w:rPr>
                <w:rFonts w:ascii="Arial Narrow" w:hAnsi="Arial Narrow"/>
                <w:b w:val="0"/>
                <w:bCs w:val="0"/>
                <w:color w:val="FFFFFF" w:themeColor="background1"/>
                <w:sz w:val="18"/>
                <w:szCs w:val="18"/>
                <w:lang w:val="en-GB"/>
              </w:rPr>
            </w:pPr>
          </w:p>
        </w:tc>
        <w:tc>
          <w:tcPr>
            <w:tcW w:w="5386" w:type="dxa"/>
            <w:shd w:val="clear" w:color="auto" w:fill="FFFFFF" w:themeFill="background1"/>
          </w:tcPr>
          <w:p w14:paraId="414F42A2" w14:textId="114359D3"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Malnutrition</w:t>
            </w:r>
            <w:r w:rsidR="00E71579" w:rsidRPr="00610088">
              <w:rPr>
                <w:rFonts w:ascii="Arial Narrow" w:hAnsi="Arial Narrow"/>
                <w:color w:val="000000"/>
                <w:sz w:val="18"/>
                <w:szCs w:val="18"/>
                <w:lang w:val="en-GB"/>
              </w:rPr>
              <w:t xml:space="preserve"> U5s</w:t>
            </w:r>
            <w:r w:rsidRPr="00610088">
              <w:rPr>
                <w:rFonts w:ascii="Arial Narrow" w:hAnsi="Arial Narrow"/>
                <w:color w:val="000000"/>
                <w:sz w:val="18"/>
                <w:szCs w:val="18"/>
                <w:lang w:val="en-GB"/>
              </w:rPr>
              <w:t xml:space="preserve"> – Underweight / Stunting / Wasting prevalence (&lt;2 SD)</w:t>
            </w:r>
          </w:p>
        </w:tc>
        <w:tc>
          <w:tcPr>
            <w:tcW w:w="2127" w:type="dxa"/>
            <w:shd w:val="clear" w:color="auto" w:fill="FFFFFF" w:themeFill="background1"/>
          </w:tcPr>
          <w:p w14:paraId="18BC17D9" w14:textId="04D203E0" w:rsidR="00E71579" w:rsidRPr="00610088" w:rsidRDefault="00E71579"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13.6%/ 29.5%/ </w:t>
            </w:r>
            <w:r w:rsidR="00C03C67" w:rsidRPr="00610088">
              <w:rPr>
                <w:rFonts w:ascii="Arial Narrow" w:hAnsi="Arial Narrow"/>
                <w:color w:val="000000"/>
                <w:sz w:val="18"/>
                <w:szCs w:val="18"/>
                <w:lang w:val="en-GB"/>
              </w:rPr>
              <w:t>5</w:t>
            </w:r>
            <w:r w:rsidRPr="00610088">
              <w:rPr>
                <w:rFonts w:ascii="Arial Narrow" w:hAnsi="Arial Narrow"/>
                <w:color w:val="000000"/>
                <w:sz w:val="18"/>
                <w:szCs w:val="18"/>
                <w:lang w:val="en-GB"/>
              </w:rPr>
              <w:t>.4%</w:t>
            </w:r>
          </w:p>
        </w:tc>
        <w:tc>
          <w:tcPr>
            <w:tcW w:w="1984" w:type="dxa"/>
            <w:shd w:val="clear" w:color="auto" w:fill="FFFFFF" w:themeFill="background1"/>
          </w:tcPr>
          <w:p w14:paraId="02EB8EE4" w14:textId="4DF4B2E0" w:rsidR="001A662F" w:rsidRPr="00610088" w:rsidRDefault="00E71579"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48810EC8"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19458345" w14:textId="77777777" w:rsidR="001A662F" w:rsidRPr="00610088" w:rsidRDefault="001A662F" w:rsidP="002E0C12">
            <w:pPr>
              <w:rPr>
                <w:rFonts w:ascii="Arial Narrow" w:hAnsi="Arial Narrow"/>
                <w:color w:val="000000"/>
                <w:sz w:val="18"/>
                <w:szCs w:val="18"/>
                <w:lang w:val="en-GB"/>
              </w:rPr>
            </w:pPr>
          </w:p>
        </w:tc>
        <w:tc>
          <w:tcPr>
            <w:tcW w:w="5386" w:type="dxa"/>
            <w:shd w:val="clear" w:color="auto" w:fill="FFFFFF" w:themeFill="background1"/>
          </w:tcPr>
          <w:p w14:paraId="1AC9A8BD" w14:textId="44B521FF" w:rsidR="001A662F" w:rsidRPr="00610088" w:rsidRDefault="00A866E6"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Anaemia</w:t>
            </w:r>
            <w:r w:rsidR="001A662F" w:rsidRPr="00610088">
              <w:rPr>
                <w:rFonts w:ascii="Arial Narrow" w:hAnsi="Arial Narrow"/>
                <w:color w:val="000000"/>
                <w:sz w:val="18"/>
                <w:szCs w:val="18"/>
                <w:lang w:val="en-GB"/>
              </w:rPr>
              <w:t xml:space="preserve"> prevalence in children</w:t>
            </w:r>
            <w:r w:rsidR="00E71579" w:rsidRPr="00610088">
              <w:rPr>
                <w:rFonts w:ascii="Arial Narrow" w:hAnsi="Arial Narrow"/>
                <w:color w:val="000000"/>
                <w:sz w:val="18"/>
                <w:szCs w:val="18"/>
                <w:lang w:val="en-GB"/>
              </w:rPr>
              <w:t xml:space="preserve"> 6-59 months</w:t>
            </w:r>
            <w:r w:rsidR="001A662F" w:rsidRPr="00610088">
              <w:rPr>
                <w:rFonts w:ascii="Arial Narrow" w:hAnsi="Arial Narrow"/>
                <w:color w:val="000000"/>
                <w:sz w:val="18"/>
                <w:szCs w:val="18"/>
                <w:lang w:val="en-GB"/>
              </w:rPr>
              <w:t xml:space="preserve"> </w:t>
            </w:r>
            <w:r w:rsidR="00813E11" w:rsidRPr="00610088">
              <w:rPr>
                <w:rFonts w:ascii="Arial Narrow" w:hAnsi="Arial Narrow"/>
                <w:color w:val="000000"/>
                <w:sz w:val="18"/>
                <w:szCs w:val="18"/>
                <w:lang w:val="en-GB"/>
              </w:rPr>
              <w:t>(</w:t>
            </w:r>
            <w:r w:rsidR="00813E11" w:rsidRPr="00610088">
              <w:rPr>
                <w:rFonts w:ascii="Arial Narrow" w:hAnsi="Arial Narrow"/>
                <w:i/>
                <w:iCs/>
                <w:color w:val="000000"/>
                <w:sz w:val="18"/>
                <w:szCs w:val="18"/>
                <w:lang w:val="en-GB"/>
              </w:rPr>
              <w:t>mild / moderate/ severe)</w:t>
            </w:r>
          </w:p>
        </w:tc>
        <w:tc>
          <w:tcPr>
            <w:tcW w:w="2127" w:type="dxa"/>
            <w:shd w:val="clear" w:color="auto" w:fill="FFFFFF" w:themeFill="background1"/>
          </w:tcPr>
          <w:p w14:paraId="436B8713" w14:textId="350AA8B4" w:rsidR="00813E11" w:rsidRPr="00610088" w:rsidRDefault="001D7372"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67.8</w:t>
            </w:r>
            <w:r w:rsidR="00813E11" w:rsidRPr="00610088">
              <w:rPr>
                <w:rFonts w:ascii="Arial Narrow" w:hAnsi="Arial Narrow"/>
                <w:color w:val="000000"/>
                <w:sz w:val="18"/>
                <w:szCs w:val="18"/>
                <w:lang w:val="en-GB"/>
              </w:rPr>
              <w:t xml:space="preserve">% </w:t>
            </w:r>
          </w:p>
          <w:p w14:paraId="455B16C1" w14:textId="2BFB1F12" w:rsidR="001A662F" w:rsidRPr="00610088" w:rsidRDefault="00813E11"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i/>
                <w:iCs/>
                <w:color w:val="000000"/>
                <w:sz w:val="18"/>
                <w:szCs w:val="18"/>
                <w:lang w:val="en-GB"/>
              </w:rPr>
              <w:t>(</w:t>
            </w:r>
            <w:r w:rsidR="001D7372" w:rsidRPr="00610088">
              <w:rPr>
                <w:rFonts w:ascii="Arial Narrow" w:hAnsi="Arial Narrow"/>
                <w:i/>
                <w:iCs/>
                <w:color w:val="000000"/>
                <w:sz w:val="18"/>
                <w:szCs w:val="18"/>
                <w:lang w:val="en-GB"/>
              </w:rPr>
              <w:t>29.9</w:t>
            </w:r>
            <w:r w:rsidRPr="00610088">
              <w:rPr>
                <w:rFonts w:ascii="Arial Narrow" w:hAnsi="Arial Narrow"/>
                <w:i/>
                <w:iCs/>
                <w:color w:val="000000"/>
                <w:sz w:val="18"/>
                <w:szCs w:val="18"/>
                <w:lang w:val="en-GB"/>
              </w:rPr>
              <w:t xml:space="preserve">%/ </w:t>
            </w:r>
            <w:r w:rsidR="001D7372" w:rsidRPr="00610088">
              <w:rPr>
                <w:rFonts w:ascii="Arial Narrow" w:hAnsi="Arial Narrow"/>
                <w:i/>
                <w:iCs/>
                <w:color w:val="000000"/>
                <w:sz w:val="18"/>
                <w:szCs w:val="18"/>
                <w:lang w:val="en-GB"/>
              </w:rPr>
              <w:t>35.2</w:t>
            </w:r>
            <w:r w:rsidRPr="00610088">
              <w:rPr>
                <w:rFonts w:ascii="Arial Narrow" w:hAnsi="Arial Narrow"/>
                <w:i/>
                <w:iCs/>
                <w:color w:val="000000"/>
                <w:sz w:val="18"/>
                <w:szCs w:val="18"/>
                <w:lang w:val="en-GB"/>
              </w:rPr>
              <w:t xml:space="preserve">%/ </w:t>
            </w:r>
            <w:r w:rsidR="00C03C67" w:rsidRPr="00610088">
              <w:rPr>
                <w:rFonts w:ascii="Arial Narrow" w:hAnsi="Arial Narrow"/>
                <w:i/>
                <w:iCs/>
                <w:color w:val="000000"/>
                <w:sz w:val="18"/>
                <w:szCs w:val="18"/>
                <w:lang w:val="en-GB"/>
              </w:rPr>
              <w:t>2.7</w:t>
            </w:r>
            <w:r w:rsidRPr="00610088">
              <w:rPr>
                <w:rFonts w:ascii="Arial Narrow" w:hAnsi="Arial Narrow"/>
                <w:i/>
                <w:iCs/>
                <w:color w:val="000000"/>
                <w:sz w:val="18"/>
                <w:szCs w:val="18"/>
                <w:lang w:val="en-GB"/>
              </w:rPr>
              <w:t>%)</w:t>
            </w:r>
          </w:p>
        </w:tc>
        <w:tc>
          <w:tcPr>
            <w:tcW w:w="1984" w:type="dxa"/>
            <w:shd w:val="clear" w:color="auto" w:fill="FFFFFF" w:themeFill="background1"/>
          </w:tcPr>
          <w:p w14:paraId="5284B783" w14:textId="7661B6B3" w:rsidR="001A662F" w:rsidRPr="00610088" w:rsidRDefault="001D7372"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6D6D7F33"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6992C020" w14:textId="77777777" w:rsidR="00813E11" w:rsidRPr="00610088" w:rsidRDefault="00813E11" w:rsidP="002E0C12">
            <w:pPr>
              <w:rPr>
                <w:rFonts w:ascii="Arial Narrow" w:hAnsi="Arial Narrow"/>
                <w:color w:val="000000"/>
                <w:sz w:val="18"/>
                <w:szCs w:val="18"/>
                <w:lang w:val="en-GB"/>
              </w:rPr>
            </w:pPr>
          </w:p>
        </w:tc>
        <w:tc>
          <w:tcPr>
            <w:tcW w:w="5386" w:type="dxa"/>
            <w:shd w:val="clear" w:color="auto" w:fill="FFFFFF" w:themeFill="background1"/>
          </w:tcPr>
          <w:p w14:paraId="3DE17D37" w14:textId="3429C731" w:rsidR="00813E11" w:rsidRPr="00610088" w:rsidRDefault="00A866E6"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Anaemia</w:t>
            </w:r>
            <w:r w:rsidR="00813E11" w:rsidRPr="00610088">
              <w:rPr>
                <w:rFonts w:ascii="Arial Narrow" w:hAnsi="Arial Narrow"/>
                <w:color w:val="000000"/>
                <w:sz w:val="18"/>
                <w:szCs w:val="18"/>
                <w:lang w:val="en-GB"/>
              </w:rPr>
              <w:t xml:space="preserve"> prevalence in women of </w:t>
            </w:r>
            <w:r w:rsidR="000A1B4C" w:rsidRPr="00610088">
              <w:rPr>
                <w:rFonts w:ascii="Arial Narrow" w:hAnsi="Arial Narrow"/>
                <w:color w:val="000000"/>
                <w:sz w:val="18"/>
                <w:szCs w:val="18"/>
                <w:lang w:val="en-GB"/>
              </w:rPr>
              <w:t>childbearing</w:t>
            </w:r>
            <w:r w:rsidR="00813E11" w:rsidRPr="00610088">
              <w:rPr>
                <w:rFonts w:ascii="Arial Narrow" w:hAnsi="Arial Narrow"/>
                <w:color w:val="000000"/>
                <w:sz w:val="18"/>
                <w:szCs w:val="18"/>
                <w:lang w:val="en-GB"/>
              </w:rPr>
              <w:t xml:space="preserve"> age </w:t>
            </w:r>
            <w:r w:rsidR="00813E11" w:rsidRPr="00610088">
              <w:rPr>
                <w:rFonts w:ascii="Arial Narrow" w:hAnsi="Arial Narrow"/>
                <w:i/>
                <w:iCs/>
                <w:color w:val="000000"/>
                <w:sz w:val="18"/>
                <w:szCs w:val="18"/>
                <w:lang w:val="en-GB"/>
              </w:rPr>
              <w:t>(mild / moderate / severe)</w:t>
            </w:r>
          </w:p>
        </w:tc>
        <w:tc>
          <w:tcPr>
            <w:tcW w:w="2127" w:type="dxa"/>
            <w:shd w:val="clear" w:color="auto" w:fill="FFFFFF" w:themeFill="background1"/>
          </w:tcPr>
          <w:p w14:paraId="0AE7561F" w14:textId="74C875E6" w:rsidR="00813E11"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46.5</w:t>
            </w:r>
            <w:r w:rsidR="00813E11" w:rsidRPr="00610088">
              <w:rPr>
                <w:rFonts w:ascii="Arial Narrow" w:hAnsi="Arial Narrow"/>
                <w:color w:val="000000"/>
                <w:sz w:val="18"/>
                <w:szCs w:val="18"/>
                <w:lang w:val="en-GB"/>
              </w:rPr>
              <w:t>%</w:t>
            </w:r>
          </w:p>
          <w:p w14:paraId="0E8D8EE9" w14:textId="60A41A49" w:rsidR="00813E11" w:rsidRPr="00610088" w:rsidRDefault="00813E11" w:rsidP="002E0C12">
            <w:pPr>
              <w:cnfStyle w:val="000000100000" w:firstRow="0" w:lastRow="0" w:firstColumn="0" w:lastColumn="0" w:oddVBand="0" w:evenVBand="0" w:oddHBand="1" w:evenHBand="0" w:firstRowFirstColumn="0" w:firstRowLastColumn="0" w:lastRowFirstColumn="0" w:lastRowLastColumn="0"/>
              <w:rPr>
                <w:rFonts w:ascii="Arial Narrow" w:hAnsi="Arial Narrow"/>
                <w:i/>
                <w:iCs/>
                <w:color w:val="000000"/>
                <w:sz w:val="18"/>
                <w:szCs w:val="18"/>
                <w:lang w:val="en-GB"/>
              </w:rPr>
            </w:pPr>
            <w:r w:rsidRPr="00610088">
              <w:rPr>
                <w:rFonts w:ascii="Arial Narrow" w:hAnsi="Arial Narrow"/>
                <w:i/>
                <w:iCs/>
                <w:color w:val="000000"/>
                <w:sz w:val="18"/>
                <w:szCs w:val="18"/>
                <w:lang w:val="en-GB"/>
              </w:rPr>
              <w:t>(</w:t>
            </w:r>
            <w:r w:rsidR="00C03C67" w:rsidRPr="00610088">
              <w:rPr>
                <w:rFonts w:ascii="Arial Narrow" w:hAnsi="Arial Narrow"/>
                <w:i/>
                <w:iCs/>
                <w:color w:val="000000"/>
                <w:sz w:val="18"/>
                <w:szCs w:val="18"/>
                <w:lang w:val="en-GB"/>
              </w:rPr>
              <w:t>23.0</w:t>
            </w:r>
            <w:r w:rsidRPr="00610088">
              <w:rPr>
                <w:rFonts w:ascii="Arial Narrow" w:hAnsi="Arial Narrow"/>
                <w:i/>
                <w:iCs/>
                <w:color w:val="000000"/>
                <w:sz w:val="18"/>
                <w:szCs w:val="18"/>
                <w:lang w:val="en-GB"/>
              </w:rPr>
              <w:t xml:space="preserve">%/ </w:t>
            </w:r>
            <w:r w:rsidR="00C03C67" w:rsidRPr="00610088">
              <w:rPr>
                <w:rFonts w:ascii="Arial Narrow" w:hAnsi="Arial Narrow"/>
                <w:i/>
                <w:iCs/>
                <w:color w:val="000000"/>
                <w:sz w:val="18"/>
                <w:szCs w:val="18"/>
                <w:lang w:val="en-GB"/>
              </w:rPr>
              <w:t>22.0</w:t>
            </w:r>
            <w:r w:rsidRPr="00610088">
              <w:rPr>
                <w:rFonts w:ascii="Arial Narrow" w:hAnsi="Arial Narrow"/>
                <w:i/>
                <w:iCs/>
                <w:color w:val="000000"/>
                <w:sz w:val="18"/>
                <w:szCs w:val="18"/>
                <w:lang w:val="en-GB"/>
              </w:rPr>
              <w:t>% / 1.</w:t>
            </w:r>
            <w:r w:rsidR="00C03C67" w:rsidRPr="00610088">
              <w:rPr>
                <w:rFonts w:ascii="Arial Narrow" w:hAnsi="Arial Narrow"/>
                <w:i/>
                <w:iCs/>
                <w:color w:val="000000"/>
                <w:sz w:val="18"/>
                <w:szCs w:val="18"/>
                <w:lang w:val="en-GB"/>
              </w:rPr>
              <w:t>6</w:t>
            </w:r>
            <w:r w:rsidRPr="00610088">
              <w:rPr>
                <w:rFonts w:ascii="Arial Narrow" w:hAnsi="Arial Narrow"/>
                <w:i/>
                <w:iCs/>
                <w:color w:val="000000"/>
                <w:sz w:val="18"/>
                <w:szCs w:val="18"/>
                <w:lang w:val="en-GB"/>
              </w:rPr>
              <w:t>%)</w:t>
            </w:r>
          </w:p>
        </w:tc>
        <w:tc>
          <w:tcPr>
            <w:tcW w:w="1984" w:type="dxa"/>
            <w:shd w:val="clear" w:color="auto" w:fill="FFFFFF" w:themeFill="background1"/>
          </w:tcPr>
          <w:p w14:paraId="67B031A5" w14:textId="503BBD67" w:rsidR="00813E11"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0852B162"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1A20E19B" w14:textId="77777777" w:rsidR="001A662F" w:rsidRPr="00610088" w:rsidRDefault="001A662F" w:rsidP="002E0C12">
            <w:pPr>
              <w:rPr>
                <w:rFonts w:ascii="Arial Narrow" w:hAnsi="Arial Narrow"/>
                <w:color w:val="000000"/>
                <w:sz w:val="18"/>
                <w:szCs w:val="18"/>
                <w:lang w:val="en-GB"/>
              </w:rPr>
            </w:pPr>
          </w:p>
        </w:tc>
        <w:tc>
          <w:tcPr>
            <w:tcW w:w="5386" w:type="dxa"/>
            <w:shd w:val="clear" w:color="auto" w:fill="FFFFFF" w:themeFill="background1"/>
          </w:tcPr>
          <w:p w14:paraId="7A7BADB4" w14:textId="4B7B2E45"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Environmental risk factors</w:t>
            </w:r>
          </w:p>
        </w:tc>
        <w:tc>
          <w:tcPr>
            <w:tcW w:w="2127" w:type="dxa"/>
            <w:shd w:val="clear" w:color="auto" w:fill="FFFFFF" w:themeFill="background1"/>
          </w:tcPr>
          <w:p w14:paraId="75C3CDA5"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73B52B80"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64F195F1"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70E183D9" w14:textId="77777777" w:rsidR="001A662F" w:rsidRPr="00610088" w:rsidRDefault="001A662F" w:rsidP="002E0C12">
            <w:pPr>
              <w:rPr>
                <w:rFonts w:ascii="Arial Narrow" w:hAnsi="Arial Narrow"/>
                <w:b w:val="0"/>
                <w:bCs w:val="0"/>
                <w:color w:val="000000"/>
                <w:sz w:val="18"/>
                <w:szCs w:val="18"/>
                <w:lang w:val="en-GB"/>
              </w:rPr>
            </w:pPr>
          </w:p>
        </w:tc>
        <w:tc>
          <w:tcPr>
            <w:tcW w:w="5386" w:type="dxa"/>
            <w:shd w:val="clear" w:color="auto" w:fill="FFFFFF" w:themeFill="background1"/>
          </w:tcPr>
          <w:p w14:paraId="168C0303" w14:textId="23122401"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Use of improved source of drinking water</w:t>
            </w:r>
          </w:p>
        </w:tc>
        <w:tc>
          <w:tcPr>
            <w:tcW w:w="2127" w:type="dxa"/>
            <w:shd w:val="clear" w:color="auto" w:fill="FFFFFF" w:themeFill="background1"/>
          </w:tcPr>
          <w:p w14:paraId="145C4237" w14:textId="09FC11F5"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67.8%</w:t>
            </w:r>
          </w:p>
        </w:tc>
        <w:tc>
          <w:tcPr>
            <w:tcW w:w="1984" w:type="dxa"/>
            <w:shd w:val="clear" w:color="auto" w:fill="FFFFFF" w:themeFill="background1"/>
          </w:tcPr>
          <w:p w14:paraId="3264ED55" w14:textId="2649A472" w:rsidR="001A662F" w:rsidRPr="00610088" w:rsidRDefault="001A66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527BB107"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54FD909F" w14:textId="77777777" w:rsidR="001A662F" w:rsidRPr="00610088" w:rsidRDefault="001A662F" w:rsidP="002E0C12">
            <w:pPr>
              <w:rPr>
                <w:rFonts w:ascii="Arial Narrow" w:hAnsi="Arial Narrow"/>
                <w:b w:val="0"/>
                <w:bCs w:val="0"/>
                <w:color w:val="000000"/>
                <w:sz w:val="18"/>
                <w:szCs w:val="18"/>
                <w:lang w:val="en-GB"/>
              </w:rPr>
            </w:pPr>
          </w:p>
        </w:tc>
        <w:tc>
          <w:tcPr>
            <w:tcW w:w="5386" w:type="dxa"/>
            <w:shd w:val="clear" w:color="auto" w:fill="FFFFFF" w:themeFill="background1"/>
          </w:tcPr>
          <w:p w14:paraId="1EA1FE21" w14:textId="6E433301"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Use of improved sanitation facilities</w:t>
            </w:r>
          </w:p>
        </w:tc>
        <w:tc>
          <w:tcPr>
            <w:tcW w:w="2127" w:type="dxa"/>
            <w:shd w:val="clear" w:color="auto" w:fill="FFFFFF" w:themeFill="background1"/>
          </w:tcPr>
          <w:p w14:paraId="479EEDB6" w14:textId="2308A8EC"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48.2%</w:t>
            </w:r>
          </w:p>
        </w:tc>
        <w:tc>
          <w:tcPr>
            <w:tcW w:w="1984" w:type="dxa"/>
            <w:shd w:val="clear" w:color="auto" w:fill="FFFFFF" w:themeFill="background1"/>
          </w:tcPr>
          <w:p w14:paraId="37124206" w14:textId="1E452D71"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2B5CA739"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401D2293" w14:textId="77777777" w:rsidR="001A662F" w:rsidRPr="00610088" w:rsidRDefault="001A662F" w:rsidP="002E0C12">
            <w:pPr>
              <w:rPr>
                <w:rFonts w:ascii="Arial Narrow" w:hAnsi="Arial Narrow"/>
                <w:color w:val="000000"/>
                <w:sz w:val="18"/>
                <w:szCs w:val="18"/>
                <w:lang w:val="en-GB"/>
              </w:rPr>
            </w:pPr>
          </w:p>
        </w:tc>
        <w:tc>
          <w:tcPr>
            <w:tcW w:w="5386" w:type="dxa"/>
            <w:shd w:val="clear" w:color="auto" w:fill="FFFFFF" w:themeFill="background1"/>
          </w:tcPr>
          <w:p w14:paraId="38C430AD" w14:textId="021CB807"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Primary reliance on clean fuels and technologies for cooking, space heating and lighting</w:t>
            </w:r>
          </w:p>
        </w:tc>
        <w:tc>
          <w:tcPr>
            <w:tcW w:w="2127" w:type="dxa"/>
            <w:shd w:val="clear" w:color="auto" w:fill="FFFFFF" w:themeFill="background1"/>
          </w:tcPr>
          <w:p w14:paraId="598C3D6E" w14:textId="32AB640A"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0.6% / 0.1% / 97.3%</w:t>
            </w:r>
          </w:p>
        </w:tc>
        <w:tc>
          <w:tcPr>
            <w:tcW w:w="1984" w:type="dxa"/>
            <w:shd w:val="clear" w:color="auto" w:fill="FFFFFF" w:themeFill="background1"/>
          </w:tcPr>
          <w:p w14:paraId="741D83F8" w14:textId="5A592459"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750360A3"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55375C9E" w14:textId="77777777" w:rsidR="001A662F" w:rsidRPr="00610088" w:rsidRDefault="001A662F" w:rsidP="002E0C12">
            <w:pPr>
              <w:rPr>
                <w:rFonts w:ascii="Arial Narrow" w:hAnsi="Arial Narrow"/>
                <w:color w:val="000000"/>
                <w:sz w:val="18"/>
                <w:szCs w:val="18"/>
                <w:lang w:val="en-GB"/>
              </w:rPr>
            </w:pPr>
          </w:p>
        </w:tc>
        <w:tc>
          <w:tcPr>
            <w:tcW w:w="5386" w:type="dxa"/>
            <w:shd w:val="clear" w:color="auto" w:fill="FFFFFF" w:themeFill="background1"/>
          </w:tcPr>
          <w:p w14:paraId="47E90FA3" w14:textId="79042475" w:rsidR="001A662F"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Noncommunicable diseases</w:t>
            </w:r>
          </w:p>
        </w:tc>
        <w:tc>
          <w:tcPr>
            <w:tcW w:w="2127" w:type="dxa"/>
            <w:shd w:val="clear" w:color="auto" w:fill="FFFFFF" w:themeFill="background1"/>
          </w:tcPr>
          <w:p w14:paraId="5309ABD1"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35115555" w14:textId="77777777" w:rsidR="001A662F" w:rsidRPr="00610088" w:rsidRDefault="001A66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4E149D66"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744BE5A8" w14:textId="77777777" w:rsidR="001A662F" w:rsidRPr="00610088" w:rsidRDefault="001A662F" w:rsidP="002E0C12">
            <w:pPr>
              <w:rPr>
                <w:rFonts w:ascii="Arial Narrow" w:hAnsi="Arial Narrow"/>
                <w:b w:val="0"/>
                <w:bCs w:val="0"/>
                <w:color w:val="000000"/>
                <w:sz w:val="18"/>
                <w:szCs w:val="18"/>
                <w:lang w:val="en-GB"/>
              </w:rPr>
            </w:pPr>
          </w:p>
        </w:tc>
        <w:tc>
          <w:tcPr>
            <w:tcW w:w="5386" w:type="dxa"/>
            <w:shd w:val="clear" w:color="auto" w:fill="FFFFFF" w:themeFill="background1"/>
          </w:tcPr>
          <w:p w14:paraId="1EB646DC" w14:textId="024DF6B2"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Tobacco use among persons aged 15+</w:t>
            </w:r>
          </w:p>
        </w:tc>
        <w:tc>
          <w:tcPr>
            <w:tcW w:w="2127" w:type="dxa"/>
            <w:shd w:val="clear" w:color="auto" w:fill="FFFFFF" w:themeFill="background1"/>
          </w:tcPr>
          <w:p w14:paraId="51C91DE4" w14:textId="45817785"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F: 4.1%, M: 16.6%</w:t>
            </w:r>
          </w:p>
        </w:tc>
        <w:tc>
          <w:tcPr>
            <w:tcW w:w="1984" w:type="dxa"/>
            <w:shd w:val="clear" w:color="auto" w:fill="FFFFFF" w:themeFill="background1"/>
          </w:tcPr>
          <w:p w14:paraId="2B8CA7F8" w14:textId="677450D3" w:rsidR="001A662F"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3EF24429"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07E736C3" w14:textId="77777777" w:rsidR="001A662F" w:rsidRPr="00610088" w:rsidRDefault="001A662F" w:rsidP="002E0C12">
            <w:pPr>
              <w:rPr>
                <w:rFonts w:ascii="Arial Narrow" w:hAnsi="Arial Narrow"/>
                <w:b w:val="0"/>
                <w:bCs w:val="0"/>
                <w:color w:val="000000"/>
                <w:sz w:val="18"/>
                <w:szCs w:val="18"/>
                <w:lang w:val="en-GB"/>
              </w:rPr>
            </w:pPr>
          </w:p>
        </w:tc>
        <w:tc>
          <w:tcPr>
            <w:tcW w:w="5386" w:type="dxa"/>
            <w:shd w:val="clear" w:color="auto" w:fill="FFFFFF" w:themeFill="background1"/>
          </w:tcPr>
          <w:p w14:paraId="4C2C8F1C" w14:textId="5D700F93" w:rsidR="001A662F"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Alcohol use among persons aged 15+</w:t>
            </w:r>
          </w:p>
        </w:tc>
        <w:tc>
          <w:tcPr>
            <w:tcW w:w="2127" w:type="dxa"/>
            <w:shd w:val="clear" w:color="auto" w:fill="FFFFFF" w:themeFill="background1"/>
          </w:tcPr>
          <w:p w14:paraId="647B0ED2" w14:textId="3B9765EC" w:rsidR="001A662F"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F: 2.0%, M: 11.3%</w:t>
            </w:r>
          </w:p>
        </w:tc>
        <w:tc>
          <w:tcPr>
            <w:tcW w:w="1984" w:type="dxa"/>
            <w:shd w:val="clear" w:color="auto" w:fill="FFFFFF" w:themeFill="background1"/>
          </w:tcPr>
          <w:p w14:paraId="5FF46C79" w14:textId="7279C5EC" w:rsidR="001A662F"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527D2887"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1EA0BB56" w14:textId="77777777" w:rsidR="004075FC" w:rsidRPr="00610088" w:rsidRDefault="004075FC" w:rsidP="002E0C12">
            <w:pPr>
              <w:rPr>
                <w:rFonts w:ascii="Arial Narrow" w:hAnsi="Arial Narrow"/>
                <w:color w:val="000000"/>
                <w:sz w:val="18"/>
                <w:szCs w:val="18"/>
                <w:lang w:val="en-GB"/>
              </w:rPr>
            </w:pPr>
          </w:p>
        </w:tc>
        <w:tc>
          <w:tcPr>
            <w:tcW w:w="5386" w:type="dxa"/>
            <w:shd w:val="clear" w:color="auto" w:fill="FFFFFF" w:themeFill="background1"/>
          </w:tcPr>
          <w:p w14:paraId="173F978E" w14:textId="0111CF92" w:rsidR="004075FC"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Overweight prevalence </w:t>
            </w:r>
            <w:r w:rsidR="000A1B4C" w:rsidRPr="00610088">
              <w:rPr>
                <w:rFonts w:ascii="Arial Narrow" w:hAnsi="Arial Narrow"/>
                <w:color w:val="000000"/>
                <w:sz w:val="18"/>
                <w:szCs w:val="18"/>
                <w:lang w:val="en-GB"/>
              </w:rPr>
              <w:t>unde</w:t>
            </w:r>
            <w:r w:rsidR="004524EE" w:rsidRPr="00610088">
              <w:rPr>
                <w:rFonts w:ascii="Arial Narrow" w:hAnsi="Arial Narrow"/>
                <w:color w:val="000000"/>
                <w:sz w:val="18"/>
                <w:szCs w:val="18"/>
                <w:lang w:val="en-GB"/>
              </w:rPr>
              <w:t>r 5 years of age</w:t>
            </w:r>
          </w:p>
        </w:tc>
        <w:tc>
          <w:tcPr>
            <w:tcW w:w="2127" w:type="dxa"/>
            <w:shd w:val="clear" w:color="auto" w:fill="FFFFFF" w:themeFill="background1"/>
          </w:tcPr>
          <w:p w14:paraId="7DA5D6BC" w14:textId="7DBDEF86" w:rsidR="004075FC" w:rsidRPr="00610088" w:rsidRDefault="004075FC"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 SD: 4.</w:t>
            </w:r>
            <w:r w:rsidR="00C03C67" w:rsidRPr="00610088">
              <w:rPr>
                <w:rFonts w:ascii="Arial Narrow" w:hAnsi="Arial Narrow"/>
                <w:color w:val="000000"/>
                <w:sz w:val="18"/>
                <w:szCs w:val="18"/>
                <w:lang w:val="en-GB"/>
              </w:rPr>
              <w:t>5</w:t>
            </w:r>
            <w:r w:rsidRPr="00610088">
              <w:rPr>
                <w:rFonts w:ascii="Arial Narrow" w:hAnsi="Arial Narrow"/>
                <w:color w:val="000000"/>
                <w:sz w:val="18"/>
                <w:szCs w:val="18"/>
                <w:lang w:val="en-GB"/>
              </w:rPr>
              <w:t>%</w:t>
            </w:r>
          </w:p>
        </w:tc>
        <w:tc>
          <w:tcPr>
            <w:tcW w:w="1984" w:type="dxa"/>
            <w:shd w:val="clear" w:color="auto" w:fill="FFFFFF" w:themeFill="background1"/>
          </w:tcPr>
          <w:p w14:paraId="5E2BD452" w14:textId="478C21A7" w:rsidR="004075FC"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3DDF1478"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67CF3D43" w14:textId="77777777" w:rsidR="004075FC" w:rsidRPr="00610088" w:rsidRDefault="004075FC" w:rsidP="002E0C12">
            <w:pPr>
              <w:rPr>
                <w:rFonts w:ascii="Arial Narrow" w:hAnsi="Arial Narrow"/>
                <w:color w:val="000000"/>
                <w:sz w:val="18"/>
                <w:szCs w:val="18"/>
                <w:lang w:val="en-GB"/>
              </w:rPr>
            </w:pPr>
          </w:p>
        </w:tc>
        <w:tc>
          <w:tcPr>
            <w:tcW w:w="5386" w:type="dxa"/>
            <w:shd w:val="clear" w:color="auto" w:fill="FFFFFF" w:themeFill="background1"/>
          </w:tcPr>
          <w:p w14:paraId="146E2768" w14:textId="0198771B" w:rsidR="004075FC"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Injuries / harmful traditional practices</w:t>
            </w:r>
          </w:p>
        </w:tc>
        <w:tc>
          <w:tcPr>
            <w:tcW w:w="2127" w:type="dxa"/>
            <w:shd w:val="clear" w:color="auto" w:fill="FFFFFF" w:themeFill="background1"/>
          </w:tcPr>
          <w:p w14:paraId="60EA821E" w14:textId="77777777" w:rsidR="004075FC"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1F8EA1BA" w14:textId="77777777" w:rsidR="004075FC" w:rsidRPr="00610088" w:rsidRDefault="004075FC"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18600B99"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32210667" w14:textId="77777777" w:rsidR="004075FC" w:rsidRPr="00610088" w:rsidRDefault="004075FC" w:rsidP="002E0C12">
            <w:pPr>
              <w:rPr>
                <w:rFonts w:ascii="Arial Narrow" w:hAnsi="Arial Narrow"/>
                <w:color w:val="000000"/>
                <w:sz w:val="18"/>
                <w:szCs w:val="18"/>
                <w:lang w:val="en-GB"/>
              </w:rPr>
            </w:pPr>
          </w:p>
        </w:tc>
        <w:tc>
          <w:tcPr>
            <w:tcW w:w="5386" w:type="dxa"/>
            <w:shd w:val="clear" w:color="auto" w:fill="FFFFFF" w:themeFill="background1"/>
          </w:tcPr>
          <w:p w14:paraId="37FF69D8" w14:textId="02A74BB6" w:rsidR="004075FC" w:rsidRPr="00610088" w:rsidRDefault="005C6DCD"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Experienced any form (emotional, physical, sexual) of intimate partner violence in the </w:t>
            </w:r>
            <w:r w:rsidR="00FE10A7" w:rsidRPr="00610088">
              <w:rPr>
                <w:rFonts w:ascii="Arial Narrow" w:hAnsi="Arial Narrow"/>
                <w:color w:val="000000"/>
                <w:sz w:val="18"/>
                <w:szCs w:val="18"/>
                <w:lang w:val="en-GB"/>
              </w:rPr>
              <w:t>previous</w:t>
            </w:r>
            <w:r w:rsidRPr="00610088">
              <w:rPr>
                <w:rFonts w:ascii="Arial Narrow" w:hAnsi="Arial Narrow"/>
                <w:color w:val="000000"/>
                <w:sz w:val="18"/>
                <w:szCs w:val="18"/>
                <w:lang w:val="en-GB"/>
              </w:rPr>
              <w:t xml:space="preserve"> 12 months</w:t>
            </w:r>
          </w:p>
        </w:tc>
        <w:tc>
          <w:tcPr>
            <w:tcW w:w="2127" w:type="dxa"/>
            <w:shd w:val="clear" w:color="auto" w:fill="FFFFFF" w:themeFill="background1"/>
          </w:tcPr>
          <w:p w14:paraId="5C8C67CC" w14:textId="16A354E6" w:rsidR="004075FC" w:rsidRPr="00610088" w:rsidRDefault="005C6DCD"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highlight w:val="yellow"/>
                <w:lang w:val="en-GB"/>
              </w:rPr>
            </w:pPr>
            <w:r w:rsidRPr="00610088">
              <w:rPr>
                <w:rFonts w:ascii="Arial Narrow" w:hAnsi="Arial Narrow"/>
                <w:color w:val="000000"/>
                <w:sz w:val="18"/>
                <w:szCs w:val="18"/>
                <w:lang w:val="en-GB"/>
              </w:rPr>
              <w:t>F: 33.9%, M: 26.0%</w:t>
            </w:r>
          </w:p>
        </w:tc>
        <w:tc>
          <w:tcPr>
            <w:tcW w:w="1984" w:type="dxa"/>
            <w:shd w:val="clear" w:color="auto" w:fill="FFFFFF" w:themeFill="background1"/>
          </w:tcPr>
          <w:p w14:paraId="1176DF45" w14:textId="49A9AA5D" w:rsidR="004075FC" w:rsidRPr="00610088" w:rsidRDefault="00C60FE3"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2013</w:t>
            </w:r>
          </w:p>
        </w:tc>
      </w:tr>
      <w:tr w:rsidR="00C03C67" w:rsidRPr="00610088" w14:paraId="4E77D356"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68C33F2C" w14:textId="77777777" w:rsidR="004075FC" w:rsidRPr="00610088" w:rsidRDefault="004075FC" w:rsidP="002E0C12">
            <w:pPr>
              <w:rPr>
                <w:rFonts w:ascii="Arial Narrow" w:hAnsi="Arial Narrow"/>
                <w:color w:val="000000"/>
                <w:sz w:val="18"/>
                <w:szCs w:val="18"/>
                <w:lang w:val="en-GB"/>
              </w:rPr>
            </w:pPr>
          </w:p>
        </w:tc>
        <w:tc>
          <w:tcPr>
            <w:tcW w:w="5386" w:type="dxa"/>
            <w:shd w:val="clear" w:color="auto" w:fill="FFFFFF" w:themeFill="background1"/>
          </w:tcPr>
          <w:p w14:paraId="255B7B1D" w14:textId="346EAE21" w:rsidR="004075FC"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Prevalence of female genital mutilation/cutting</w:t>
            </w:r>
          </w:p>
        </w:tc>
        <w:tc>
          <w:tcPr>
            <w:tcW w:w="2127" w:type="dxa"/>
            <w:shd w:val="clear" w:color="auto" w:fill="FFFFFF" w:themeFill="background1"/>
          </w:tcPr>
          <w:p w14:paraId="418ED23D" w14:textId="456C5D55" w:rsidR="004075FC"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86.1%</w:t>
            </w:r>
          </w:p>
        </w:tc>
        <w:tc>
          <w:tcPr>
            <w:tcW w:w="1984" w:type="dxa"/>
            <w:shd w:val="clear" w:color="auto" w:fill="FFFFFF" w:themeFill="background1"/>
          </w:tcPr>
          <w:p w14:paraId="1F244BAC" w14:textId="50D16CE5" w:rsidR="004075FC"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43B1605C"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6F2DA971" w14:textId="77777777" w:rsidR="001A662F" w:rsidRPr="00610088" w:rsidRDefault="001A662F" w:rsidP="002E0C12">
            <w:pPr>
              <w:rPr>
                <w:rFonts w:ascii="Arial Narrow" w:hAnsi="Arial Narrow"/>
                <w:b w:val="0"/>
                <w:bCs w:val="0"/>
                <w:color w:val="000000"/>
                <w:sz w:val="18"/>
                <w:szCs w:val="18"/>
                <w:lang w:val="en-GB"/>
              </w:rPr>
            </w:pPr>
          </w:p>
        </w:tc>
        <w:tc>
          <w:tcPr>
            <w:tcW w:w="5386" w:type="dxa"/>
            <w:shd w:val="clear" w:color="auto" w:fill="FFFFFF" w:themeFill="background1"/>
          </w:tcPr>
          <w:p w14:paraId="45CA3801" w14:textId="06CC131F" w:rsidR="001A662F"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Early marriage</w:t>
            </w:r>
          </w:p>
        </w:tc>
        <w:tc>
          <w:tcPr>
            <w:tcW w:w="2127" w:type="dxa"/>
            <w:shd w:val="clear" w:color="auto" w:fill="FFFFFF" w:themeFill="background1"/>
          </w:tcPr>
          <w:p w14:paraId="76155C1B" w14:textId="77777777" w:rsidR="001A662F"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&lt; 15 years: F 12.9%, M 2.8%</w:t>
            </w:r>
          </w:p>
          <w:p w14:paraId="79D36430" w14:textId="34F232BA"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&lt; 18 years: F 29.9%, M 6.5%</w:t>
            </w:r>
          </w:p>
        </w:tc>
        <w:tc>
          <w:tcPr>
            <w:tcW w:w="1984" w:type="dxa"/>
            <w:shd w:val="clear" w:color="auto" w:fill="FFFFFF" w:themeFill="background1"/>
          </w:tcPr>
          <w:p w14:paraId="3DB77FDF" w14:textId="1D17BD42" w:rsidR="001A662F"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51E64B53" w14:textId="77777777" w:rsidTr="00E71579">
        <w:tc>
          <w:tcPr>
            <w:cnfStyle w:val="001000000000" w:firstRow="0" w:lastRow="0" w:firstColumn="1" w:lastColumn="0" w:oddVBand="0" w:evenVBand="0" w:oddHBand="0" w:evenHBand="0" w:firstRowFirstColumn="0" w:firstRowLastColumn="0" w:lastRowFirstColumn="0" w:lastRowLastColumn="0"/>
            <w:tcW w:w="279" w:type="dxa"/>
            <w:vMerge w:val="restart"/>
            <w:shd w:val="clear" w:color="auto" w:fill="4472C4" w:themeFill="accent1"/>
            <w:textDirection w:val="btLr"/>
            <w:vAlign w:val="center"/>
          </w:tcPr>
          <w:p w14:paraId="7E3D2D05" w14:textId="68613143" w:rsidR="00962978" w:rsidRPr="00610088" w:rsidRDefault="00962978" w:rsidP="002E0C12">
            <w:pPr>
              <w:ind w:left="113" w:right="113"/>
              <w:jc w:val="center"/>
              <w:rPr>
                <w:rFonts w:ascii="Arial Narrow" w:hAnsi="Arial Narrow"/>
                <w:color w:val="FFFFFF" w:themeColor="background1"/>
                <w:sz w:val="18"/>
                <w:szCs w:val="18"/>
                <w:lang w:val="en-GB"/>
              </w:rPr>
            </w:pPr>
            <w:r w:rsidRPr="00610088">
              <w:rPr>
                <w:rFonts w:ascii="Arial Narrow" w:hAnsi="Arial Narrow"/>
                <w:b w:val="0"/>
                <w:bCs w:val="0"/>
                <w:color w:val="FFFFFF" w:themeColor="background1"/>
                <w:sz w:val="18"/>
                <w:szCs w:val="18"/>
                <w:lang w:val="en-GB"/>
              </w:rPr>
              <w:t>Service coverage</w:t>
            </w:r>
          </w:p>
        </w:tc>
        <w:tc>
          <w:tcPr>
            <w:tcW w:w="5386" w:type="dxa"/>
            <w:shd w:val="clear" w:color="auto" w:fill="FFFFFF" w:themeFill="background1"/>
          </w:tcPr>
          <w:p w14:paraId="0BF501A5" w14:textId="28064924"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 xml:space="preserve">Reproductive, maternal, </w:t>
            </w:r>
            <w:proofErr w:type="spellStart"/>
            <w:r w:rsidRPr="00610088">
              <w:rPr>
                <w:rFonts w:ascii="Arial Narrow" w:hAnsi="Arial Narrow"/>
                <w:b/>
                <w:bCs/>
                <w:color w:val="000000"/>
                <w:sz w:val="18"/>
                <w:szCs w:val="18"/>
                <w:lang w:val="en-GB"/>
              </w:rPr>
              <w:t>newborn</w:t>
            </w:r>
            <w:proofErr w:type="spellEnd"/>
            <w:r w:rsidRPr="00610088">
              <w:rPr>
                <w:rFonts w:ascii="Arial Narrow" w:hAnsi="Arial Narrow"/>
                <w:b/>
                <w:bCs/>
                <w:color w:val="000000"/>
                <w:sz w:val="18"/>
                <w:szCs w:val="18"/>
                <w:lang w:val="en-GB"/>
              </w:rPr>
              <w:t>, child and adolescent</w:t>
            </w:r>
          </w:p>
        </w:tc>
        <w:tc>
          <w:tcPr>
            <w:tcW w:w="2127" w:type="dxa"/>
            <w:shd w:val="clear" w:color="auto" w:fill="FFFFFF" w:themeFill="background1"/>
          </w:tcPr>
          <w:p w14:paraId="514CCEEA" w14:textId="77777777"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0AAAB4C9" w14:textId="77777777"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2BAFC238" w14:textId="77777777" w:rsidTr="0066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extDirection w:val="btLr"/>
            <w:vAlign w:val="center"/>
          </w:tcPr>
          <w:p w14:paraId="7F3F4717" w14:textId="4140A75B" w:rsidR="00962978" w:rsidRPr="00610088" w:rsidRDefault="00962978" w:rsidP="002E0C12">
            <w:pPr>
              <w:ind w:left="113" w:right="113"/>
              <w:jc w:val="center"/>
              <w:rPr>
                <w:rFonts w:ascii="Arial Narrow" w:hAnsi="Arial Narrow"/>
                <w:color w:val="FFFFFF" w:themeColor="background1"/>
                <w:sz w:val="18"/>
                <w:szCs w:val="18"/>
                <w:lang w:val="en-GB"/>
              </w:rPr>
            </w:pPr>
          </w:p>
        </w:tc>
        <w:tc>
          <w:tcPr>
            <w:tcW w:w="5386" w:type="dxa"/>
            <w:shd w:val="clear" w:color="auto" w:fill="auto"/>
          </w:tcPr>
          <w:p w14:paraId="399729DA" w14:textId="0F656B2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Demand for family planning satisfied with modern methods</w:t>
            </w:r>
            <w:r w:rsidR="00667003" w:rsidRPr="00610088">
              <w:rPr>
                <w:rFonts w:ascii="Arial Narrow" w:hAnsi="Arial Narrow"/>
                <w:color w:val="000000"/>
                <w:sz w:val="18"/>
                <w:szCs w:val="18"/>
                <w:lang w:val="en-GB"/>
              </w:rPr>
              <w:t xml:space="preserve"> (currently married)</w:t>
            </w:r>
          </w:p>
        </w:tc>
        <w:tc>
          <w:tcPr>
            <w:tcW w:w="2127" w:type="dxa"/>
            <w:shd w:val="clear" w:color="auto" w:fill="auto"/>
          </w:tcPr>
          <w:p w14:paraId="772D6AA1" w14:textId="5A311721"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4</w:t>
            </w:r>
            <w:r w:rsidR="00667003" w:rsidRPr="00610088">
              <w:rPr>
                <w:rFonts w:ascii="Arial Narrow" w:hAnsi="Arial Narrow"/>
                <w:color w:val="000000"/>
                <w:sz w:val="18"/>
                <w:szCs w:val="18"/>
                <w:lang w:val="en-GB"/>
              </w:rPr>
              <w:t>5.4%</w:t>
            </w:r>
          </w:p>
        </w:tc>
        <w:tc>
          <w:tcPr>
            <w:tcW w:w="1984" w:type="dxa"/>
            <w:shd w:val="clear" w:color="auto" w:fill="auto"/>
          </w:tcPr>
          <w:p w14:paraId="2460ABE9" w14:textId="56107566" w:rsidR="00962978" w:rsidRPr="00610088" w:rsidRDefault="00667003"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032C9459"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extDirection w:val="btLr"/>
            <w:vAlign w:val="center"/>
          </w:tcPr>
          <w:p w14:paraId="10BA9725" w14:textId="2B493964" w:rsidR="00962978" w:rsidRPr="00610088" w:rsidRDefault="00962978" w:rsidP="002E0C12">
            <w:pPr>
              <w:ind w:left="113" w:right="113"/>
              <w:jc w:val="center"/>
              <w:rPr>
                <w:rFonts w:ascii="Arial Narrow" w:hAnsi="Arial Narrow"/>
                <w:color w:val="FFFFFF" w:themeColor="background1"/>
                <w:sz w:val="18"/>
                <w:szCs w:val="18"/>
                <w:lang w:val="en-GB"/>
              </w:rPr>
            </w:pPr>
          </w:p>
        </w:tc>
        <w:tc>
          <w:tcPr>
            <w:tcW w:w="5386" w:type="dxa"/>
            <w:shd w:val="clear" w:color="auto" w:fill="FFFFFF" w:themeFill="background1"/>
          </w:tcPr>
          <w:p w14:paraId="61450DC7" w14:textId="3504B74D"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Contraceptive prevalence rate</w:t>
            </w:r>
            <w:r w:rsidR="00667003" w:rsidRPr="00610088">
              <w:rPr>
                <w:rFonts w:ascii="Arial Narrow" w:hAnsi="Arial Narrow"/>
                <w:color w:val="000000"/>
                <w:sz w:val="18"/>
                <w:szCs w:val="18"/>
                <w:lang w:val="en-GB"/>
              </w:rPr>
              <w:t xml:space="preserve"> (currently married)</w:t>
            </w:r>
          </w:p>
        </w:tc>
        <w:tc>
          <w:tcPr>
            <w:tcW w:w="2127" w:type="dxa"/>
            <w:shd w:val="clear" w:color="auto" w:fill="FFFFFF" w:themeFill="background1"/>
          </w:tcPr>
          <w:p w14:paraId="312E72FF" w14:textId="70BB87FE"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w:t>
            </w:r>
            <w:r w:rsidR="00667003" w:rsidRPr="00610088">
              <w:rPr>
                <w:rFonts w:ascii="Arial Narrow" w:hAnsi="Arial Narrow"/>
                <w:color w:val="000000"/>
                <w:sz w:val="18"/>
                <w:szCs w:val="18"/>
                <w:lang w:val="en-GB"/>
              </w:rPr>
              <w:t>1.2%</w:t>
            </w:r>
          </w:p>
        </w:tc>
        <w:tc>
          <w:tcPr>
            <w:tcW w:w="1984" w:type="dxa"/>
            <w:shd w:val="clear" w:color="auto" w:fill="FFFFFF" w:themeFill="background1"/>
          </w:tcPr>
          <w:p w14:paraId="5DFE6319" w14:textId="20FA0826" w:rsidR="00962978" w:rsidRPr="00610088" w:rsidRDefault="00667003"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4EC85A8A"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extDirection w:val="btLr"/>
            <w:vAlign w:val="center"/>
          </w:tcPr>
          <w:p w14:paraId="50875183" w14:textId="58054DA7" w:rsidR="00962978" w:rsidRPr="00610088" w:rsidRDefault="00962978" w:rsidP="002E0C12">
            <w:pPr>
              <w:ind w:left="113" w:right="113"/>
              <w:jc w:val="center"/>
              <w:rPr>
                <w:rFonts w:ascii="Arial Narrow" w:hAnsi="Arial Narrow"/>
                <w:b w:val="0"/>
                <w:bCs w:val="0"/>
                <w:color w:val="FFFFFF" w:themeColor="background1"/>
                <w:sz w:val="18"/>
                <w:szCs w:val="18"/>
                <w:lang w:val="en-GB"/>
              </w:rPr>
            </w:pPr>
          </w:p>
        </w:tc>
        <w:tc>
          <w:tcPr>
            <w:tcW w:w="5386" w:type="dxa"/>
            <w:shd w:val="clear" w:color="auto" w:fill="FFFFFF" w:themeFill="background1"/>
          </w:tcPr>
          <w:p w14:paraId="724EFBFB" w14:textId="15732122"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Antenatal care coverage (at least 4 times)</w:t>
            </w:r>
          </w:p>
        </w:tc>
        <w:tc>
          <w:tcPr>
            <w:tcW w:w="2127" w:type="dxa"/>
            <w:shd w:val="clear" w:color="auto" w:fill="FFFFFF" w:themeFill="background1"/>
          </w:tcPr>
          <w:p w14:paraId="5B25D3E1" w14:textId="49DB86F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7</w:t>
            </w:r>
            <w:r w:rsidR="00C03C67" w:rsidRPr="00610088">
              <w:rPr>
                <w:rFonts w:ascii="Arial Narrow" w:hAnsi="Arial Narrow"/>
                <w:color w:val="000000"/>
                <w:sz w:val="18"/>
                <w:szCs w:val="18"/>
                <w:lang w:val="en-GB"/>
              </w:rPr>
              <w:t>8.8%</w:t>
            </w:r>
          </w:p>
        </w:tc>
        <w:tc>
          <w:tcPr>
            <w:tcW w:w="1984" w:type="dxa"/>
            <w:shd w:val="clear" w:color="auto" w:fill="FFFFFF" w:themeFill="background1"/>
          </w:tcPr>
          <w:p w14:paraId="553E36C7" w14:textId="564C8295" w:rsidR="00962978"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19ECB108"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57D0CAFE" w14:textId="77777777" w:rsidR="00962978" w:rsidRPr="00610088" w:rsidRDefault="00962978" w:rsidP="002E0C12">
            <w:pPr>
              <w:rPr>
                <w:rFonts w:ascii="Arial Narrow" w:hAnsi="Arial Narrow"/>
                <w:b w:val="0"/>
                <w:bCs w:val="0"/>
                <w:color w:val="000000"/>
                <w:sz w:val="18"/>
                <w:szCs w:val="18"/>
                <w:lang w:val="en-GB"/>
              </w:rPr>
            </w:pPr>
          </w:p>
        </w:tc>
        <w:tc>
          <w:tcPr>
            <w:tcW w:w="5386" w:type="dxa"/>
            <w:shd w:val="clear" w:color="auto" w:fill="FFFFFF" w:themeFill="background1"/>
          </w:tcPr>
          <w:p w14:paraId="00084765" w14:textId="1EDDE81C"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Institutional deliveries</w:t>
            </w:r>
          </w:p>
        </w:tc>
        <w:tc>
          <w:tcPr>
            <w:tcW w:w="2127" w:type="dxa"/>
            <w:shd w:val="clear" w:color="auto" w:fill="FFFFFF" w:themeFill="background1"/>
          </w:tcPr>
          <w:p w14:paraId="58A7AE5A" w14:textId="75C0A1A4" w:rsidR="00962978" w:rsidRPr="00610088" w:rsidRDefault="00C03C67"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83.4%</w:t>
            </w:r>
          </w:p>
        </w:tc>
        <w:tc>
          <w:tcPr>
            <w:tcW w:w="1984" w:type="dxa"/>
            <w:shd w:val="clear" w:color="auto" w:fill="FFFFFF" w:themeFill="background1"/>
          </w:tcPr>
          <w:p w14:paraId="33D8A989" w14:textId="77E8220C" w:rsidR="00962978" w:rsidRPr="00610088" w:rsidRDefault="00C03C67"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66671E5F"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28504597" w14:textId="77777777" w:rsidR="00962978" w:rsidRPr="00610088" w:rsidRDefault="00962978" w:rsidP="002E0C12">
            <w:pPr>
              <w:rPr>
                <w:rFonts w:ascii="Arial Narrow" w:hAnsi="Arial Narrow"/>
                <w:b w:val="0"/>
                <w:bCs w:val="0"/>
                <w:color w:val="000000"/>
                <w:sz w:val="18"/>
                <w:szCs w:val="18"/>
                <w:lang w:val="en-GB"/>
              </w:rPr>
            </w:pPr>
          </w:p>
        </w:tc>
        <w:tc>
          <w:tcPr>
            <w:tcW w:w="5386" w:type="dxa"/>
            <w:shd w:val="clear" w:color="auto" w:fill="FFFFFF" w:themeFill="background1"/>
          </w:tcPr>
          <w:p w14:paraId="2A8A88D9" w14:textId="31EC1886"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Postnatal health check for the </w:t>
            </w:r>
            <w:proofErr w:type="spellStart"/>
            <w:r w:rsidRPr="00610088">
              <w:rPr>
                <w:rFonts w:ascii="Arial Narrow" w:hAnsi="Arial Narrow"/>
                <w:color w:val="000000"/>
                <w:sz w:val="18"/>
                <w:szCs w:val="18"/>
                <w:lang w:val="en-GB"/>
              </w:rPr>
              <w:t>newborn</w:t>
            </w:r>
            <w:proofErr w:type="spellEnd"/>
            <w:r w:rsidRPr="00610088">
              <w:rPr>
                <w:rFonts w:ascii="Arial Narrow" w:hAnsi="Arial Narrow"/>
                <w:color w:val="000000"/>
                <w:sz w:val="18"/>
                <w:szCs w:val="18"/>
                <w:lang w:val="en-GB"/>
              </w:rPr>
              <w:t xml:space="preserve"> (first 2 days) / mother (first 2 days)</w:t>
            </w:r>
          </w:p>
        </w:tc>
        <w:tc>
          <w:tcPr>
            <w:tcW w:w="2127" w:type="dxa"/>
            <w:shd w:val="clear" w:color="auto" w:fill="FFFFFF" w:themeFill="background1"/>
          </w:tcPr>
          <w:p w14:paraId="073847DA" w14:textId="7777777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91.9% / 90.4%</w:t>
            </w:r>
          </w:p>
          <w:p w14:paraId="1FB0C241" w14:textId="33176841" w:rsidR="00C03C67" w:rsidRPr="00610088" w:rsidRDefault="00BC5195"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Awaits results</w:t>
            </w:r>
            <w:r w:rsidR="00C03C67" w:rsidRPr="00610088">
              <w:rPr>
                <w:rFonts w:ascii="Arial Narrow" w:hAnsi="Arial Narrow"/>
                <w:color w:val="000000"/>
                <w:sz w:val="18"/>
                <w:szCs w:val="18"/>
                <w:lang w:val="en-GB"/>
              </w:rPr>
              <w:t xml:space="preserve"> / 86.0%</w:t>
            </w:r>
          </w:p>
        </w:tc>
        <w:tc>
          <w:tcPr>
            <w:tcW w:w="1984" w:type="dxa"/>
            <w:shd w:val="clear" w:color="auto" w:fill="FFFFFF" w:themeFill="background1"/>
          </w:tcPr>
          <w:p w14:paraId="18DFCC56" w14:textId="7777777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p w14:paraId="5B18EDC9" w14:textId="07578A35" w:rsidR="00C03C67"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286433AE"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6FF3416B" w14:textId="77777777" w:rsidR="00962978" w:rsidRPr="00610088" w:rsidRDefault="00962978" w:rsidP="002E0C12">
            <w:pPr>
              <w:rPr>
                <w:rFonts w:ascii="Arial Narrow" w:hAnsi="Arial Narrow"/>
                <w:color w:val="000000"/>
                <w:sz w:val="18"/>
                <w:szCs w:val="18"/>
                <w:lang w:val="en-GB"/>
              </w:rPr>
            </w:pPr>
          </w:p>
        </w:tc>
        <w:tc>
          <w:tcPr>
            <w:tcW w:w="5386" w:type="dxa"/>
            <w:shd w:val="clear" w:color="auto" w:fill="FFFFFF" w:themeFill="background1"/>
          </w:tcPr>
          <w:p w14:paraId="62218B66" w14:textId="736255F2"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Immunization</w:t>
            </w:r>
          </w:p>
        </w:tc>
        <w:tc>
          <w:tcPr>
            <w:tcW w:w="2127" w:type="dxa"/>
            <w:shd w:val="clear" w:color="auto" w:fill="FFFFFF" w:themeFill="background1"/>
          </w:tcPr>
          <w:p w14:paraId="3BEDA6B1" w14:textId="77777777"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27209797" w14:textId="77777777"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1622B30E"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1D050100" w14:textId="77777777" w:rsidR="00962978" w:rsidRPr="00610088" w:rsidRDefault="00962978" w:rsidP="002E0C12">
            <w:pPr>
              <w:rPr>
                <w:rFonts w:ascii="Arial Narrow" w:hAnsi="Arial Narrow"/>
                <w:b w:val="0"/>
                <w:bCs w:val="0"/>
                <w:color w:val="000000"/>
                <w:sz w:val="18"/>
                <w:szCs w:val="18"/>
                <w:lang w:val="en-GB"/>
              </w:rPr>
            </w:pPr>
          </w:p>
        </w:tc>
        <w:tc>
          <w:tcPr>
            <w:tcW w:w="5386" w:type="dxa"/>
            <w:shd w:val="clear" w:color="auto" w:fill="FFFFFF" w:themeFill="background1"/>
          </w:tcPr>
          <w:p w14:paraId="64041259" w14:textId="24ED84B4"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Full </w:t>
            </w:r>
            <w:r w:rsidR="00C03C67" w:rsidRPr="00610088">
              <w:rPr>
                <w:rFonts w:ascii="Arial Narrow" w:hAnsi="Arial Narrow"/>
                <w:color w:val="000000"/>
                <w:sz w:val="18"/>
                <w:szCs w:val="18"/>
                <w:lang w:val="en-GB"/>
              </w:rPr>
              <w:t xml:space="preserve">/ basic </w:t>
            </w:r>
            <w:r w:rsidRPr="00610088">
              <w:rPr>
                <w:rFonts w:ascii="Arial Narrow" w:hAnsi="Arial Narrow"/>
                <w:color w:val="000000"/>
                <w:sz w:val="18"/>
                <w:szCs w:val="18"/>
                <w:lang w:val="en-GB"/>
              </w:rPr>
              <w:t>immunization coverage (12-23 months children)</w:t>
            </w:r>
          </w:p>
        </w:tc>
        <w:tc>
          <w:tcPr>
            <w:tcW w:w="2127" w:type="dxa"/>
            <w:shd w:val="clear" w:color="auto" w:fill="FFFFFF" w:themeFill="background1"/>
          </w:tcPr>
          <w:p w14:paraId="0B40C6C3" w14:textId="60830627" w:rsidR="00962978"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50.0% / 56.3%</w:t>
            </w:r>
          </w:p>
        </w:tc>
        <w:tc>
          <w:tcPr>
            <w:tcW w:w="1984" w:type="dxa"/>
            <w:shd w:val="clear" w:color="auto" w:fill="FFFFFF" w:themeFill="background1"/>
          </w:tcPr>
          <w:p w14:paraId="4F15E5EE" w14:textId="41CB1C71" w:rsidR="00962978" w:rsidRPr="00610088" w:rsidRDefault="00C03C67"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6115C9A0"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63E05A3D" w14:textId="77777777" w:rsidR="00962978" w:rsidRPr="00610088" w:rsidRDefault="00962978" w:rsidP="002E0C12">
            <w:pPr>
              <w:rPr>
                <w:rFonts w:ascii="Arial Narrow" w:hAnsi="Arial Narrow"/>
                <w:color w:val="000000"/>
                <w:sz w:val="18"/>
                <w:szCs w:val="18"/>
                <w:lang w:val="en-GB"/>
              </w:rPr>
            </w:pPr>
          </w:p>
        </w:tc>
        <w:tc>
          <w:tcPr>
            <w:tcW w:w="5386" w:type="dxa"/>
            <w:shd w:val="clear" w:color="auto" w:fill="FFFFFF" w:themeFill="background1"/>
          </w:tcPr>
          <w:p w14:paraId="30F2C102" w14:textId="3D78B355"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Hepatitis B immunization coverage (12-23 months children)</w:t>
            </w:r>
            <w:r w:rsidR="00C03C67" w:rsidRPr="00610088">
              <w:rPr>
                <w:rFonts w:ascii="Arial Narrow" w:hAnsi="Arial Narrow"/>
                <w:color w:val="000000"/>
                <w:sz w:val="18"/>
                <w:szCs w:val="18"/>
                <w:lang w:val="en-GB"/>
              </w:rPr>
              <w:t xml:space="preserve"> – Penta 3</w:t>
            </w:r>
          </w:p>
        </w:tc>
        <w:tc>
          <w:tcPr>
            <w:tcW w:w="2127" w:type="dxa"/>
            <w:shd w:val="clear" w:color="auto" w:fill="FFFFFF" w:themeFill="background1"/>
          </w:tcPr>
          <w:p w14:paraId="6BE34450" w14:textId="241E3AC3" w:rsidR="00962978" w:rsidRPr="00610088" w:rsidRDefault="00C03C67"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78.1%</w:t>
            </w:r>
          </w:p>
        </w:tc>
        <w:tc>
          <w:tcPr>
            <w:tcW w:w="1984" w:type="dxa"/>
            <w:shd w:val="clear" w:color="auto" w:fill="FFFFFF" w:themeFill="background1"/>
          </w:tcPr>
          <w:p w14:paraId="08C0A20F" w14:textId="4C403D48" w:rsidR="00962978" w:rsidRPr="00610088" w:rsidRDefault="00C03C67"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DHS 2019</w:t>
            </w:r>
          </w:p>
        </w:tc>
      </w:tr>
      <w:tr w:rsidR="00C03C67" w:rsidRPr="00610088" w14:paraId="29572730"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4CCBCB75" w14:textId="77777777" w:rsidR="00962978" w:rsidRPr="00610088" w:rsidRDefault="00962978" w:rsidP="002E0C12">
            <w:pPr>
              <w:rPr>
                <w:rFonts w:ascii="Arial Narrow" w:hAnsi="Arial Narrow"/>
                <w:color w:val="000000"/>
                <w:sz w:val="18"/>
                <w:szCs w:val="18"/>
                <w:lang w:val="en-GB"/>
              </w:rPr>
            </w:pPr>
          </w:p>
        </w:tc>
        <w:tc>
          <w:tcPr>
            <w:tcW w:w="5386" w:type="dxa"/>
            <w:shd w:val="clear" w:color="auto" w:fill="FFFFFF" w:themeFill="background1"/>
          </w:tcPr>
          <w:p w14:paraId="41492324" w14:textId="296BA453"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highlight w:val="yellow"/>
                <w:lang w:val="en-GB"/>
              </w:rPr>
            </w:pPr>
            <w:r w:rsidRPr="00610088">
              <w:rPr>
                <w:rFonts w:ascii="Arial Narrow" w:hAnsi="Arial Narrow"/>
                <w:b/>
                <w:bCs/>
                <w:color w:val="000000"/>
                <w:sz w:val="18"/>
                <w:szCs w:val="18"/>
                <w:lang w:val="en-GB"/>
              </w:rPr>
              <w:t>Malaria</w:t>
            </w:r>
          </w:p>
        </w:tc>
        <w:tc>
          <w:tcPr>
            <w:tcW w:w="2127" w:type="dxa"/>
            <w:shd w:val="clear" w:color="auto" w:fill="FFFFFF" w:themeFill="background1"/>
          </w:tcPr>
          <w:p w14:paraId="2DD5FB8A" w14:textId="7777777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051FA059" w14:textId="77777777" w:rsidR="00962978" w:rsidRPr="00610088" w:rsidRDefault="0096297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23FC8219"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4C3BE086" w14:textId="77777777" w:rsidR="00962978" w:rsidRPr="00610088" w:rsidRDefault="00962978" w:rsidP="002E0C12">
            <w:pPr>
              <w:rPr>
                <w:rFonts w:ascii="Arial Narrow" w:hAnsi="Arial Narrow"/>
                <w:b w:val="0"/>
                <w:bCs w:val="0"/>
                <w:color w:val="000000"/>
                <w:sz w:val="18"/>
                <w:szCs w:val="18"/>
                <w:lang w:val="en-GB"/>
              </w:rPr>
            </w:pPr>
          </w:p>
        </w:tc>
        <w:tc>
          <w:tcPr>
            <w:tcW w:w="5386" w:type="dxa"/>
            <w:shd w:val="clear" w:color="auto" w:fill="FFFFFF" w:themeFill="background1"/>
          </w:tcPr>
          <w:p w14:paraId="3021569D" w14:textId="193EA267" w:rsidR="00962978" w:rsidRPr="00610088" w:rsidRDefault="0096297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highlight w:val="yellow"/>
                <w:lang w:val="en-GB"/>
              </w:rPr>
            </w:pPr>
            <w:r w:rsidRPr="00610088">
              <w:rPr>
                <w:rFonts w:ascii="Arial Narrow" w:hAnsi="Arial Narrow"/>
                <w:color w:val="000000"/>
                <w:sz w:val="18"/>
                <w:szCs w:val="18"/>
                <w:lang w:val="en-GB"/>
              </w:rPr>
              <w:t>Use of insecticide treated nets (general / Under five / pregnant women)</w:t>
            </w:r>
          </w:p>
        </w:tc>
        <w:tc>
          <w:tcPr>
            <w:tcW w:w="2127" w:type="dxa"/>
            <w:shd w:val="clear" w:color="auto" w:fill="FFFFFF" w:themeFill="background1"/>
          </w:tcPr>
          <w:p w14:paraId="0A048806" w14:textId="0D2EE211" w:rsidR="00962978" w:rsidRPr="00610088" w:rsidRDefault="005A5D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52.9% / 59.5% / 60.0 %</w:t>
            </w:r>
          </w:p>
        </w:tc>
        <w:tc>
          <w:tcPr>
            <w:tcW w:w="1984" w:type="dxa"/>
            <w:shd w:val="clear" w:color="auto" w:fill="FFFFFF" w:themeFill="background1"/>
          </w:tcPr>
          <w:p w14:paraId="6AE3107D" w14:textId="369C8C3C" w:rsidR="00962978" w:rsidRPr="00610088" w:rsidRDefault="005A5D2F"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46B514EE"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4472C4" w:themeFill="accent1"/>
          </w:tcPr>
          <w:p w14:paraId="13E3981C" w14:textId="77777777" w:rsidR="00962978" w:rsidRPr="00610088" w:rsidRDefault="00962978" w:rsidP="002E0C12">
            <w:pPr>
              <w:rPr>
                <w:rFonts w:ascii="Arial Narrow" w:hAnsi="Arial Narrow"/>
                <w:color w:val="000000"/>
                <w:sz w:val="18"/>
                <w:szCs w:val="18"/>
                <w:lang w:val="en-GB"/>
              </w:rPr>
            </w:pPr>
          </w:p>
        </w:tc>
        <w:tc>
          <w:tcPr>
            <w:tcW w:w="5386" w:type="dxa"/>
            <w:shd w:val="clear" w:color="auto" w:fill="FFFFFF" w:themeFill="background1"/>
          </w:tcPr>
          <w:p w14:paraId="1D4F2571" w14:textId="3EF8FA85" w:rsidR="00962978" w:rsidRPr="00610088" w:rsidRDefault="005A5D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Intermittent Preventive Therapy for malaria during pregnancy</w:t>
            </w:r>
          </w:p>
        </w:tc>
        <w:tc>
          <w:tcPr>
            <w:tcW w:w="2127" w:type="dxa"/>
            <w:shd w:val="clear" w:color="auto" w:fill="FFFFFF" w:themeFill="background1"/>
          </w:tcPr>
          <w:p w14:paraId="005C2D88" w14:textId="28049CB3" w:rsidR="00962978" w:rsidRPr="00610088" w:rsidRDefault="005A5D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26.8% </w:t>
            </w:r>
          </w:p>
        </w:tc>
        <w:tc>
          <w:tcPr>
            <w:tcW w:w="1984" w:type="dxa"/>
            <w:shd w:val="clear" w:color="auto" w:fill="FFFFFF" w:themeFill="background1"/>
          </w:tcPr>
          <w:p w14:paraId="6B4B66D6" w14:textId="1E008D4B" w:rsidR="00962978" w:rsidRPr="00610088" w:rsidRDefault="005A5D2F"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61E3357E" w14:textId="77777777" w:rsidTr="00E71579">
        <w:tc>
          <w:tcPr>
            <w:cnfStyle w:val="001000000000" w:firstRow="0" w:lastRow="0" w:firstColumn="1" w:lastColumn="0" w:oddVBand="0" w:evenVBand="0" w:oddHBand="0" w:evenHBand="0" w:firstRowFirstColumn="0" w:firstRowLastColumn="0" w:lastRowFirstColumn="0" w:lastRowLastColumn="0"/>
            <w:tcW w:w="279" w:type="dxa"/>
            <w:vMerge w:val="restart"/>
            <w:shd w:val="clear" w:color="auto" w:fill="9CC2E5" w:themeFill="accent5" w:themeFillTint="99"/>
            <w:textDirection w:val="btLr"/>
          </w:tcPr>
          <w:p w14:paraId="43F83E9A" w14:textId="5151CF14" w:rsidR="000347C8" w:rsidRPr="00610088" w:rsidRDefault="000347C8" w:rsidP="000347C8">
            <w:pPr>
              <w:ind w:left="113" w:right="113"/>
              <w:jc w:val="center"/>
              <w:rPr>
                <w:rFonts w:ascii="Arial Narrow" w:hAnsi="Arial Narrow"/>
                <w:b w:val="0"/>
                <w:bCs w:val="0"/>
                <w:color w:val="000000"/>
                <w:sz w:val="18"/>
                <w:szCs w:val="18"/>
                <w:lang w:val="en-GB"/>
              </w:rPr>
            </w:pPr>
            <w:r w:rsidRPr="00610088">
              <w:rPr>
                <w:rFonts w:ascii="Arial Narrow" w:hAnsi="Arial Narrow"/>
                <w:b w:val="0"/>
                <w:bCs w:val="0"/>
                <w:color w:val="FFFFFF" w:themeColor="background1"/>
                <w:sz w:val="18"/>
                <w:szCs w:val="18"/>
                <w:lang w:val="en-GB"/>
              </w:rPr>
              <w:t>Health systems</w:t>
            </w:r>
          </w:p>
        </w:tc>
        <w:tc>
          <w:tcPr>
            <w:tcW w:w="5386" w:type="dxa"/>
            <w:shd w:val="clear" w:color="auto" w:fill="FFFFFF" w:themeFill="background1"/>
          </w:tcPr>
          <w:p w14:paraId="25866D7E" w14:textId="54C04E5D"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 xml:space="preserve">Health work force </w:t>
            </w:r>
          </w:p>
        </w:tc>
        <w:tc>
          <w:tcPr>
            <w:tcW w:w="2127" w:type="dxa"/>
            <w:shd w:val="clear" w:color="auto" w:fill="FFFFFF" w:themeFill="background1"/>
          </w:tcPr>
          <w:p w14:paraId="3123428E" w14:textId="77777777"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30BD1BE0" w14:textId="77777777"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039ED9E3"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0C53EA1F" w14:textId="77777777" w:rsidR="000347C8" w:rsidRPr="00610088" w:rsidRDefault="000347C8" w:rsidP="002E0C12">
            <w:pPr>
              <w:rPr>
                <w:rFonts w:ascii="Arial Narrow" w:hAnsi="Arial Narrow"/>
                <w:color w:val="000000"/>
                <w:sz w:val="18"/>
                <w:szCs w:val="18"/>
                <w:lang w:val="en-GB"/>
              </w:rPr>
            </w:pPr>
          </w:p>
        </w:tc>
        <w:tc>
          <w:tcPr>
            <w:tcW w:w="5386" w:type="dxa"/>
            <w:shd w:val="clear" w:color="auto" w:fill="FFFFFF" w:themeFill="background1"/>
          </w:tcPr>
          <w:p w14:paraId="0A49550C" w14:textId="2746E1F8"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Frontline health workers per 10,000 population</w:t>
            </w:r>
          </w:p>
        </w:tc>
        <w:tc>
          <w:tcPr>
            <w:tcW w:w="2127" w:type="dxa"/>
            <w:shd w:val="clear" w:color="auto" w:fill="FFFFFF" w:themeFill="background1"/>
          </w:tcPr>
          <w:p w14:paraId="3A506029" w14:textId="7787B0D2"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9.7</w:t>
            </w:r>
          </w:p>
        </w:tc>
        <w:tc>
          <w:tcPr>
            <w:tcW w:w="1984" w:type="dxa"/>
            <w:shd w:val="clear" w:color="auto" w:fill="FFFFFF" w:themeFill="background1"/>
          </w:tcPr>
          <w:p w14:paraId="3885E494" w14:textId="7E1196B5"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DHRH </w:t>
            </w:r>
            <w:r w:rsidRPr="00610088">
              <w:rPr>
                <w:rStyle w:val="EndnoteReference"/>
                <w:rFonts w:ascii="Arial Narrow" w:hAnsi="Arial Narrow"/>
                <w:color w:val="000000"/>
                <w:sz w:val="18"/>
                <w:szCs w:val="18"/>
                <w:lang w:val="en-GB"/>
              </w:rPr>
              <w:endnoteReference w:id="11"/>
            </w:r>
          </w:p>
        </w:tc>
      </w:tr>
      <w:tr w:rsidR="00C03C67" w:rsidRPr="00610088" w14:paraId="7FEB1D0F"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00197DF6" w14:textId="77777777" w:rsidR="000347C8" w:rsidRPr="00610088" w:rsidRDefault="000347C8" w:rsidP="002E0C12">
            <w:pPr>
              <w:rPr>
                <w:rFonts w:ascii="Arial Narrow" w:hAnsi="Arial Narrow"/>
                <w:color w:val="000000"/>
                <w:sz w:val="18"/>
                <w:szCs w:val="18"/>
                <w:lang w:val="en-GB"/>
              </w:rPr>
            </w:pPr>
          </w:p>
        </w:tc>
        <w:tc>
          <w:tcPr>
            <w:tcW w:w="5386" w:type="dxa"/>
            <w:shd w:val="clear" w:color="auto" w:fill="FFFFFF" w:themeFill="background1"/>
          </w:tcPr>
          <w:p w14:paraId="6D01E516" w14:textId="0F8D4B81"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sz w:val="18"/>
                <w:szCs w:val="18"/>
                <w:highlight w:val="yellow"/>
                <w:lang w:val="en-GB"/>
              </w:rPr>
            </w:pPr>
            <w:r w:rsidRPr="00610088">
              <w:rPr>
                <w:rFonts w:ascii="Arial Narrow" w:hAnsi="Arial Narrow"/>
                <w:b/>
                <w:bCs/>
                <w:color w:val="000000"/>
                <w:sz w:val="18"/>
                <w:szCs w:val="18"/>
                <w:lang w:val="en-GB"/>
              </w:rPr>
              <w:t>Health information</w:t>
            </w:r>
          </w:p>
        </w:tc>
        <w:tc>
          <w:tcPr>
            <w:tcW w:w="2127" w:type="dxa"/>
            <w:shd w:val="clear" w:color="auto" w:fill="FFFFFF" w:themeFill="background1"/>
          </w:tcPr>
          <w:p w14:paraId="7CBE68F6" w14:textId="77777777"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2FCDA978" w14:textId="77777777"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12B0C6D2"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648809CC" w14:textId="77777777" w:rsidR="000347C8" w:rsidRPr="00610088" w:rsidRDefault="000347C8" w:rsidP="002E0C12">
            <w:pPr>
              <w:rPr>
                <w:rFonts w:ascii="Arial Narrow" w:hAnsi="Arial Narrow"/>
                <w:b w:val="0"/>
                <w:bCs w:val="0"/>
                <w:color w:val="000000"/>
                <w:sz w:val="18"/>
                <w:szCs w:val="18"/>
                <w:lang w:val="en-GB"/>
              </w:rPr>
            </w:pPr>
          </w:p>
        </w:tc>
        <w:tc>
          <w:tcPr>
            <w:tcW w:w="5386" w:type="dxa"/>
            <w:shd w:val="clear" w:color="auto" w:fill="FFFFFF" w:themeFill="background1"/>
          </w:tcPr>
          <w:p w14:paraId="51ECCDF2" w14:textId="3D37E001"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Birth registration</w:t>
            </w:r>
          </w:p>
        </w:tc>
        <w:tc>
          <w:tcPr>
            <w:tcW w:w="2127" w:type="dxa"/>
            <w:shd w:val="clear" w:color="auto" w:fill="FFFFFF" w:themeFill="background1"/>
          </w:tcPr>
          <w:p w14:paraId="04A599E7" w14:textId="1C107F50"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81.1%</w:t>
            </w:r>
          </w:p>
        </w:tc>
        <w:tc>
          <w:tcPr>
            <w:tcW w:w="1984" w:type="dxa"/>
            <w:shd w:val="clear" w:color="auto" w:fill="FFFFFF" w:themeFill="background1"/>
          </w:tcPr>
          <w:p w14:paraId="600DF65A" w14:textId="1FB63441"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MICS 2017</w:t>
            </w:r>
          </w:p>
        </w:tc>
      </w:tr>
      <w:tr w:rsidR="00C03C67" w:rsidRPr="00610088" w14:paraId="6F1D7901"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22C81DE3" w14:textId="77777777" w:rsidR="000347C8" w:rsidRPr="00610088" w:rsidRDefault="000347C8" w:rsidP="002E0C12">
            <w:pPr>
              <w:rPr>
                <w:rFonts w:ascii="Arial Narrow" w:hAnsi="Arial Narrow"/>
                <w:b w:val="0"/>
                <w:bCs w:val="0"/>
                <w:color w:val="000000"/>
                <w:sz w:val="18"/>
                <w:szCs w:val="18"/>
                <w:lang w:val="en-GB"/>
              </w:rPr>
            </w:pPr>
          </w:p>
        </w:tc>
        <w:tc>
          <w:tcPr>
            <w:tcW w:w="5386" w:type="dxa"/>
            <w:shd w:val="clear" w:color="auto" w:fill="FFFFFF" w:themeFill="background1"/>
          </w:tcPr>
          <w:p w14:paraId="722F5EC2" w14:textId="456748B2"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Completeness of HMIS, LMIS and IDSR reporting by facilities</w:t>
            </w:r>
          </w:p>
        </w:tc>
        <w:tc>
          <w:tcPr>
            <w:tcW w:w="2127" w:type="dxa"/>
            <w:shd w:val="clear" w:color="auto" w:fill="FFFFFF" w:themeFill="background1"/>
          </w:tcPr>
          <w:p w14:paraId="1E533BC1" w14:textId="1D9CCCA1"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95.8%, 72.7%, 92%</w:t>
            </w:r>
          </w:p>
        </w:tc>
        <w:tc>
          <w:tcPr>
            <w:tcW w:w="1984" w:type="dxa"/>
            <w:shd w:val="clear" w:color="auto" w:fill="FFFFFF" w:themeFill="background1"/>
          </w:tcPr>
          <w:p w14:paraId="7A281794" w14:textId="6C592B09" w:rsidR="000347C8" w:rsidRPr="00610088" w:rsidRDefault="000347C8" w:rsidP="002E0C12">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DHIS 2.0 2016 </w:t>
            </w:r>
            <w:r w:rsidRPr="00610088">
              <w:rPr>
                <w:rStyle w:val="EndnoteReference"/>
                <w:rFonts w:ascii="Arial Narrow" w:hAnsi="Arial Narrow"/>
                <w:color w:val="000000"/>
                <w:sz w:val="18"/>
                <w:szCs w:val="18"/>
                <w:lang w:val="en-GB"/>
              </w:rPr>
              <w:endnoteReference w:id="12"/>
            </w:r>
          </w:p>
        </w:tc>
      </w:tr>
      <w:tr w:rsidR="00C03C67" w:rsidRPr="00610088" w14:paraId="7ADD33E7"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57D8461B" w14:textId="77777777" w:rsidR="000347C8" w:rsidRPr="00610088" w:rsidRDefault="000347C8" w:rsidP="002E0C12">
            <w:pPr>
              <w:rPr>
                <w:rFonts w:ascii="Arial Narrow" w:hAnsi="Arial Narrow"/>
                <w:b w:val="0"/>
                <w:bCs w:val="0"/>
                <w:color w:val="000000"/>
                <w:sz w:val="18"/>
                <w:szCs w:val="18"/>
                <w:lang w:val="en-GB"/>
              </w:rPr>
            </w:pPr>
          </w:p>
        </w:tc>
        <w:tc>
          <w:tcPr>
            <w:tcW w:w="5386" w:type="dxa"/>
            <w:shd w:val="clear" w:color="auto" w:fill="FFFFFF" w:themeFill="background1"/>
          </w:tcPr>
          <w:p w14:paraId="1F064FFA" w14:textId="70BA0024"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lang w:val="en-GB"/>
              </w:rPr>
            </w:pPr>
            <w:r w:rsidRPr="00610088">
              <w:rPr>
                <w:rFonts w:ascii="Arial Narrow" w:hAnsi="Arial Narrow"/>
                <w:b/>
                <w:bCs/>
                <w:color w:val="000000"/>
                <w:sz w:val="18"/>
                <w:szCs w:val="18"/>
                <w:lang w:val="en-GB"/>
              </w:rPr>
              <w:t>Health financing*</w:t>
            </w:r>
          </w:p>
        </w:tc>
        <w:tc>
          <w:tcPr>
            <w:tcW w:w="2127" w:type="dxa"/>
            <w:shd w:val="clear" w:color="auto" w:fill="FFFFFF" w:themeFill="background1"/>
          </w:tcPr>
          <w:p w14:paraId="5036FF50" w14:textId="3BC950CF"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c>
          <w:tcPr>
            <w:tcW w:w="1984" w:type="dxa"/>
            <w:shd w:val="clear" w:color="auto" w:fill="FFFFFF" w:themeFill="background1"/>
          </w:tcPr>
          <w:p w14:paraId="68ED8391" w14:textId="7C253E05" w:rsidR="000347C8" w:rsidRPr="00610088" w:rsidRDefault="000347C8" w:rsidP="002E0C12">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53201422"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131D2A25" w14:textId="77777777" w:rsidR="000347C8" w:rsidRPr="00610088" w:rsidRDefault="000347C8" w:rsidP="004551A4">
            <w:pPr>
              <w:rPr>
                <w:rFonts w:ascii="Arial Narrow" w:hAnsi="Arial Narrow"/>
                <w:b w:val="0"/>
                <w:bCs w:val="0"/>
                <w:color w:val="000000"/>
                <w:sz w:val="18"/>
                <w:szCs w:val="18"/>
                <w:lang w:val="en-GB"/>
              </w:rPr>
            </w:pPr>
          </w:p>
        </w:tc>
        <w:tc>
          <w:tcPr>
            <w:tcW w:w="5386" w:type="dxa"/>
            <w:shd w:val="clear" w:color="auto" w:fill="FFFFFF" w:themeFill="background1"/>
          </w:tcPr>
          <w:p w14:paraId="60E67F6B" w14:textId="112B020A"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Total expenditure on health as a % of GDP</w:t>
            </w:r>
          </w:p>
        </w:tc>
        <w:tc>
          <w:tcPr>
            <w:tcW w:w="2127" w:type="dxa"/>
            <w:shd w:val="clear" w:color="auto" w:fill="FFFFFF" w:themeFill="background1"/>
          </w:tcPr>
          <w:p w14:paraId="05B30BA2" w14:textId="1B788EBD"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2013: 11.2%, 2014: 21.7% </w:t>
            </w:r>
          </w:p>
        </w:tc>
        <w:tc>
          <w:tcPr>
            <w:tcW w:w="1984" w:type="dxa"/>
            <w:vMerge w:val="restart"/>
            <w:shd w:val="clear" w:color="auto" w:fill="FFFFFF" w:themeFill="background1"/>
          </w:tcPr>
          <w:p w14:paraId="440B02CB" w14:textId="77777777"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 xml:space="preserve">NHA 2013, NHA 2014 </w:t>
            </w:r>
            <w:r w:rsidRPr="00610088">
              <w:rPr>
                <w:rStyle w:val="EndnoteReference"/>
                <w:rFonts w:ascii="Arial Narrow" w:hAnsi="Arial Narrow"/>
                <w:color w:val="000000"/>
                <w:sz w:val="18"/>
                <w:szCs w:val="18"/>
                <w:lang w:val="en-GB"/>
              </w:rPr>
              <w:endnoteReference w:id="13"/>
            </w:r>
          </w:p>
          <w:p w14:paraId="40D1FE93" w14:textId="56A48DC8"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024B3381"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4D3936E0" w14:textId="77777777" w:rsidR="000347C8" w:rsidRPr="00610088" w:rsidRDefault="000347C8" w:rsidP="004551A4">
            <w:pPr>
              <w:rPr>
                <w:rFonts w:ascii="Arial Narrow" w:hAnsi="Arial Narrow"/>
                <w:color w:val="000000"/>
                <w:sz w:val="18"/>
                <w:szCs w:val="18"/>
                <w:lang w:val="en-GB"/>
              </w:rPr>
            </w:pPr>
          </w:p>
        </w:tc>
        <w:tc>
          <w:tcPr>
            <w:tcW w:w="5386" w:type="dxa"/>
            <w:shd w:val="clear" w:color="auto" w:fill="FFFFFF" w:themeFill="background1"/>
          </w:tcPr>
          <w:p w14:paraId="26FB09E4" w14:textId="6AB733B2" w:rsidR="000347C8" w:rsidRPr="00610088" w:rsidRDefault="000347C8" w:rsidP="00251FC1">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Government expenditure on health as a % of total current expenditure on health</w:t>
            </w:r>
          </w:p>
        </w:tc>
        <w:tc>
          <w:tcPr>
            <w:tcW w:w="2127" w:type="dxa"/>
            <w:shd w:val="clear" w:color="auto" w:fill="FFFFFF" w:themeFill="background1"/>
          </w:tcPr>
          <w:p w14:paraId="07B7337E" w14:textId="13546B36" w:rsidR="000347C8" w:rsidRPr="00610088" w:rsidRDefault="000347C8" w:rsidP="004551A4">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2013: 6.8%, 2014: 7.3%</w:t>
            </w:r>
          </w:p>
        </w:tc>
        <w:tc>
          <w:tcPr>
            <w:tcW w:w="1984" w:type="dxa"/>
            <w:vMerge/>
            <w:shd w:val="clear" w:color="auto" w:fill="FFFFFF" w:themeFill="background1"/>
          </w:tcPr>
          <w:p w14:paraId="1A3F1D13" w14:textId="2F7F5C77" w:rsidR="000347C8" w:rsidRPr="00610088" w:rsidRDefault="000347C8" w:rsidP="004551A4">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3856C03C"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2DC0468F" w14:textId="77777777" w:rsidR="000347C8" w:rsidRPr="00610088" w:rsidRDefault="000347C8" w:rsidP="004551A4">
            <w:pPr>
              <w:rPr>
                <w:rFonts w:ascii="Arial Narrow" w:hAnsi="Arial Narrow"/>
                <w:color w:val="000000"/>
                <w:sz w:val="18"/>
                <w:szCs w:val="18"/>
                <w:lang w:val="en-GB"/>
              </w:rPr>
            </w:pPr>
          </w:p>
        </w:tc>
        <w:tc>
          <w:tcPr>
            <w:tcW w:w="5386" w:type="dxa"/>
            <w:shd w:val="clear" w:color="auto" w:fill="FFFFFF" w:themeFill="background1"/>
          </w:tcPr>
          <w:p w14:paraId="445FB2B7" w14:textId="740656C0" w:rsidR="000347C8" w:rsidRPr="00610088" w:rsidRDefault="000347C8" w:rsidP="00251FC1">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Out of pocket payment for health as a % of total current expenditure on health</w:t>
            </w:r>
          </w:p>
        </w:tc>
        <w:tc>
          <w:tcPr>
            <w:tcW w:w="2127" w:type="dxa"/>
            <w:shd w:val="clear" w:color="auto" w:fill="FFFFFF" w:themeFill="background1"/>
          </w:tcPr>
          <w:p w14:paraId="2657FD5C" w14:textId="13AD7D4B"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2013: 61.6%, 2014: 33%</w:t>
            </w:r>
          </w:p>
        </w:tc>
        <w:tc>
          <w:tcPr>
            <w:tcW w:w="1984" w:type="dxa"/>
            <w:vMerge/>
            <w:shd w:val="clear" w:color="auto" w:fill="FFFFFF" w:themeFill="background1"/>
          </w:tcPr>
          <w:p w14:paraId="189F74F6" w14:textId="3C6625A2"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C03C67" w:rsidRPr="00610088" w14:paraId="603E24A4"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7319807B" w14:textId="77777777" w:rsidR="000347C8" w:rsidRPr="00610088" w:rsidRDefault="000347C8" w:rsidP="004551A4">
            <w:pPr>
              <w:rPr>
                <w:rFonts w:ascii="Arial Narrow" w:hAnsi="Arial Narrow"/>
                <w:color w:val="000000"/>
                <w:sz w:val="18"/>
                <w:szCs w:val="18"/>
                <w:lang w:val="en-GB"/>
              </w:rPr>
            </w:pPr>
          </w:p>
        </w:tc>
        <w:tc>
          <w:tcPr>
            <w:tcW w:w="5386" w:type="dxa"/>
            <w:shd w:val="clear" w:color="auto" w:fill="FFFFFF" w:themeFill="background1"/>
          </w:tcPr>
          <w:p w14:paraId="3462E1D9" w14:textId="50616BA7" w:rsidR="000347C8" w:rsidRPr="00610088" w:rsidRDefault="000347C8" w:rsidP="00251FC1">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Externally sourced funding for health as a % of total current expenditure on health (donors)</w:t>
            </w:r>
          </w:p>
        </w:tc>
        <w:tc>
          <w:tcPr>
            <w:tcW w:w="2127" w:type="dxa"/>
            <w:shd w:val="clear" w:color="auto" w:fill="FFFFFF" w:themeFill="background1"/>
          </w:tcPr>
          <w:p w14:paraId="507F22B7" w14:textId="5C0B1BB3" w:rsidR="000347C8" w:rsidRPr="00610088" w:rsidRDefault="000347C8" w:rsidP="004551A4">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2013: 24.4%, 2014: 46.9%</w:t>
            </w:r>
          </w:p>
        </w:tc>
        <w:tc>
          <w:tcPr>
            <w:tcW w:w="1984" w:type="dxa"/>
            <w:vMerge/>
            <w:shd w:val="clear" w:color="auto" w:fill="FFFFFF" w:themeFill="background1"/>
          </w:tcPr>
          <w:p w14:paraId="38639B00" w14:textId="7190AF8A" w:rsidR="000347C8" w:rsidRPr="00610088" w:rsidRDefault="000347C8" w:rsidP="004551A4">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p>
        </w:tc>
      </w:tr>
      <w:tr w:rsidR="00C03C67" w:rsidRPr="00610088" w14:paraId="388608A1" w14:textId="77777777" w:rsidTr="00E71579">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1A0387EC" w14:textId="77777777" w:rsidR="000347C8" w:rsidRPr="00610088" w:rsidRDefault="000347C8" w:rsidP="004551A4">
            <w:pPr>
              <w:rPr>
                <w:rFonts w:ascii="Arial Narrow" w:hAnsi="Arial Narrow"/>
                <w:color w:val="000000"/>
                <w:sz w:val="18"/>
                <w:szCs w:val="18"/>
                <w:lang w:val="en-GB"/>
              </w:rPr>
            </w:pPr>
          </w:p>
        </w:tc>
        <w:tc>
          <w:tcPr>
            <w:tcW w:w="5386" w:type="dxa"/>
            <w:shd w:val="clear" w:color="auto" w:fill="FFFFFF" w:themeFill="background1"/>
          </w:tcPr>
          <w:p w14:paraId="14823B16" w14:textId="04EFDE52" w:rsidR="000347C8" w:rsidRPr="00610088" w:rsidRDefault="000347C8" w:rsidP="00251FC1">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Externally sourced funding for health as a % of total current expenditure on health (NGOs)</w:t>
            </w:r>
          </w:p>
        </w:tc>
        <w:tc>
          <w:tcPr>
            <w:tcW w:w="2127" w:type="dxa"/>
            <w:shd w:val="clear" w:color="auto" w:fill="FFFFFF" w:themeFill="background1"/>
          </w:tcPr>
          <w:p w14:paraId="63217702" w14:textId="6ACBEDBA"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2013: 7.2%, 2014: 11.8%</w:t>
            </w:r>
          </w:p>
        </w:tc>
        <w:tc>
          <w:tcPr>
            <w:tcW w:w="1984" w:type="dxa"/>
            <w:vMerge/>
            <w:shd w:val="clear" w:color="auto" w:fill="FFFFFF" w:themeFill="background1"/>
          </w:tcPr>
          <w:p w14:paraId="15DF7486" w14:textId="5F6E7A95" w:rsidR="000347C8" w:rsidRPr="00610088" w:rsidRDefault="000347C8" w:rsidP="004551A4">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lang w:val="en-GB"/>
              </w:rPr>
            </w:pPr>
          </w:p>
        </w:tc>
      </w:tr>
      <w:tr w:rsidR="000347C8" w:rsidRPr="00610088" w14:paraId="3AEF86B5" w14:textId="77777777" w:rsidTr="00E715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 w:type="dxa"/>
            <w:vMerge/>
            <w:shd w:val="clear" w:color="auto" w:fill="9CC2E5" w:themeFill="accent5" w:themeFillTint="99"/>
          </w:tcPr>
          <w:p w14:paraId="784F7A08" w14:textId="77777777" w:rsidR="000347C8" w:rsidRPr="00610088" w:rsidRDefault="000347C8" w:rsidP="004551A4">
            <w:pPr>
              <w:rPr>
                <w:rFonts w:ascii="Arial Narrow" w:hAnsi="Arial Narrow"/>
                <w:color w:val="000000"/>
                <w:sz w:val="18"/>
                <w:szCs w:val="18"/>
                <w:lang w:val="en-GB"/>
              </w:rPr>
            </w:pPr>
          </w:p>
        </w:tc>
        <w:tc>
          <w:tcPr>
            <w:tcW w:w="9497" w:type="dxa"/>
            <w:gridSpan w:val="3"/>
            <w:shd w:val="clear" w:color="auto" w:fill="FFFFFF" w:themeFill="background1"/>
          </w:tcPr>
          <w:p w14:paraId="0B78F8DA" w14:textId="2B79FABA" w:rsidR="000347C8" w:rsidRPr="00610088" w:rsidRDefault="000347C8" w:rsidP="004551A4">
            <w:pP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lang w:val="en-GB"/>
              </w:rPr>
            </w:pPr>
            <w:r w:rsidRPr="00610088">
              <w:rPr>
                <w:rFonts w:ascii="Arial Narrow" w:hAnsi="Arial Narrow"/>
                <w:color w:val="000000"/>
                <w:sz w:val="18"/>
                <w:szCs w:val="18"/>
                <w:lang w:val="en-GB"/>
              </w:rPr>
              <w:t>*</w:t>
            </w:r>
            <w:r w:rsidRPr="00610088">
              <w:rPr>
                <w:rFonts w:ascii="Arial Narrow" w:hAnsi="Arial Narrow"/>
                <w:i/>
                <w:iCs/>
                <w:color w:val="000000"/>
                <w:sz w:val="18"/>
                <w:szCs w:val="18"/>
                <w:lang w:val="en-GB"/>
              </w:rPr>
              <w:t>Ebola effects in 2014 with huge increase of external funding, therefore also NHA 2013 shown, as there has been no NHA after 2014 so far.</w:t>
            </w:r>
          </w:p>
        </w:tc>
      </w:tr>
    </w:tbl>
    <w:p w14:paraId="587FCF3E" w14:textId="4366A4BD" w:rsidR="0057323A" w:rsidRPr="00610088" w:rsidRDefault="0057323A" w:rsidP="0057323A">
      <w:pPr>
        <w:rPr>
          <w:lang w:val="en-GB"/>
        </w:rPr>
      </w:pPr>
    </w:p>
    <w:p w14:paraId="3A3E5AF6" w14:textId="2F4F2EC4" w:rsidR="0057323A" w:rsidRPr="00610088" w:rsidRDefault="0057323A" w:rsidP="00F1043E">
      <w:pPr>
        <w:pStyle w:val="Heading2"/>
        <w:rPr>
          <w:lang w:val="en-GB"/>
        </w:rPr>
      </w:pPr>
      <w:bookmarkStart w:id="17" w:name="_Toc41370536"/>
      <w:r w:rsidRPr="00610088">
        <w:rPr>
          <w:lang w:val="en-GB"/>
        </w:rPr>
        <w:t>Country health system</w:t>
      </w:r>
      <w:r w:rsidR="00136C5E" w:rsidRPr="00610088">
        <w:rPr>
          <w:lang w:val="en-GB"/>
        </w:rPr>
        <w:t xml:space="preserve"> - summary</w:t>
      </w:r>
      <w:bookmarkEnd w:id="17"/>
    </w:p>
    <w:p w14:paraId="6EBD6669" w14:textId="77777777" w:rsidR="00676107" w:rsidRPr="00610088" w:rsidRDefault="00676107" w:rsidP="00676107">
      <w:pPr>
        <w:rPr>
          <w:lang w:val="en-GB"/>
        </w:rPr>
      </w:pPr>
    </w:p>
    <w:p w14:paraId="131B0B3F" w14:textId="3333EA84" w:rsidR="00136C5E" w:rsidRPr="005505BF" w:rsidRDefault="00136C5E" w:rsidP="005505BF">
      <w:pPr>
        <w:rPr>
          <w:i/>
          <w:iCs/>
          <w:lang w:val="en-GB"/>
        </w:rPr>
      </w:pPr>
      <w:r w:rsidRPr="005505BF">
        <w:rPr>
          <w:i/>
          <w:iCs/>
          <w:lang w:val="en-GB"/>
        </w:rPr>
        <w:t>The full country health system profile is included in Annex 1. This section is a summary.</w:t>
      </w:r>
    </w:p>
    <w:p w14:paraId="24141241" w14:textId="77777777" w:rsidR="002C404D" w:rsidRPr="00610088" w:rsidRDefault="002C404D" w:rsidP="005505BF">
      <w:pPr>
        <w:rPr>
          <w:b/>
          <w:bCs/>
          <w:lang w:val="en-GB"/>
        </w:rPr>
      </w:pPr>
    </w:p>
    <w:p w14:paraId="557B19F5" w14:textId="7D7FE554" w:rsidR="002C404D" w:rsidRPr="00610088" w:rsidRDefault="002C404D" w:rsidP="005505BF">
      <w:pPr>
        <w:rPr>
          <w:lang w:val="en-GB"/>
        </w:rPr>
      </w:pPr>
      <w:r w:rsidRPr="00610088">
        <w:rPr>
          <w:b/>
          <w:bCs/>
          <w:lang w:val="en-GB"/>
        </w:rPr>
        <w:t>Leadership and governance</w:t>
      </w:r>
      <w:r w:rsidRPr="00610088">
        <w:rPr>
          <w:lang w:val="en-GB"/>
        </w:rPr>
        <w:t xml:space="preserve"> of the health sector is guided by a range of documents, including the recently developed Medium-Term National Development Plan</w:t>
      </w:r>
      <w:r w:rsidR="00CA2FBB" w:rsidRPr="00610088">
        <w:rPr>
          <w:vertAlign w:val="superscript"/>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_Ref17359290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101</w:t>
      </w:r>
      <w:r w:rsidR="00CA2FBB" w:rsidRPr="00610088">
        <w:rPr>
          <w:vertAlign w:val="superscript"/>
          <w:lang w:val="en-GB"/>
        </w:rPr>
        <w:fldChar w:fldCharType="end"/>
      </w:r>
      <w:r w:rsidRPr="00610088">
        <w:rPr>
          <w:lang w:val="en-GB"/>
        </w:rPr>
        <w:t>, the Health Policy</w:t>
      </w:r>
      <w:r w:rsidR="00CA2FBB" w:rsidRPr="00610088">
        <w:rPr>
          <w:vertAlign w:val="superscript"/>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_Ref17359243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102</w:t>
      </w:r>
      <w:r w:rsidR="00CA2FBB" w:rsidRPr="00610088">
        <w:rPr>
          <w:vertAlign w:val="superscript"/>
          <w:lang w:val="en-GB"/>
        </w:rPr>
        <w:fldChar w:fldCharType="end"/>
      </w:r>
      <w:r w:rsidR="00CA2FBB" w:rsidRPr="00610088">
        <w:rPr>
          <w:vertAlign w:val="superscript"/>
          <w:lang w:val="en-GB"/>
        </w:rPr>
        <w:t>01</w:t>
      </w:r>
      <w:r w:rsidRPr="00610088">
        <w:rPr>
          <w:lang w:val="en-GB"/>
        </w:rPr>
        <w:t xml:space="preserve"> and the National Health Sector Strategic Plan 2017-2021</w:t>
      </w:r>
      <w:r w:rsidR="00CA2FBB" w:rsidRPr="00610088">
        <w:rPr>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_Ref17359355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103</w:t>
      </w:r>
      <w:r w:rsidR="00CA2FBB" w:rsidRPr="00610088">
        <w:rPr>
          <w:vertAlign w:val="superscript"/>
          <w:lang w:val="en-GB"/>
        </w:rPr>
        <w:fldChar w:fldCharType="end"/>
      </w:r>
      <w:r w:rsidRPr="00610088">
        <w:rPr>
          <w:lang w:val="en-GB"/>
        </w:rPr>
        <w:t>.  Service delivery is guided by the Basic Package of Essential Services 2015-2020 (BPEHS)</w:t>
      </w:r>
      <w:r w:rsidR="00CA2FBB" w:rsidRPr="00610088">
        <w:rPr>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_Ref17359325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104</w:t>
      </w:r>
      <w:r w:rsidR="00CA2FBB" w:rsidRPr="00610088">
        <w:rPr>
          <w:vertAlign w:val="superscript"/>
          <w:lang w:val="en-GB"/>
        </w:rPr>
        <w:fldChar w:fldCharType="end"/>
      </w:r>
      <w:r w:rsidR="00CA2FBB" w:rsidRPr="00610088">
        <w:rPr>
          <w:lang w:val="en-GB"/>
        </w:rPr>
        <w:t xml:space="preserve"> </w:t>
      </w:r>
      <w:r w:rsidRPr="00610088">
        <w:rPr>
          <w:lang w:val="en-GB"/>
        </w:rPr>
        <w:t>and the Free Health Care Initiative (FHCI)</w:t>
      </w:r>
      <w:r w:rsidR="00CA2FBB" w:rsidRPr="00610088">
        <w:rPr>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_Ref32798798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105</w:t>
      </w:r>
      <w:r w:rsidR="00CA2FBB" w:rsidRPr="00610088">
        <w:rPr>
          <w:vertAlign w:val="superscript"/>
          <w:lang w:val="en-GB"/>
        </w:rPr>
        <w:fldChar w:fldCharType="end"/>
      </w:r>
      <w:r w:rsidRPr="00610088">
        <w:rPr>
          <w:lang w:val="en-GB"/>
        </w:rPr>
        <w:t xml:space="preserve">. Both the fiscal and human resources decentralization of the public health sector is incomplete. Coordination is limited between the local councils and the district hospitals that provide the secondary health care and the </w:t>
      </w:r>
      <w:r w:rsidR="002B6A70">
        <w:rPr>
          <w:lang w:val="en-GB"/>
        </w:rPr>
        <w:t>District Health Management Teams (</w:t>
      </w:r>
      <w:r w:rsidRPr="00610088">
        <w:rPr>
          <w:lang w:val="en-GB"/>
        </w:rPr>
        <w:t>DHMTs</w:t>
      </w:r>
      <w:r w:rsidR="002B6A70">
        <w:rPr>
          <w:lang w:val="en-GB"/>
        </w:rPr>
        <w:t>)</w:t>
      </w:r>
      <w:r w:rsidRPr="00610088">
        <w:rPr>
          <w:lang w:val="en-GB"/>
        </w:rPr>
        <w:t xml:space="preserve"> that are responsible for primary health care through the Peripheral Health Units (PHUs). Also, at national level the coordination through the Health Sector Coordinating Committee and the Health Sector Steering Group is limited. Coordination with other sectors is limited, with a few exceptions where a special entity has been created to improve coordination like the Scaling up Nutrition initiative and the Teenage Pregnancy secretariat. Sierra Leone is a signatory to the</w:t>
      </w:r>
      <w:r w:rsidR="00E01313">
        <w:rPr>
          <w:lang w:val="en-GB"/>
        </w:rPr>
        <w:t xml:space="preserve"> Universal Health Coverage 2030 (</w:t>
      </w:r>
      <w:r w:rsidRPr="00610088">
        <w:rPr>
          <w:lang w:val="en-GB"/>
        </w:rPr>
        <w:t>UHC2030</w:t>
      </w:r>
      <w:r w:rsidR="00E01313">
        <w:rPr>
          <w:lang w:val="en-GB"/>
        </w:rPr>
        <w:t>)</w:t>
      </w:r>
      <w:r w:rsidRPr="00610088">
        <w:rPr>
          <w:lang w:val="en-GB"/>
        </w:rPr>
        <w:t xml:space="preserve"> Global Compact and a UHC scoping visit recommended to progressively expand the benefits package of FHCI to include all life cohorts.</w:t>
      </w:r>
      <w:r w:rsidR="00CA2FBB" w:rsidRPr="00610088">
        <w:rPr>
          <w:lang w:val="en-GB"/>
        </w:rPr>
        <w:t xml:space="preserve"> </w:t>
      </w:r>
      <w:r w:rsidR="00CA2FBB" w:rsidRPr="00610088">
        <w:rPr>
          <w:vertAlign w:val="superscript"/>
          <w:lang w:val="en-GB"/>
        </w:rPr>
        <w:fldChar w:fldCharType="begin"/>
      </w:r>
      <w:r w:rsidR="00CA2FBB" w:rsidRPr="00610088">
        <w:rPr>
          <w:vertAlign w:val="superscript"/>
          <w:lang w:val="en-GB"/>
        </w:rPr>
        <w:instrText xml:space="preserve"> NOTEREF _Ref32798895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106</w:t>
      </w:r>
      <w:r w:rsidR="00CA2FBB" w:rsidRPr="00610088">
        <w:rPr>
          <w:vertAlign w:val="superscript"/>
          <w:lang w:val="en-GB"/>
        </w:rPr>
        <w:fldChar w:fldCharType="end"/>
      </w:r>
      <w:r w:rsidR="00CA2FBB" w:rsidRPr="00610088">
        <w:rPr>
          <w:vertAlign w:val="superscript"/>
          <w:lang w:val="en-GB"/>
        </w:rPr>
        <w:t>,</w:t>
      </w:r>
      <w:r w:rsidR="00CA2FBB" w:rsidRPr="00610088">
        <w:rPr>
          <w:vertAlign w:val="superscript"/>
          <w:lang w:val="en-GB"/>
        </w:rPr>
        <w:fldChar w:fldCharType="begin"/>
      </w:r>
      <w:r w:rsidR="00CA2FBB" w:rsidRPr="00610088">
        <w:rPr>
          <w:vertAlign w:val="superscript"/>
          <w:lang w:val="en-GB"/>
        </w:rPr>
        <w:instrText xml:space="preserve"> NOTEREF _Ref17117498 \h  \* MERGEFORMAT </w:instrText>
      </w:r>
      <w:r w:rsidR="00CA2FBB" w:rsidRPr="00610088">
        <w:rPr>
          <w:vertAlign w:val="superscript"/>
          <w:lang w:val="en-GB"/>
        </w:rPr>
      </w:r>
      <w:r w:rsidR="00CA2FBB" w:rsidRPr="00610088">
        <w:rPr>
          <w:vertAlign w:val="superscript"/>
          <w:lang w:val="en-GB"/>
        </w:rPr>
        <w:fldChar w:fldCharType="separate"/>
      </w:r>
      <w:r w:rsidR="00CB360C">
        <w:rPr>
          <w:vertAlign w:val="superscript"/>
          <w:lang w:val="en-GB"/>
        </w:rPr>
        <w:t>107</w:t>
      </w:r>
      <w:r w:rsidR="00CA2FBB" w:rsidRPr="00610088">
        <w:rPr>
          <w:vertAlign w:val="superscript"/>
          <w:lang w:val="en-GB"/>
        </w:rPr>
        <w:fldChar w:fldCharType="end"/>
      </w:r>
    </w:p>
    <w:p w14:paraId="6E9F9F3F" w14:textId="77777777" w:rsidR="002C404D" w:rsidRPr="00610088" w:rsidRDefault="002C404D" w:rsidP="005505BF"/>
    <w:p w14:paraId="7CAD2C85" w14:textId="0900A1F3" w:rsidR="002C404D" w:rsidRPr="00610088" w:rsidRDefault="002C404D" w:rsidP="005505BF">
      <w:pPr>
        <w:rPr>
          <w:szCs w:val="21"/>
          <w:lang w:val="en-GB"/>
        </w:rPr>
      </w:pPr>
      <w:r w:rsidRPr="005505BF">
        <w:rPr>
          <w:b/>
          <w:bCs/>
        </w:rPr>
        <w:t>Health services</w:t>
      </w:r>
      <w:r w:rsidRPr="005505BF">
        <w:t xml:space="preserve"> are provided at three health system levels with 15,000 community health workers (CHWs</w:t>
      </w:r>
      <w:r w:rsidR="001B16D1">
        <w:t>)</w:t>
      </w:r>
      <w:r w:rsidR="00CA2FBB" w:rsidRPr="001B16D1">
        <w:rPr>
          <w:vertAlign w:val="superscript"/>
        </w:rPr>
        <w:fldChar w:fldCharType="begin"/>
      </w:r>
      <w:r w:rsidR="00CA2FBB" w:rsidRPr="001B16D1">
        <w:rPr>
          <w:vertAlign w:val="superscript"/>
        </w:rPr>
        <w:instrText xml:space="preserve"> NOTEREF _Ref15430042 \h  \* MERGEFORMAT </w:instrText>
      </w:r>
      <w:r w:rsidR="00CA2FBB" w:rsidRPr="001B16D1">
        <w:rPr>
          <w:vertAlign w:val="superscript"/>
        </w:rPr>
      </w:r>
      <w:r w:rsidR="00CA2FBB" w:rsidRPr="001B16D1">
        <w:rPr>
          <w:vertAlign w:val="superscript"/>
        </w:rPr>
        <w:fldChar w:fldCharType="separate"/>
      </w:r>
      <w:r w:rsidR="00CB360C">
        <w:rPr>
          <w:vertAlign w:val="superscript"/>
        </w:rPr>
        <w:t>109</w:t>
      </w:r>
      <w:r w:rsidR="00CA2FBB" w:rsidRPr="001B16D1">
        <w:rPr>
          <w:vertAlign w:val="superscript"/>
        </w:rPr>
        <w:fldChar w:fldCharType="end"/>
      </w:r>
      <w:r w:rsidRPr="005505BF">
        <w:t xml:space="preserve"> and 3 Peripheral Health Units (PHUs) types at the primary level, district hospitals at the secondary level and regional and national / referral hospitals at the tertiary level. In each district there is one (1) Comprehensive Emergency Obstetric and Neonatal Care Centre (C-</w:t>
      </w:r>
      <w:proofErr w:type="spellStart"/>
      <w:r w:rsidRPr="005505BF">
        <w:t>EmONC</w:t>
      </w:r>
      <w:proofErr w:type="spellEnd"/>
      <w:r w:rsidRPr="005505BF">
        <w:t>) – at hospital level and five (5) Basic Emergency Obstetric and Neonatal Care Centre (B-</w:t>
      </w:r>
      <w:proofErr w:type="spellStart"/>
      <w:r w:rsidRPr="005505BF">
        <w:t>EmONC</w:t>
      </w:r>
      <w:proofErr w:type="spellEnd"/>
      <w:r w:rsidRPr="005505BF">
        <w:t>) at C</w:t>
      </w:r>
      <w:r w:rsidR="002E6DF3" w:rsidRPr="005505BF">
        <w:t>ommunity Health Centre (CHC)</w:t>
      </w:r>
      <w:r w:rsidRPr="005505BF">
        <w:t xml:space="preserve"> level. Midwives are based at hospitals and B-</w:t>
      </w:r>
      <w:proofErr w:type="spellStart"/>
      <w:r w:rsidRPr="005505BF">
        <w:t>EmONC</w:t>
      </w:r>
      <w:proofErr w:type="spellEnd"/>
      <w:r w:rsidRPr="005505BF">
        <w:t xml:space="preserve"> level and supervise maternal and neonatal health activities at the other PHUs. Medical doctors are only based at hospital level. PHUs provide both preventive and curative services and are open either open 24 hours or have a staff on call for out of hours. </w:t>
      </w:r>
      <w:r w:rsidR="00E15E56" w:rsidRPr="005505BF">
        <w:t>Mother and Child Health Posts (</w:t>
      </w:r>
      <w:r w:rsidRPr="005505BF">
        <w:t>MCHPs</w:t>
      </w:r>
      <w:r w:rsidR="00E15E56" w:rsidRPr="005505BF">
        <w:t>)</w:t>
      </w:r>
      <w:r w:rsidRPr="005505BF">
        <w:t xml:space="preserve"> and </w:t>
      </w:r>
      <w:r w:rsidR="00E15E56" w:rsidRPr="005505BF">
        <w:t>Community Health Posts (</w:t>
      </w:r>
      <w:r w:rsidRPr="005505BF">
        <w:t>CHPs</w:t>
      </w:r>
      <w:r w:rsidR="00E15E56" w:rsidRPr="005505BF">
        <w:t>)</w:t>
      </w:r>
      <w:r w:rsidRPr="005505BF">
        <w:t xml:space="preserve"> only have observation beds, admission is only possible at CHC or hospital level. A nationwide ambulance referral system called NEMS (National Emergency Medical Services) was set up by </w:t>
      </w:r>
      <w:proofErr w:type="spellStart"/>
      <w:r w:rsidR="00156C15" w:rsidRPr="005505BF">
        <w:t>MoHS</w:t>
      </w:r>
      <w:proofErr w:type="spellEnd"/>
      <w:r w:rsidRPr="005505BF">
        <w:t xml:space="preserve"> and its partners in 2018. This facilitates referrals from PHUs to hospital level. The 2018 S</w:t>
      </w:r>
      <w:r w:rsidR="00FF2A88" w:rsidRPr="005505BF">
        <w:t>ervice Delivery Indicator (S</w:t>
      </w:r>
      <w:r w:rsidRPr="005505BF">
        <w:t>DI</w:t>
      </w:r>
      <w:r w:rsidR="00FF2A88" w:rsidRPr="005505BF">
        <w:t>)</w:t>
      </w:r>
      <w:r w:rsidRPr="005505BF">
        <w:t xml:space="preserve"> health survey</w:t>
      </w:r>
      <w:r w:rsidR="00CA2FBB" w:rsidRPr="005505BF">
        <w:t xml:space="preserve"> </w:t>
      </w:r>
      <w:r w:rsidR="00CA2FBB" w:rsidRPr="001B16D1">
        <w:rPr>
          <w:vertAlign w:val="superscript"/>
        </w:rPr>
        <w:fldChar w:fldCharType="begin"/>
      </w:r>
      <w:r w:rsidR="00CA2FBB" w:rsidRPr="001B16D1">
        <w:rPr>
          <w:vertAlign w:val="superscript"/>
        </w:rPr>
        <w:instrText xml:space="preserve"> NOTEREF _Ref32798983 \h  \* MERGEFORMAT </w:instrText>
      </w:r>
      <w:r w:rsidR="00CA2FBB" w:rsidRPr="001B16D1">
        <w:rPr>
          <w:vertAlign w:val="superscript"/>
        </w:rPr>
      </w:r>
      <w:r w:rsidR="00CA2FBB" w:rsidRPr="001B16D1">
        <w:rPr>
          <w:vertAlign w:val="superscript"/>
        </w:rPr>
        <w:fldChar w:fldCharType="separate"/>
      </w:r>
      <w:r w:rsidR="00CB360C">
        <w:rPr>
          <w:vertAlign w:val="superscript"/>
        </w:rPr>
        <w:t>110</w:t>
      </w:r>
      <w:r w:rsidR="00CA2FBB" w:rsidRPr="001B16D1">
        <w:rPr>
          <w:vertAlign w:val="superscript"/>
        </w:rPr>
        <w:fldChar w:fldCharType="end"/>
      </w:r>
      <w:r w:rsidRPr="005505BF">
        <w:t xml:space="preserve"> that Sierra Leone continues to lag far behind in maternal, infant and child mortality as compared to its regional peers. While it had better indicators on caseload (10.0 per provider per day), management of maternal and neonatal complications (31%), availability of drugs and infrastructure (56.0% and 47.7%) in the region, indicators on absence rate from facility (29.9% of health providers), diagnostic accuracy (44.5% of clinical cases), adherence to clinical guidelines (30.2%) and equipment (31.9%) availability were considered worse off.  A national Quality of Care program </w:t>
      </w:r>
      <w:r w:rsidR="009E7BB8" w:rsidRPr="005505BF">
        <w:t xml:space="preserve">(2018) </w:t>
      </w:r>
      <w:r w:rsidRPr="005505BF">
        <w:t>is expected to</w:t>
      </w:r>
      <w:r w:rsidRPr="00610088">
        <w:rPr>
          <w:szCs w:val="21"/>
          <w:lang w:val="en-GB"/>
        </w:rPr>
        <w:t xml:space="preserve"> </w:t>
      </w:r>
      <w:r w:rsidRPr="00610088">
        <w:rPr>
          <w:szCs w:val="21"/>
          <w:lang w:val="en-GB"/>
        </w:rPr>
        <w:lastRenderedPageBreak/>
        <w:t>help solve the persistent quality of care problems including weak Infection prevention and control practices, diagnostic inaccuracy and case mismanagement.</w:t>
      </w:r>
    </w:p>
    <w:p w14:paraId="1A91D53E" w14:textId="77777777" w:rsidR="002C404D" w:rsidRPr="00610088" w:rsidRDefault="002C404D" w:rsidP="005505BF">
      <w:pPr>
        <w:rPr>
          <w:szCs w:val="21"/>
          <w:lang w:val="en-GB"/>
        </w:rPr>
      </w:pPr>
    </w:p>
    <w:p w14:paraId="67AE66CA" w14:textId="77777777" w:rsidR="002C404D" w:rsidRPr="00610088" w:rsidRDefault="002C404D" w:rsidP="005505BF">
      <w:pPr>
        <w:rPr>
          <w:szCs w:val="21"/>
          <w:lang w:val="en-GB"/>
        </w:rPr>
      </w:pPr>
      <w:r w:rsidRPr="00610088">
        <w:rPr>
          <w:b/>
          <w:bCs/>
          <w:szCs w:val="21"/>
          <w:lang w:val="en-GB"/>
        </w:rPr>
        <w:t>Community participation and engagement</w:t>
      </w:r>
      <w:r w:rsidRPr="00610088">
        <w:rPr>
          <w:szCs w:val="21"/>
          <w:lang w:val="en-GB"/>
        </w:rPr>
        <w:t xml:space="preserve"> are encouraged through involvement of facility or health management committees and village development committees in health activities and their planning and oversight. These committees are linked to the various PHUs. Similarly, each local council has a health management committee that is engaged in health planning and oversight. </w:t>
      </w:r>
    </w:p>
    <w:p w14:paraId="28AA4739" w14:textId="77777777" w:rsidR="002C404D" w:rsidRPr="00610088" w:rsidRDefault="002C404D" w:rsidP="005505BF">
      <w:pPr>
        <w:rPr>
          <w:szCs w:val="21"/>
          <w:lang w:val="en-GB"/>
        </w:rPr>
      </w:pPr>
    </w:p>
    <w:p w14:paraId="277B2881" w14:textId="77D7C9A3" w:rsidR="002C404D" w:rsidRPr="00610088" w:rsidRDefault="002C404D" w:rsidP="005505BF">
      <w:pPr>
        <w:rPr>
          <w:lang w:val="en-GB"/>
        </w:rPr>
      </w:pPr>
      <w:r w:rsidRPr="00610088">
        <w:rPr>
          <w:lang w:val="en-GB"/>
        </w:rPr>
        <w:t xml:space="preserve">Although there has been an increase of </w:t>
      </w:r>
      <w:r w:rsidR="003561E5">
        <w:rPr>
          <w:lang w:val="en-GB"/>
        </w:rPr>
        <w:t>the Government of Sierra Leone (</w:t>
      </w:r>
      <w:proofErr w:type="spellStart"/>
      <w:r w:rsidR="003561E5" w:rsidRPr="00610088">
        <w:rPr>
          <w:lang w:val="en-GB"/>
        </w:rPr>
        <w:t>GoSL</w:t>
      </w:r>
      <w:proofErr w:type="spellEnd"/>
      <w:r w:rsidR="003561E5">
        <w:rPr>
          <w:lang w:val="en-GB"/>
        </w:rPr>
        <w:t>)</w:t>
      </w:r>
      <w:r w:rsidR="003561E5" w:rsidRPr="00610088">
        <w:rPr>
          <w:lang w:val="en-GB"/>
        </w:rPr>
        <w:t xml:space="preserve"> </w:t>
      </w:r>
      <w:r w:rsidRPr="00610088">
        <w:rPr>
          <w:lang w:val="en-GB"/>
        </w:rPr>
        <w:t xml:space="preserve">allocation to health in recent years, there is still a high out of pocket </w:t>
      </w:r>
      <w:r w:rsidRPr="00610088">
        <w:rPr>
          <w:b/>
          <w:bCs/>
          <w:lang w:val="en-GB"/>
        </w:rPr>
        <w:t>expenditure for health</w:t>
      </w:r>
      <w:r w:rsidRPr="00610088">
        <w:rPr>
          <w:lang w:val="en-GB"/>
        </w:rPr>
        <w:t>, estimated to be close to 70% of the total health expenditure (THET), with the remaining provided by external sources (24%) and government (6%).</w:t>
      </w:r>
      <w:r w:rsidR="002F6B0F" w:rsidRPr="00610088">
        <w:rPr>
          <w:vertAlign w:val="superscript"/>
          <w:lang w:val="en-GB"/>
        </w:rPr>
        <w:fldChar w:fldCharType="begin"/>
      </w:r>
      <w:r w:rsidR="002F6B0F" w:rsidRPr="00610088">
        <w:rPr>
          <w:vertAlign w:val="superscript"/>
          <w:lang w:val="en-GB"/>
        </w:rPr>
        <w:instrText xml:space="preserve"> NOTEREF _Ref17117498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107</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_Ref32799058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111</w:t>
      </w:r>
      <w:r w:rsidR="002F6B0F" w:rsidRPr="00610088">
        <w:rPr>
          <w:vertAlign w:val="superscript"/>
          <w:lang w:val="en-GB"/>
        </w:rPr>
        <w:fldChar w:fldCharType="end"/>
      </w:r>
      <w:r w:rsidRPr="00610088">
        <w:rPr>
          <w:lang w:val="en-GB"/>
        </w:rPr>
        <w:t xml:space="preserve"> The Sierra Leone Social Health Insurance (</w:t>
      </w:r>
      <w:proofErr w:type="spellStart"/>
      <w:r w:rsidRPr="00610088">
        <w:rPr>
          <w:lang w:val="en-GB"/>
        </w:rPr>
        <w:t>SLeSHI</w:t>
      </w:r>
      <w:proofErr w:type="spellEnd"/>
      <w:r w:rsidRPr="00610088">
        <w:rPr>
          <w:lang w:val="en-GB"/>
        </w:rPr>
        <w:t>), enacted in 2017</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_Ref32799105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112</w:t>
      </w:r>
      <w:r w:rsidR="002F6B0F" w:rsidRPr="00610088">
        <w:rPr>
          <w:vertAlign w:val="superscript"/>
          <w:lang w:val="en-GB"/>
        </w:rPr>
        <w:fldChar w:fldCharType="end"/>
      </w:r>
      <w:r w:rsidRPr="00610088">
        <w:rPr>
          <w:lang w:val="en-GB"/>
        </w:rPr>
        <w:t xml:space="preserve">, has not started yet. There are plans to develop a national health financing policy and strategy. There is no health sector wide budgeting, while </w:t>
      </w:r>
      <w:proofErr w:type="spellStart"/>
      <w:r w:rsidRPr="00610088">
        <w:rPr>
          <w:lang w:val="en-GB"/>
        </w:rPr>
        <w:t>GoSL</w:t>
      </w:r>
      <w:proofErr w:type="spellEnd"/>
      <w:r w:rsidRPr="00610088">
        <w:rPr>
          <w:lang w:val="en-GB"/>
        </w:rPr>
        <w:t xml:space="preserve"> health budget execution is estimated to be about 50%. Funding for FHCI drugs is provided by </w:t>
      </w:r>
      <w:r w:rsidR="002B6A70">
        <w:rPr>
          <w:lang w:val="en-GB"/>
        </w:rPr>
        <w:t>the Directorate for International Development (</w:t>
      </w:r>
      <w:r w:rsidRPr="00610088">
        <w:rPr>
          <w:lang w:val="en-GB"/>
        </w:rPr>
        <w:t>DFID</w:t>
      </w:r>
      <w:r w:rsidR="002B6A70">
        <w:rPr>
          <w:lang w:val="en-GB"/>
        </w:rPr>
        <w:t>, UKAID)</w:t>
      </w:r>
      <w:r w:rsidRPr="00610088">
        <w:rPr>
          <w:lang w:val="en-GB"/>
        </w:rPr>
        <w:t xml:space="preserve"> and the Government of Sierra Leone, with an increasing commitment for </w:t>
      </w:r>
      <w:proofErr w:type="spellStart"/>
      <w:r w:rsidRPr="00610088">
        <w:rPr>
          <w:lang w:val="en-GB"/>
        </w:rPr>
        <w:t>GoSL</w:t>
      </w:r>
      <w:proofErr w:type="spellEnd"/>
      <w:r w:rsidRPr="00610088">
        <w:rPr>
          <w:lang w:val="en-GB"/>
        </w:rPr>
        <w:t xml:space="preserve">. With these funds a selected priority set of FHCI drugs and supplies are procured, still leaving a funding gap of more than 50%. The cost-recovery system for drugs that was in place more than 10 years ago has not been revitalised, although there are plans to do so. </w:t>
      </w:r>
    </w:p>
    <w:p w14:paraId="3ACDABB0" w14:textId="77777777" w:rsidR="002C404D" w:rsidRPr="00610088" w:rsidRDefault="002C404D" w:rsidP="005505BF">
      <w:pPr>
        <w:rPr>
          <w:lang w:val="en-GB"/>
        </w:rPr>
      </w:pPr>
    </w:p>
    <w:p w14:paraId="0E2BF7D5" w14:textId="5FC1CA58" w:rsidR="002F6B0F" w:rsidRPr="00610088" w:rsidRDefault="002C404D" w:rsidP="005505BF">
      <w:pPr>
        <w:rPr>
          <w:lang w:val="en-GB"/>
        </w:rPr>
      </w:pPr>
      <w:r w:rsidRPr="00610088">
        <w:rPr>
          <w:lang w:val="en-GB"/>
        </w:rPr>
        <w:t xml:space="preserve">The </w:t>
      </w:r>
      <w:r w:rsidRPr="00610088">
        <w:rPr>
          <w:b/>
          <w:bCs/>
          <w:lang w:val="en-GB"/>
        </w:rPr>
        <w:t>Human Resources for Health</w:t>
      </w:r>
      <w:r w:rsidRPr="00610088">
        <w:rPr>
          <w:lang w:val="en-GB"/>
        </w:rPr>
        <w:t xml:space="preserve"> (HRH) Directorate in the </w:t>
      </w:r>
      <w:proofErr w:type="spellStart"/>
      <w:r w:rsidR="00156C15">
        <w:rPr>
          <w:lang w:val="en-GB"/>
        </w:rPr>
        <w:t>MoHS</w:t>
      </w:r>
      <w:proofErr w:type="spellEnd"/>
      <w:r w:rsidRPr="00610088">
        <w:rPr>
          <w:lang w:val="en-GB"/>
        </w:rPr>
        <w:t xml:space="preserve"> provides coordination and governance for human resources in the health sector, guided by the Human Resources for Health Policy and Strategy 2017-2021.</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_Ref17114904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115</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_Ref17114905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116</w:t>
      </w:r>
      <w:r w:rsidR="002F6B0F" w:rsidRPr="00610088">
        <w:rPr>
          <w:vertAlign w:val="superscript"/>
          <w:lang w:val="en-GB"/>
        </w:rPr>
        <w:fldChar w:fldCharType="end"/>
      </w:r>
      <w:r w:rsidR="002F6B0F" w:rsidRPr="00610088">
        <w:rPr>
          <w:lang w:val="en-GB"/>
        </w:rPr>
        <w:t xml:space="preserve"> </w:t>
      </w:r>
      <w:r w:rsidRPr="00610088">
        <w:rPr>
          <w:lang w:val="en-GB"/>
        </w:rPr>
        <w:t xml:space="preserve"> </w:t>
      </w:r>
    </w:p>
    <w:p w14:paraId="2294EA3D" w14:textId="3377C4B4" w:rsidR="002F6B0F" w:rsidRPr="00610088" w:rsidRDefault="002C404D" w:rsidP="005505BF">
      <w:pPr>
        <w:rPr>
          <w:lang w:val="en-GB"/>
        </w:rPr>
      </w:pPr>
      <w:r w:rsidRPr="00610088">
        <w:rPr>
          <w:lang w:val="en-GB"/>
        </w:rPr>
        <w:t xml:space="preserve">Almost 50% of health workers in government health facilities were volunteers in 2016. Most cadre groups meet less than 50% of these staffing norms, with the exception of State Enrolled Community Health Nurses (SECHNs). The health worker density is far below the </w:t>
      </w:r>
      <w:r w:rsidR="00E01313">
        <w:rPr>
          <w:lang w:val="en-GB"/>
        </w:rPr>
        <w:t>World Health Organization (</w:t>
      </w:r>
      <w:r w:rsidRPr="00610088">
        <w:rPr>
          <w:lang w:val="en-GB"/>
        </w:rPr>
        <w:t>WHO</w:t>
      </w:r>
      <w:r w:rsidR="00E01313">
        <w:rPr>
          <w:lang w:val="en-GB"/>
        </w:rPr>
        <w:t>)</w:t>
      </w:r>
      <w:r w:rsidRPr="00610088">
        <w:rPr>
          <w:lang w:val="en-GB"/>
        </w:rPr>
        <w:t xml:space="preserve"> requirements for the SDGs and UHC.</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_Ref17114905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116</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_Ref17115053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117</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_Ref32799250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118</w:t>
      </w:r>
      <w:r w:rsidR="002F6B0F" w:rsidRPr="00610088">
        <w:rPr>
          <w:vertAlign w:val="superscript"/>
          <w:lang w:val="en-GB"/>
        </w:rPr>
        <w:fldChar w:fldCharType="end"/>
      </w:r>
      <w:r w:rsidRPr="00610088">
        <w:rPr>
          <w:lang w:val="en-GB"/>
        </w:rPr>
        <w:t xml:space="preserve"> The recently trained 15,000 CHWs, and also the Traditional Birth Attendants (TBAs) and traditional healers are not part of the Sierra Leone Civil Service.</w:t>
      </w:r>
      <w:r w:rsidR="002F6B0F" w:rsidRPr="00610088">
        <w:rPr>
          <w:vertAlign w:val="superscript"/>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_Ref17115053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117</w:t>
      </w:r>
      <w:r w:rsidR="002F6B0F" w:rsidRPr="00610088">
        <w:rPr>
          <w:vertAlign w:val="superscript"/>
          <w:lang w:val="en-GB"/>
        </w:rPr>
        <w:fldChar w:fldCharType="end"/>
      </w:r>
      <w:r w:rsidRPr="00610088">
        <w:rPr>
          <w:lang w:val="en-GB"/>
        </w:rPr>
        <w:t xml:space="preserve"> </w:t>
      </w:r>
    </w:p>
    <w:p w14:paraId="7F405C12" w14:textId="46467482" w:rsidR="002C404D" w:rsidRPr="00610088" w:rsidRDefault="002C404D" w:rsidP="005505BF">
      <w:pPr>
        <w:rPr>
          <w:lang w:val="en-GB"/>
        </w:rPr>
      </w:pPr>
      <w:r w:rsidRPr="00610088">
        <w:rPr>
          <w:lang w:val="en-GB"/>
        </w:rPr>
        <w:t>Next to a huge staffing gap, other HRH challenges include uneven distribution of existing health workers, limited coordination of pre- and in-service training, insufficient attention to regulation and limited availability and use of HRH data.</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_Ref17114904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115</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_Ref17114905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116</w:t>
      </w:r>
      <w:r w:rsidR="002F6B0F" w:rsidRPr="00610088">
        <w:rPr>
          <w:vertAlign w:val="superscript"/>
          <w:lang w:val="en-GB"/>
        </w:rPr>
        <w:fldChar w:fldCharType="end"/>
      </w:r>
      <w:r w:rsidR="002F6B0F" w:rsidRPr="00610088">
        <w:rPr>
          <w:lang w:val="en-GB"/>
        </w:rPr>
        <w:t xml:space="preserve">  </w:t>
      </w:r>
      <w:r w:rsidRPr="00610088">
        <w:rPr>
          <w:lang w:val="en-GB"/>
        </w:rPr>
        <w:t xml:space="preserve">Some progress was made during 2018, including ongoing recruitment of additional health workers, start of an attendance monitoring system with a related sanctions framework and posting of HRH officers and HRH assistants to each district. </w:t>
      </w:r>
    </w:p>
    <w:p w14:paraId="63191646" w14:textId="77777777" w:rsidR="002C404D" w:rsidRPr="00610088" w:rsidRDefault="002C404D" w:rsidP="005505BF">
      <w:pPr>
        <w:rPr>
          <w:lang w:val="en-GB"/>
        </w:rPr>
      </w:pPr>
    </w:p>
    <w:p w14:paraId="3EA35FB8" w14:textId="21BB0A5B" w:rsidR="001A7A3C" w:rsidRDefault="002C404D" w:rsidP="005505BF">
      <w:pPr>
        <w:rPr>
          <w:lang w:val="en-GB"/>
        </w:rPr>
      </w:pPr>
      <w:r w:rsidRPr="00610088">
        <w:rPr>
          <w:lang w:val="en-GB"/>
        </w:rPr>
        <w:t xml:space="preserve">The provision and correct and safe use of </w:t>
      </w:r>
      <w:r w:rsidRPr="00610088">
        <w:rPr>
          <w:b/>
          <w:bCs/>
          <w:lang w:val="en-GB"/>
        </w:rPr>
        <w:t>medicines, medical products and technologies</w:t>
      </w:r>
      <w:r w:rsidRPr="00610088">
        <w:rPr>
          <w:lang w:val="en-GB"/>
        </w:rPr>
        <w:t xml:space="preserve"> are guided by a whole range of policy documents</w:t>
      </w:r>
      <w:r w:rsidR="002F6B0F" w:rsidRPr="00610088">
        <w:rPr>
          <w:lang w:val="en-GB"/>
        </w:rPr>
        <w:t xml:space="preserve"> </w:t>
      </w:r>
      <w:r w:rsidRPr="00610088">
        <w:rPr>
          <w:lang w:val="en-GB"/>
        </w:rPr>
        <w:t>but there are no policy documents for blood (products) and for traditional medicines/ products.</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_Ref17117498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107</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_Ref32799438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120</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_Ref32799439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121</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_Ref32799441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122</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_Ref32799443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123</w:t>
      </w:r>
      <w:r w:rsidR="002F6B0F" w:rsidRPr="00610088">
        <w:rPr>
          <w:vertAlign w:val="superscript"/>
          <w:lang w:val="en-GB"/>
        </w:rPr>
        <w:fldChar w:fldCharType="end"/>
      </w:r>
      <w:r w:rsidR="002F6B0F" w:rsidRPr="00610088">
        <w:rPr>
          <w:vertAlign w:val="superscript"/>
          <w:lang w:val="en-GB"/>
        </w:rPr>
        <w:t>,</w:t>
      </w:r>
      <w:r w:rsidR="002F6B0F" w:rsidRPr="00610088">
        <w:rPr>
          <w:vertAlign w:val="superscript"/>
          <w:lang w:val="en-GB"/>
        </w:rPr>
        <w:fldChar w:fldCharType="begin"/>
      </w:r>
      <w:r w:rsidR="002F6B0F" w:rsidRPr="00610088">
        <w:rPr>
          <w:vertAlign w:val="superscript"/>
          <w:lang w:val="en-GB"/>
        </w:rPr>
        <w:instrText xml:space="preserve"> NOTEREF _Ref32611913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124</w:t>
      </w:r>
      <w:r w:rsidR="002F6B0F" w:rsidRPr="00610088">
        <w:rPr>
          <w:vertAlign w:val="superscript"/>
          <w:lang w:val="en-GB"/>
        </w:rPr>
        <w:fldChar w:fldCharType="end"/>
      </w:r>
      <w:r w:rsidRPr="00610088">
        <w:rPr>
          <w:lang w:val="en-GB"/>
        </w:rPr>
        <w:t xml:space="preserve"> There is poor adherence to treatment guidelines. </w:t>
      </w:r>
      <w:r w:rsidR="002F6B0F" w:rsidRPr="00610088">
        <w:rPr>
          <w:vertAlign w:val="superscript"/>
          <w:lang w:val="en-GB"/>
        </w:rPr>
        <w:fldChar w:fldCharType="begin"/>
      </w:r>
      <w:r w:rsidR="002F6B0F" w:rsidRPr="00610088">
        <w:rPr>
          <w:vertAlign w:val="superscript"/>
          <w:lang w:val="en-GB"/>
        </w:rPr>
        <w:instrText xml:space="preserve"> NOTEREF _Ref17117498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107</w:t>
      </w:r>
      <w:r w:rsidR="002F6B0F" w:rsidRPr="00610088">
        <w:rPr>
          <w:vertAlign w:val="superscript"/>
          <w:lang w:val="en-GB"/>
        </w:rPr>
        <w:fldChar w:fldCharType="end"/>
      </w:r>
      <w:r w:rsidR="002F6B0F" w:rsidRPr="00610088">
        <w:rPr>
          <w:vertAlign w:val="superscript"/>
          <w:lang w:val="en-GB"/>
        </w:rPr>
        <w:t xml:space="preserve"> </w:t>
      </w:r>
      <w:r w:rsidRPr="00610088">
        <w:rPr>
          <w:lang w:val="en-GB"/>
        </w:rPr>
        <w:t>Recently Drug and therapeutic committees have been established / revitalised in 8 hospitals.</w:t>
      </w:r>
      <w:r w:rsidR="002F6B0F" w:rsidRPr="00610088">
        <w:rPr>
          <w:vertAlign w:val="superscript"/>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_Ref17117498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107</w:t>
      </w:r>
      <w:r w:rsidR="002F6B0F" w:rsidRPr="00610088">
        <w:rPr>
          <w:vertAlign w:val="superscript"/>
          <w:lang w:val="en-GB"/>
        </w:rPr>
        <w:fldChar w:fldCharType="end"/>
      </w:r>
      <w:r w:rsidRPr="00610088">
        <w:rPr>
          <w:lang w:val="en-GB"/>
        </w:rPr>
        <w:t xml:space="preserve"> The National Medical Supplies Agency (NMSA)</w:t>
      </w:r>
      <w:r w:rsidR="002F6B0F" w:rsidRPr="00610088">
        <w:rPr>
          <w:vertAlign w:val="superscript"/>
          <w:lang w:val="en-GB"/>
        </w:rPr>
        <w:fldChar w:fldCharType="begin"/>
      </w:r>
      <w:r w:rsidR="002F6B0F" w:rsidRPr="00610088">
        <w:rPr>
          <w:vertAlign w:val="superscript"/>
          <w:lang w:val="en-GB"/>
        </w:rPr>
        <w:instrText xml:space="preserve"> NOTEREF _Ref32799532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125</w:t>
      </w:r>
      <w:r w:rsidR="002F6B0F" w:rsidRPr="00610088">
        <w:rPr>
          <w:vertAlign w:val="superscript"/>
          <w:lang w:val="en-GB"/>
        </w:rPr>
        <w:fldChar w:fldCharType="end"/>
      </w:r>
      <w:r w:rsidRPr="00610088">
        <w:rPr>
          <w:lang w:val="en-GB"/>
        </w:rPr>
        <w:t xml:space="preserve"> is in set up phase and will be responsible for procurement, warehousing and distribution of drugs and medical supplies on behalf of all public institutions throughout Sierra Leone. The focus of supplies is for now on commodities for FHCI, </w:t>
      </w:r>
      <w:r w:rsidR="00AF38D4">
        <w:rPr>
          <w:lang w:val="en-GB"/>
        </w:rPr>
        <w:t>Reproductive Health and Family Planning (</w:t>
      </w:r>
      <w:r w:rsidRPr="00610088">
        <w:rPr>
          <w:lang w:val="en-GB"/>
        </w:rPr>
        <w:t>RH/FP</w:t>
      </w:r>
      <w:r w:rsidR="00AF38D4">
        <w:rPr>
          <w:lang w:val="en-GB"/>
        </w:rPr>
        <w:t>)</w:t>
      </w:r>
      <w:r w:rsidRPr="00610088">
        <w:rPr>
          <w:lang w:val="en-GB"/>
        </w:rPr>
        <w:t xml:space="preserve">, nutrition and the 3 Global Fund diseases (TB, HIV, Malaria). There has been no functional national cost-recovery system for many years now. </w:t>
      </w:r>
      <w:r w:rsidR="002F6B0F" w:rsidRPr="00610088">
        <w:rPr>
          <w:vertAlign w:val="superscript"/>
          <w:lang w:val="en-GB"/>
        </w:rPr>
        <w:fldChar w:fldCharType="begin"/>
      </w:r>
      <w:r w:rsidR="002F6B0F" w:rsidRPr="00610088">
        <w:rPr>
          <w:vertAlign w:val="superscript"/>
          <w:lang w:val="en-GB"/>
        </w:rPr>
        <w:instrText xml:space="preserve"> NOTEREF _Ref17117498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107</w:t>
      </w:r>
      <w:r w:rsidR="002F6B0F" w:rsidRPr="00610088">
        <w:rPr>
          <w:vertAlign w:val="superscript"/>
          <w:lang w:val="en-GB"/>
        </w:rPr>
        <w:fldChar w:fldCharType="end"/>
      </w:r>
      <w:r w:rsidR="002F6B0F" w:rsidRPr="00610088">
        <w:rPr>
          <w:vertAlign w:val="superscript"/>
          <w:lang w:val="en-GB"/>
        </w:rPr>
        <w:t xml:space="preserve">  </w:t>
      </w:r>
    </w:p>
    <w:p w14:paraId="4AD52929" w14:textId="77777777" w:rsidR="005505BF" w:rsidRPr="005505BF" w:rsidRDefault="005505BF" w:rsidP="005505BF">
      <w:pPr>
        <w:rPr>
          <w:lang w:val="en-GB"/>
        </w:rPr>
      </w:pPr>
    </w:p>
    <w:p w14:paraId="268169D3" w14:textId="3F7CDE4B" w:rsidR="001A7A3C" w:rsidRDefault="002C404D" w:rsidP="005505BF">
      <w:pPr>
        <w:rPr>
          <w:lang w:val="en-GB"/>
        </w:rPr>
      </w:pPr>
      <w:r w:rsidRPr="00610088">
        <w:rPr>
          <w:lang w:val="en-GB"/>
        </w:rPr>
        <w:t>The SARA 2017 survey</w:t>
      </w:r>
      <w:r w:rsidR="002F6B0F" w:rsidRPr="00610088">
        <w:rPr>
          <w:lang w:val="en-GB"/>
        </w:rPr>
        <w:t xml:space="preserve"> </w:t>
      </w:r>
      <w:r w:rsidR="002F6B0F" w:rsidRPr="00610088">
        <w:rPr>
          <w:vertAlign w:val="superscript"/>
          <w:lang w:val="en-GB"/>
        </w:rPr>
        <w:fldChar w:fldCharType="begin"/>
      </w:r>
      <w:r w:rsidR="002F6B0F" w:rsidRPr="00610088">
        <w:rPr>
          <w:vertAlign w:val="superscript"/>
          <w:lang w:val="en-GB"/>
        </w:rPr>
        <w:instrText xml:space="preserve"> NOTEREF _Ref17185534 \h  \* MERGEFORMAT </w:instrText>
      </w:r>
      <w:r w:rsidR="002F6B0F" w:rsidRPr="00610088">
        <w:rPr>
          <w:vertAlign w:val="superscript"/>
          <w:lang w:val="en-GB"/>
        </w:rPr>
      </w:r>
      <w:r w:rsidR="002F6B0F" w:rsidRPr="00610088">
        <w:rPr>
          <w:vertAlign w:val="superscript"/>
          <w:lang w:val="en-GB"/>
        </w:rPr>
        <w:fldChar w:fldCharType="separate"/>
      </w:r>
      <w:r w:rsidR="00CB360C">
        <w:rPr>
          <w:vertAlign w:val="superscript"/>
          <w:lang w:val="en-GB"/>
        </w:rPr>
        <w:t>108</w:t>
      </w:r>
      <w:r w:rsidR="002F6B0F" w:rsidRPr="00610088">
        <w:rPr>
          <w:vertAlign w:val="superscript"/>
          <w:lang w:val="en-GB"/>
        </w:rPr>
        <w:fldChar w:fldCharType="end"/>
      </w:r>
      <w:r w:rsidRPr="00610088">
        <w:rPr>
          <w:lang w:val="en-GB"/>
        </w:rPr>
        <w:t xml:space="preserve"> of all 1284 health facilities showed a low mean availability (31%) of the 24 essential medicine tracer items with none of the health facilities having all items available.  The overall mean availability of tracer </w:t>
      </w:r>
      <w:r w:rsidRPr="00610088">
        <w:rPr>
          <w:b/>
          <w:bCs/>
          <w:lang w:val="en-GB"/>
        </w:rPr>
        <w:t>basic equipment</w:t>
      </w:r>
      <w:r w:rsidRPr="00610088">
        <w:rPr>
          <w:lang w:val="en-GB"/>
        </w:rPr>
        <w:t xml:space="preserve"> at all 1284 health facilities in the country was 57% in 2017. Only 25% had all the items. </w:t>
      </w:r>
      <w:r w:rsidRPr="00610088">
        <w:rPr>
          <w:b/>
          <w:bCs/>
          <w:lang w:val="en-GB"/>
        </w:rPr>
        <w:t>High-level diagnostic equipment</w:t>
      </w:r>
      <w:r w:rsidRPr="00610088">
        <w:rPr>
          <w:lang w:val="en-GB"/>
        </w:rPr>
        <w:t xml:space="preserve"> (ultrasound machine, X-ray equipment, electrocardiography (ECG) machine and</w:t>
      </w:r>
      <w:r w:rsidR="00FF2A88">
        <w:rPr>
          <w:lang w:val="en-GB"/>
        </w:rPr>
        <w:t xml:space="preserve"> Computer Tomography (</w:t>
      </w:r>
      <w:r w:rsidRPr="00610088">
        <w:rPr>
          <w:lang w:val="en-GB"/>
        </w:rPr>
        <w:t>CT</w:t>
      </w:r>
      <w:r w:rsidR="00FF2A88">
        <w:rPr>
          <w:lang w:val="en-GB"/>
        </w:rPr>
        <w:t>)</w:t>
      </w:r>
      <w:r w:rsidRPr="00610088">
        <w:rPr>
          <w:lang w:val="en-GB"/>
        </w:rPr>
        <w:t xml:space="preserve"> scan machine) availability has even more constraints.  The overall mean availability of tracer </w:t>
      </w:r>
      <w:r w:rsidRPr="00610088">
        <w:rPr>
          <w:b/>
          <w:bCs/>
          <w:lang w:val="en-GB"/>
        </w:rPr>
        <w:t>basic amenities</w:t>
      </w:r>
      <w:r w:rsidRPr="00610088">
        <w:rPr>
          <w:lang w:val="en-GB"/>
        </w:rPr>
        <w:t xml:space="preserve"> at all 1284 health facilities in the country was 57% in 2017. Only 2% had all tracer items. </w:t>
      </w:r>
      <w:r w:rsidR="001A7A3C" w:rsidRPr="00610088">
        <w:rPr>
          <w:vertAlign w:val="superscript"/>
          <w:lang w:val="en-GB"/>
        </w:rPr>
        <w:fldChar w:fldCharType="begin"/>
      </w:r>
      <w:r w:rsidR="001A7A3C" w:rsidRPr="00610088">
        <w:rPr>
          <w:vertAlign w:val="superscript"/>
          <w:lang w:val="en-GB"/>
        </w:rPr>
        <w:instrText xml:space="preserve"> NOTEREF _Ref17185534 \h  \* MERGEFORMAT </w:instrText>
      </w:r>
      <w:r w:rsidR="001A7A3C" w:rsidRPr="00610088">
        <w:rPr>
          <w:vertAlign w:val="superscript"/>
          <w:lang w:val="en-GB"/>
        </w:rPr>
      </w:r>
      <w:r w:rsidR="001A7A3C" w:rsidRPr="00610088">
        <w:rPr>
          <w:vertAlign w:val="superscript"/>
          <w:lang w:val="en-GB"/>
        </w:rPr>
        <w:fldChar w:fldCharType="separate"/>
      </w:r>
      <w:r w:rsidR="00CB360C">
        <w:rPr>
          <w:vertAlign w:val="superscript"/>
          <w:lang w:val="en-GB"/>
        </w:rPr>
        <w:t>108</w:t>
      </w:r>
      <w:r w:rsidR="001A7A3C" w:rsidRPr="00610088">
        <w:rPr>
          <w:vertAlign w:val="superscript"/>
          <w:lang w:val="en-GB"/>
        </w:rPr>
        <w:fldChar w:fldCharType="end"/>
      </w:r>
    </w:p>
    <w:p w14:paraId="79AD7D3E" w14:textId="77777777" w:rsidR="005505BF" w:rsidRPr="005505BF" w:rsidRDefault="005505BF" w:rsidP="005505BF">
      <w:pPr>
        <w:rPr>
          <w:lang w:val="en-GB"/>
        </w:rPr>
      </w:pPr>
    </w:p>
    <w:p w14:paraId="54785F75" w14:textId="0FAAAEA2" w:rsidR="002C404D" w:rsidRDefault="002C404D" w:rsidP="005505BF">
      <w:pPr>
        <w:rPr>
          <w:lang w:val="en-GB"/>
        </w:rPr>
      </w:pPr>
      <w:r w:rsidRPr="00610088">
        <w:rPr>
          <w:lang w:val="en-GB"/>
        </w:rPr>
        <w:lastRenderedPageBreak/>
        <w:t xml:space="preserve">There is </w:t>
      </w:r>
      <w:r w:rsidRPr="00610088">
        <w:rPr>
          <w:b/>
          <w:bCs/>
          <w:lang w:val="en-GB"/>
        </w:rPr>
        <w:t>no planned preventive maintenance</w:t>
      </w:r>
      <w:r w:rsidRPr="00610088">
        <w:rPr>
          <w:lang w:val="en-GB"/>
        </w:rPr>
        <w:t xml:space="preserve"> for physical infrastructure and medical equipment. There are only 2 biomechanical staffs in the </w:t>
      </w:r>
      <w:proofErr w:type="spellStart"/>
      <w:r w:rsidR="00156C15">
        <w:rPr>
          <w:lang w:val="en-GB"/>
        </w:rPr>
        <w:t>MoHS</w:t>
      </w:r>
      <w:proofErr w:type="spellEnd"/>
      <w:r w:rsidRPr="00610088">
        <w:rPr>
          <w:lang w:val="en-GB"/>
        </w:rPr>
        <w:t xml:space="preserve"> at national level. There is at least one (1) solar technician in each district; taking care of the solar fridges for the vaccines cold chain. </w:t>
      </w:r>
    </w:p>
    <w:p w14:paraId="21FA411D" w14:textId="77777777" w:rsidR="005505BF" w:rsidRPr="00610088" w:rsidRDefault="005505BF" w:rsidP="005505BF">
      <w:pPr>
        <w:rPr>
          <w:lang w:val="en-GB"/>
        </w:rPr>
      </w:pPr>
    </w:p>
    <w:p w14:paraId="28F2F827" w14:textId="36D23237" w:rsidR="002C404D" w:rsidRPr="00610088" w:rsidRDefault="002C404D" w:rsidP="005505BF">
      <w:pPr>
        <w:rPr>
          <w:lang w:val="en-GB"/>
        </w:rPr>
      </w:pPr>
      <w:r w:rsidRPr="00610088">
        <w:rPr>
          <w:b/>
          <w:bCs/>
          <w:lang w:val="en-GB"/>
        </w:rPr>
        <w:t>Health information systems</w:t>
      </w:r>
      <w:r w:rsidRPr="00610088">
        <w:rPr>
          <w:lang w:val="en-GB"/>
        </w:rPr>
        <w:t xml:space="preserve"> are guided by the National Health Sector Information Strategic Plan 2017-2021 and the e-Health strategy and rely on a combination of national surveys</w:t>
      </w:r>
      <w:r w:rsidR="001A7A3C" w:rsidRPr="00610088">
        <w:rPr>
          <w:lang w:val="en-GB"/>
        </w:rPr>
        <w:t xml:space="preserve"> </w:t>
      </w:r>
      <w:r w:rsidR="001A7A3C" w:rsidRPr="00610088">
        <w:rPr>
          <w:vertAlign w:val="superscript"/>
          <w:lang w:val="en-GB"/>
        </w:rPr>
        <w:fldChar w:fldCharType="begin"/>
      </w:r>
      <w:r w:rsidR="001A7A3C" w:rsidRPr="00610088">
        <w:rPr>
          <w:vertAlign w:val="superscript"/>
          <w:lang w:val="en-GB"/>
        </w:rPr>
        <w:instrText xml:space="preserve"> NOTEREF _Ref17613464 \h  \* MERGEFORMAT </w:instrText>
      </w:r>
      <w:r w:rsidR="001A7A3C" w:rsidRPr="00610088">
        <w:rPr>
          <w:vertAlign w:val="superscript"/>
          <w:lang w:val="en-GB"/>
        </w:rPr>
      </w:r>
      <w:r w:rsidR="001A7A3C" w:rsidRPr="00610088">
        <w:rPr>
          <w:vertAlign w:val="superscript"/>
          <w:lang w:val="en-GB"/>
        </w:rPr>
        <w:fldChar w:fldCharType="separate"/>
      </w:r>
      <w:r w:rsidR="00CB360C">
        <w:rPr>
          <w:vertAlign w:val="superscript"/>
          <w:lang w:val="en-GB"/>
        </w:rPr>
        <w:t>7</w:t>
      </w:r>
      <w:r w:rsidR="001A7A3C" w:rsidRPr="00610088">
        <w:rPr>
          <w:vertAlign w:val="superscript"/>
          <w:lang w:val="en-GB"/>
        </w:rPr>
        <w:fldChar w:fldCharType="end"/>
      </w:r>
      <w:r w:rsidR="001A7A3C" w:rsidRPr="00610088">
        <w:rPr>
          <w:vertAlign w:val="superscript"/>
          <w:lang w:val="en-GB"/>
        </w:rPr>
        <w:t>,</w:t>
      </w:r>
      <w:r w:rsidR="001A7A3C" w:rsidRPr="00610088">
        <w:rPr>
          <w:vertAlign w:val="superscript"/>
          <w:lang w:val="en-GB"/>
        </w:rPr>
        <w:fldChar w:fldCharType="begin"/>
      </w:r>
      <w:r w:rsidR="001A7A3C" w:rsidRPr="00610088">
        <w:rPr>
          <w:vertAlign w:val="superscript"/>
          <w:lang w:val="en-GB"/>
        </w:rPr>
        <w:instrText xml:space="preserve"> NOTEREF _Ref17298289 \h  \* MERGEFORMAT </w:instrText>
      </w:r>
      <w:r w:rsidR="001A7A3C" w:rsidRPr="00610088">
        <w:rPr>
          <w:vertAlign w:val="superscript"/>
          <w:lang w:val="en-GB"/>
        </w:rPr>
      </w:r>
      <w:r w:rsidR="001A7A3C" w:rsidRPr="00610088">
        <w:rPr>
          <w:vertAlign w:val="superscript"/>
          <w:lang w:val="en-GB"/>
        </w:rPr>
        <w:fldChar w:fldCharType="separate"/>
      </w:r>
      <w:r w:rsidR="00CB360C">
        <w:rPr>
          <w:vertAlign w:val="superscript"/>
          <w:lang w:val="en-GB"/>
        </w:rPr>
        <w:t>8</w:t>
      </w:r>
      <w:r w:rsidR="001A7A3C" w:rsidRPr="00610088">
        <w:rPr>
          <w:vertAlign w:val="superscript"/>
          <w:lang w:val="en-GB"/>
        </w:rPr>
        <w:fldChar w:fldCharType="end"/>
      </w:r>
      <w:r w:rsidR="001A7A3C" w:rsidRPr="00610088">
        <w:rPr>
          <w:vertAlign w:val="superscript"/>
          <w:lang w:val="en-GB"/>
        </w:rPr>
        <w:t>,</w:t>
      </w:r>
      <w:r w:rsidR="001A7A3C" w:rsidRPr="00610088">
        <w:rPr>
          <w:vertAlign w:val="superscript"/>
          <w:lang w:val="en-GB"/>
        </w:rPr>
        <w:fldChar w:fldCharType="begin"/>
      </w:r>
      <w:r w:rsidR="001A7A3C" w:rsidRPr="00610088">
        <w:rPr>
          <w:vertAlign w:val="superscript"/>
          <w:lang w:val="en-GB"/>
        </w:rPr>
        <w:instrText xml:space="preserve"> NOTEREF _Ref17613310 \h  \* MERGEFORMAT </w:instrText>
      </w:r>
      <w:r w:rsidR="001A7A3C" w:rsidRPr="00610088">
        <w:rPr>
          <w:vertAlign w:val="superscript"/>
          <w:lang w:val="en-GB"/>
        </w:rPr>
      </w:r>
      <w:r w:rsidR="001A7A3C" w:rsidRPr="00610088">
        <w:rPr>
          <w:vertAlign w:val="superscript"/>
          <w:lang w:val="en-GB"/>
        </w:rPr>
        <w:fldChar w:fldCharType="separate"/>
      </w:r>
      <w:r w:rsidR="00CB360C">
        <w:rPr>
          <w:vertAlign w:val="superscript"/>
          <w:lang w:val="en-GB"/>
        </w:rPr>
        <w:t>208</w:t>
      </w:r>
      <w:r w:rsidR="001A7A3C" w:rsidRPr="00610088">
        <w:rPr>
          <w:vertAlign w:val="superscript"/>
          <w:lang w:val="en-GB"/>
        </w:rPr>
        <w:fldChar w:fldCharType="end"/>
      </w:r>
      <w:r w:rsidR="001A7A3C" w:rsidRPr="00610088">
        <w:rPr>
          <w:vertAlign w:val="superscript"/>
          <w:lang w:val="en-GB"/>
        </w:rPr>
        <w:t>,</w:t>
      </w:r>
      <w:r w:rsidR="001A7A3C" w:rsidRPr="00610088">
        <w:rPr>
          <w:vertAlign w:val="superscript"/>
          <w:lang w:val="en-GB"/>
        </w:rPr>
        <w:fldChar w:fldCharType="begin"/>
      </w:r>
      <w:r w:rsidR="001A7A3C" w:rsidRPr="00610088">
        <w:rPr>
          <w:vertAlign w:val="superscript"/>
          <w:lang w:val="en-GB"/>
        </w:rPr>
        <w:instrText xml:space="preserve"> NOTEREF _Ref17613474 \h  \* MERGEFORMAT </w:instrText>
      </w:r>
      <w:r w:rsidR="001A7A3C" w:rsidRPr="00610088">
        <w:rPr>
          <w:vertAlign w:val="superscript"/>
          <w:lang w:val="en-GB"/>
        </w:rPr>
      </w:r>
      <w:r w:rsidR="001A7A3C" w:rsidRPr="00610088">
        <w:rPr>
          <w:vertAlign w:val="superscript"/>
          <w:lang w:val="en-GB"/>
        </w:rPr>
        <w:fldChar w:fldCharType="separate"/>
      </w:r>
      <w:r w:rsidR="00CB360C">
        <w:rPr>
          <w:vertAlign w:val="superscript"/>
          <w:lang w:val="en-GB"/>
        </w:rPr>
        <w:t>209</w:t>
      </w:r>
      <w:r w:rsidR="001A7A3C" w:rsidRPr="00610088">
        <w:rPr>
          <w:vertAlign w:val="superscript"/>
          <w:lang w:val="en-GB"/>
        </w:rPr>
        <w:fldChar w:fldCharType="end"/>
      </w:r>
      <w:r w:rsidRPr="00610088">
        <w:rPr>
          <w:lang w:val="en-GB"/>
        </w:rPr>
        <w:t xml:space="preserve"> and </w:t>
      </w:r>
      <w:r w:rsidR="001A7A3C" w:rsidRPr="00610088">
        <w:rPr>
          <w:lang w:val="en-GB"/>
        </w:rPr>
        <w:t xml:space="preserve">service utilisation data such as </w:t>
      </w:r>
      <w:r w:rsidRPr="00610088">
        <w:rPr>
          <w:lang w:val="en-GB"/>
        </w:rPr>
        <w:t xml:space="preserve">the DHIS 2.0. The DHIS2.0 system key constraints are in the areas of ICT hardware and digitalisation, data quality and data use of decision making. Supervision is done through Integrated Supportive Supervision (ISSV) combined with special focussed supervision by separate </w:t>
      </w:r>
      <w:proofErr w:type="spellStart"/>
      <w:r w:rsidR="00156C15">
        <w:rPr>
          <w:lang w:val="en-GB"/>
        </w:rPr>
        <w:t>MoHS</w:t>
      </w:r>
      <w:proofErr w:type="spellEnd"/>
      <w:r w:rsidRPr="00610088">
        <w:rPr>
          <w:lang w:val="en-GB"/>
        </w:rPr>
        <w:t xml:space="preserve"> entities. Joint annual and mid-term reviews are irregular and need strengthening. Research for health implementation in the country is limited, also due to limited in-country research capacity. </w:t>
      </w:r>
    </w:p>
    <w:p w14:paraId="7984C7A6" w14:textId="049FE424" w:rsidR="0057323A" w:rsidRPr="00610088" w:rsidRDefault="0057323A" w:rsidP="00A46540">
      <w:pPr>
        <w:pStyle w:val="Heading1"/>
        <w:rPr>
          <w:lang w:val="en-GB"/>
        </w:rPr>
      </w:pPr>
      <w:bookmarkStart w:id="18" w:name="_Toc41370537"/>
      <w:r w:rsidRPr="00610088">
        <w:rPr>
          <w:lang w:val="en-GB"/>
        </w:rPr>
        <w:t>Global NCD situation</w:t>
      </w:r>
      <w:bookmarkEnd w:id="18"/>
    </w:p>
    <w:p w14:paraId="75EC237D" w14:textId="77777777" w:rsidR="0057323A" w:rsidRPr="00610088" w:rsidRDefault="0057323A" w:rsidP="0057323A">
      <w:pPr>
        <w:rPr>
          <w:lang w:val="en-GB"/>
        </w:rPr>
      </w:pPr>
    </w:p>
    <w:p w14:paraId="7F1A59BC" w14:textId="2EB66958" w:rsidR="0057323A" w:rsidRPr="00610088" w:rsidRDefault="0057323A" w:rsidP="00F1043E">
      <w:pPr>
        <w:pStyle w:val="Heading2"/>
        <w:rPr>
          <w:lang w:val="en-GB"/>
        </w:rPr>
      </w:pPr>
      <w:bookmarkStart w:id="19" w:name="_Toc41370538"/>
      <w:r w:rsidRPr="00610088">
        <w:rPr>
          <w:lang w:val="en-GB"/>
        </w:rPr>
        <w:t>Global NCD status</w:t>
      </w:r>
      <w:bookmarkEnd w:id="19"/>
    </w:p>
    <w:p w14:paraId="684401EE" w14:textId="77777777" w:rsidR="005505BF" w:rsidRDefault="005505BF" w:rsidP="0057323A">
      <w:pPr>
        <w:rPr>
          <w:lang w:val="en-GB"/>
        </w:rPr>
      </w:pPr>
    </w:p>
    <w:p w14:paraId="30F16DB8" w14:textId="1DD3FAAA" w:rsidR="0057323A" w:rsidRPr="00610088" w:rsidRDefault="0057323A" w:rsidP="005505BF">
      <w:pPr>
        <w:rPr>
          <w:lang w:val="en-GB"/>
        </w:rPr>
      </w:pPr>
      <w:r w:rsidRPr="00610088">
        <w:rPr>
          <w:lang w:val="en-GB"/>
        </w:rPr>
        <w:t xml:space="preserve">Non-Communicable Diseases (NCDs) are not transmissible, not infectious and often chronic conditions with long duration resulting from a combination of genetic, physiological, environmental and behavioural factors. </w:t>
      </w:r>
      <w:r w:rsidR="0054243B" w:rsidRPr="00610088">
        <w:rPr>
          <w:lang w:val="en-GB"/>
        </w:rPr>
        <w:t>NCDs are closely linked to poverty and contribute to further poverty through catastrophic health costs and loss of bread winners among others.</w:t>
      </w:r>
      <w:r w:rsidR="0054243B" w:rsidRPr="00610088">
        <w:rPr>
          <w:rStyle w:val="EndnoteReference"/>
          <w:lang w:val="en-GB"/>
        </w:rPr>
        <w:t xml:space="preserve"> </w:t>
      </w:r>
      <w:r w:rsidRPr="00610088">
        <w:rPr>
          <w:lang w:val="en-GB"/>
        </w:rPr>
        <w:t xml:space="preserve">Every year there are 41 million NCD deaths, which are 71% of all global deaths. Of these almost 80% are due to cardiovascular diseases, cancers, respiratory diseases and diabetes, of which over 75% in </w:t>
      </w:r>
      <w:r w:rsidRPr="00610088">
        <w:rPr>
          <w:color w:val="000000" w:themeColor="text1"/>
          <w:lang w:val="en-GB"/>
        </w:rPr>
        <w:t xml:space="preserve">Low- and Middle-income countries (LMICs). Premature deaths – taking place between ages 30 to 69 years – contribute to </w:t>
      </w:r>
      <w:r w:rsidRPr="00610088">
        <w:rPr>
          <w:lang w:val="en-GB"/>
        </w:rPr>
        <w:t>more than one third of NCD deaths, of which over 85% take place in LMICs</w:t>
      </w:r>
      <w:r w:rsidR="00731538" w:rsidRPr="00610088">
        <w:rPr>
          <w:lang w:val="en-GB"/>
        </w:rPr>
        <w:t xml:space="preserve"> </w:t>
      </w:r>
      <w:r w:rsidRPr="00610088">
        <w:rPr>
          <w:lang w:val="en-GB"/>
        </w:rPr>
        <w:t>like Sierra Leone. Over 80% of these premature deaths are from the 4 conditions mentioned above.</w:t>
      </w:r>
      <w:bookmarkStart w:id="20" w:name="_Ref17194754"/>
      <w:r w:rsidRPr="00610088">
        <w:rPr>
          <w:rStyle w:val="EndnoteReference"/>
          <w:lang w:val="en-GB"/>
        </w:rPr>
        <w:endnoteReference w:id="14"/>
      </w:r>
      <w:bookmarkEnd w:id="20"/>
      <w:r w:rsidRPr="00610088">
        <w:rPr>
          <w:lang w:val="en-GB"/>
        </w:rPr>
        <w:t xml:space="preserve"> </w:t>
      </w:r>
    </w:p>
    <w:p w14:paraId="7A67CE27" w14:textId="672AD6FF" w:rsidR="008D60A5" w:rsidRPr="00610088" w:rsidRDefault="008D60A5" w:rsidP="0057323A">
      <w:pPr>
        <w:rPr>
          <w:lang w:val="en-GB"/>
        </w:rPr>
      </w:pPr>
    </w:p>
    <w:p w14:paraId="7186D18C" w14:textId="1DE738F4" w:rsidR="008D60A5" w:rsidRPr="00610088" w:rsidRDefault="008D60A5" w:rsidP="008D60A5">
      <w:pPr>
        <w:pStyle w:val="Heading3"/>
        <w:rPr>
          <w:lang w:val="en-GB"/>
        </w:rPr>
      </w:pPr>
      <w:bookmarkStart w:id="21" w:name="_Toc41370539"/>
      <w:r w:rsidRPr="00610088">
        <w:rPr>
          <w:lang w:val="en-GB"/>
        </w:rPr>
        <w:t>Psychosocial and socioeconomic effects of NCDs</w:t>
      </w:r>
      <w:bookmarkEnd w:id="21"/>
    </w:p>
    <w:p w14:paraId="68F11E95" w14:textId="3F5E96AE" w:rsidR="00792135" w:rsidRPr="00610088" w:rsidRDefault="00792135" w:rsidP="001B16D1">
      <w:pPr>
        <w:rPr>
          <w:lang w:val="en-GB"/>
        </w:rPr>
      </w:pPr>
      <w:r w:rsidRPr="00610088">
        <w:rPr>
          <w:lang w:val="en-GB"/>
        </w:rPr>
        <w:t>One of the seven key messages of WHO’s 2014 Global NCD Status report is that NCDs “</w:t>
      </w:r>
      <w:r w:rsidRPr="00610088">
        <w:rPr>
          <w:i/>
          <w:iCs/>
          <w:lang w:val="en-GB"/>
        </w:rPr>
        <w:t>act as key barriers to poverty alleviation and sustainable development”</w:t>
      </w:r>
      <w:bookmarkStart w:id="22" w:name="_Ref17196343"/>
      <w:r w:rsidRPr="00610088">
        <w:rPr>
          <w:rStyle w:val="EndnoteReference"/>
          <w:i/>
          <w:iCs/>
          <w:lang w:val="en-GB"/>
        </w:rPr>
        <w:endnoteReference w:id="15"/>
      </w:r>
      <w:bookmarkEnd w:id="22"/>
      <w:r w:rsidR="0054243B" w:rsidRPr="00610088">
        <w:rPr>
          <w:i/>
          <w:iCs/>
          <w:lang w:val="en-GB"/>
        </w:rPr>
        <w:t xml:space="preserve"> </w:t>
      </w:r>
    </w:p>
    <w:p w14:paraId="2AC762A9" w14:textId="41A37EF4" w:rsidR="0054243B" w:rsidRDefault="0054243B" w:rsidP="001B16D1">
      <w:pPr>
        <w:rPr>
          <w:lang w:val="en-GB"/>
        </w:rPr>
      </w:pPr>
      <w:r w:rsidRPr="00610088">
        <w:rPr>
          <w:lang w:val="en-GB"/>
        </w:rPr>
        <w:t xml:space="preserve">Globalization, urbanization and population ageing contribute to increased exposure to common modifiable risk factors like unhealthy diets, physical inactivity, tobacco use and harmful use of alcohol. These unhealthy </w:t>
      </w:r>
      <w:r w:rsidR="00731538" w:rsidRPr="00610088">
        <w:rPr>
          <w:lang w:val="en-GB"/>
        </w:rPr>
        <w:t>behaviours</w:t>
      </w:r>
      <w:r w:rsidRPr="00610088">
        <w:rPr>
          <w:lang w:val="en-GB"/>
        </w:rPr>
        <w:t xml:space="preserve"> in turn lead to loss of household income (to sustain thos</w:t>
      </w:r>
      <w:r w:rsidR="00960686" w:rsidRPr="00610088">
        <w:rPr>
          <w:lang w:val="en-GB"/>
        </w:rPr>
        <w:t>e</w:t>
      </w:r>
      <w:r w:rsidRPr="00610088">
        <w:rPr>
          <w:lang w:val="en-GB"/>
        </w:rPr>
        <w:t xml:space="preserve"> </w:t>
      </w:r>
      <w:r w:rsidR="00731538" w:rsidRPr="00610088">
        <w:rPr>
          <w:lang w:val="en-GB"/>
        </w:rPr>
        <w:t>behaviours</w:t>
      </w:r>
      <w:r w:rsidRPr="00610088">
        <w:rPr>
          <w:lang w:val="en-GB"/>
        </w:rPr>
        <w:t>) and to NCDs. Poor physical status and premature deaths from NCD conditions also contribute to loss of household income</w:t>
      </w:r>
      <w:r w:rsidR="00960686" w:rsidRPr="00610088">
        <w:rPr>
          <w:lang w:val="en-GB"/>
        </w:rPr>
        <w:t>. Limited access to effective and equitable health-care services which respond to the needs of people with NCDs lead to high cost of health care and again loss of household income. All combined NCDs lead to poverty at household level, which in turn leads to NCDs.</w:t>
      </w:r>
      <w:bookmarkStart w:id="23" w:name="_Ref17197156"/>
      <w:r w:rsidR="00960686" w:rsidRPr="00610088">
        <w:rPr>
          <w:rStyle w:val="EndnoteReference"/>
          <w:lang w:val="en-GB"/>
        </w:rPr>
        <w:endnoteReference w:id="16"/>
      </w:r>
      <w:bookmarkEnd w:id="23"/>
      <w:r w:rsidR="00960686" w:rsidRPr="00610088">
        <w:rPr>
          <w:lang w:val="en-GB"/>
        </w:rPr>
        <w:t xml:space="preserve"> This is illustrated in </w:t>
      </w:r>
      <w:r w:rsidR="00960686" w:rsidRPr="00610088">
        <w:rPr>
          <w:lang w:val="en-GB"/>
        </w:rPr>
        <w:fldChar w:fldCharType="begin"/>
      </w:r>
      <w:r w:rsidR="00960686" w:rsidRPr="00610088">
        <w:rPr>
          <w:lang w:val="en-GB"/>
        </w:rPr>
        <w:instrText xml:space="preserve"> REF _Ref17197080 \h </w:instrText>
      </w:r>
      <w:r w:rsidR="005505BF">
        <w:rPr>
          <w:lang w:val="en-GB"/>
        </w:rPr>
        <w:instrText xml:space="preserve"> \* MERGEFORMAT </w:instrText>
      </w:r>
      <w:r w:rsidR="00960686" w:rsidRPr="00610088">
        <w:rPr>
          <w:lang w:val="en-GB"/>
        </w:rPr>
      </w:r>
      <w:r w:rsidR="00960686" w:rsidRPr="00610088">
        <w:rPr>
          <w:lang w:val="en-GB"/>
        </w:rPr>
        <w:fldChar w:fldCharType="separate"/>
      </w:r>
      <w:r w:rsidR="00CB360C" w:rsidRPr="00610088">
        <w:rPr>
          <w:lang w:val="en-GB"/>
        </w:rPr>
        <w:t xml:space="preserve">Figure </w:t>
      </w:r>
      <w:r w:rsidR="00CB360C">
        <w:rPr>
          <w:noProof/>
          <w:lang w:val="en-GB"/>
        </w:rPr>
        <w:t>1</w:t>
      </w:r>
      <w:r w:rsidR="00960686" w:rsidRPr="00610088">
        <w:rPr>
          <w:lang w:val="en-GB"/>
        </w:rPr>
        <w:fldChar w:fldCharType="end"/>
      </w:r>
      <w:r w:rsidR="00960686" w:rsidRPr="00610088">
        <w:rPr>
          <w:lang w:val="en-GB"/>
        </w:rPr>
        <w:t>.</w:t>
      </w:r>
    </w:p>
    <w:p w14:paraId="186EAE5E" w14:textId="77777777" w:rsidR="001B16D1" w:rsidRPr="00610088" w:rsidRDefault="001B16D1" w:rsidP="001B16D1">
      <w:pPr>
        <w:rPr>
          <w:lang w:val="en-GB"/>
        </w:rPr>
      </w:pPr>
    </w:p>
    <w:p w14:paraId="502E3E07" w14:textId="77777777" w:rsidR="001B16D1" w:rsidRPr="00610088" w:rsidRDefault="001B16D1" w:rsidP="001B16D1">
      <w:pPr>
        <w:rPr>
          <w:lang w:val="en-GB"/>
        </w:rPr>
      </w:pPr>
      <w:r w:rsidRPr="00610088">
        <w:rPr>
          <w:lang w:val="en-GB"/>
        </w:rPr>
        <w:t xml:space="preserve">NCDs do not only have financial but also psychosocial consequences for the affected individuals and their surroundings. While much is published on the socioeconomic determinants of NCDs, not much is written on the psychosocial effects or impacts of NCDs. Psychosocial effects relate to loss of position in the family or community, stigma, misconceptions and necessary lifestyle changes.  For example, individuals living with NCDs conditions that lead to blindness, loss of limbs or sexual dysfunction might have to deal with discrimination and stigma. </w:t>
      </w:r>
      <w:r w:rsidRPr="00610088">
        <w:rPr>
          <w:rStyle w:val="EndnoteReference"/>
          <w:lang w:val="en-GB"/>
        </w:rPr>
        <w:endnoteReference w:id="17"/>
      </w:r>
      <w:r w:rsidRPr="00610088">
        <w:rPr>
          <w:lang w:val="en-GB"/>
        </w:rPr>
        <w:t xml:space="preserve"> People with chronic illness are also at greater risk of developing depression, as was shown for example in diabetes patients. </w:t>
      </w:r>
      <w:r w:rsidRPr="00610088">
        <w:rPr>
          <w:rStyle w:val="EndnoteReference"/>
          <w:lang w:val="en-GB"/>
        </w:rPr>
        <w:endnoteReference w:id="18"/>
      </w:r>
      <w:r w:rsidRPr="00610088">
        <w:rPr>
          <w:lang w:val="en-GB"/>
        </w:rPr>
        <w:t xml:space="preserve">  Harmful use of alcohol leads to violence and abuse of human rights, particularly women and children’s rights.   </w:t>
      </w:r>
    </w:p>
    <w:p w14:paraId="0F0F4484" w14:textId="57C43D5D" w:rsidR="0054243B" w:rsidRPr="00610088" w:rsidRDefault="0054243B" w:rsidP="001B16D1">
      <w:pPr>
        <w:rPr>
          <w:i/>
          <w:iCs/>
          <w:lang w:val="en-GB"/>
        </w:rPr>
      </w:pPr>
    </w:p>
    <w:p w14:paraId="0EB89B7F" w14:textId="77777777" w:rsidR="00960686" w:rsidRPr="00610088" w:rsidRDefault="00960686" w:rsidP="00960686">
      <w:pPr>
        <w:keepNext/>
        <w:rPr>
          <w:lang w:val="en-GB"/>
        </w:rPr>
      </w:pPr>
      <w:r w:rsidRPr="00610088">
        <w:rPr>
          <w:noProof/>
          <w:lang w:val="en-GB"/>
        </w:rPr>
        <w:lastRenderedPageBreak/>
        <w:drawing>
          <wp:inline distT="0" distB="0" distL="0" distR="0" wp14:anchorId="41146B72" wp14:editId="32673B04">
            <wp:extent cx="4950372" cy="2622818"/>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2019-08-20 at 12.35.49 PM.png"/>
                    <pic:cNvPicPr/>
                  </pic:nvPicPr>
                  <pic:blipFill>
                    <a:blip r:embed="rId21">
                      <a:extLst>
                        <a:ext uri="{28A0092B-C50C-407E-A947-70E740481C1C}">
                          <a14:useLocalDpi xmlns:a14="http://schemas.microsoft.com/office/drawing/2010/main" val="0"/>
                        </a:ext>
                      </a:extLst>
                    </a:blip>
                    <a:stretch>
                      <a:fillRect/>
                    </a:stretch>
                  </pic:blipFill>
                  <pic:spPr>
                    <a:xfrm>
                      <a:off x="0" y="0"/>
                      <a:ext cx="4975060" cy="2635898"/>
                    </a:xfrm>
                    <a:prstGeom prst="rect">
                      <a:avLst/>
                    </a:prstGeom>
                  </pic:spPr>
                </pic:pic>
              </a:graphicData>
            </a:graphic>
          </wp:inline>
        </w:drawing>
      </w:r>
    </w:p>
    <w:p w14:paraId="371F844B" w14:textId="1326D9DB" w:rsidR="0054243B" w:rsidRPr="00610088" w:rsidRDefault="00960686" w:rsidP="00960686">
      <w:pPr>
        <w:pStyle w:val="Caption"/>
        <w:rPr>
          <w:lang w:val="en-GB"/>
        </w:rPr>
      </w:pPr>
      <w:bookmarkStart w:id="24" w:name="_Ref17197080"/>
      <w:bookmarkStart w:id="25" w:name="_Ref17197066"/>
      <w:bookmarkStart w:id="26" w:name="_Toc34804972"/>
      <w:r w:rsidRPr="00610088">
        <w:rPr>
          <w:lang w:val="en-GB"/>
        </w:rPr>
        <w:t xml:space="preserve">Figure </w:t>
      </w:r>
      <w:r w:rsidR="00B039CE" w:rsidRPr="00610088">
        <w:rPr>
          <w:lang w:val="en-GB"/>
        </w:rPr>
        <w:fldChar w:fldCharType="begin"/>
      </w:r>
      <w:r w:rsidR="00B039CE" w:rsidRPr="00610088">
        <w:rPr>
          <w:lang w:val="en-GB"/>
        </w:rPr>
        <w:instrText xml:space="preserve"> SEQ Figure \* ARABIC </w:instrText>
      </w:r>
      <w:r w:rsidR="00B039CE" w:rsidRPr="00610088">
        <w:rPr>
          <w:lang w:val="en-GB"/>
        </w:rPr>
        <w:fldChar w:fldCharType="separate"/>
      </w:r>
      <w:r w:rsidR="00CB360C">
        <w:rPr>
          <w:noProof/>
          <w:lang w:val="en-GB"/>
        </w:rPr>
        <w:t>1</w:t>
      </w:r>
      <w:r w:rsidR="00B039CE" w:rsidRPr="00610088">
        <w:rPr>
          <w:noProof/>
          <w:lang w:val="en-GB"/>
        </w:rPr>
        <w:fldChar w:fldCharType="end"/>
      </w:r>
      <w:bookmarkEnd w:id="24"/>
      <w:r w:rsidRPr="00610088">
        <w:rPr>
          <w:lang w:val="en-GB"/>
        </w:rPr>
        <w:t>: Poverty contributes to NCDs and NCDs contribute to poverty.</w:t>
      </w:r>
      <w:bookmarkEnd w:id="25"/>
      <w:r w:rsidRPr="00610088">
        <w:rPr>
          <w:lang w:val="en-GB"/>
        </w:rPr>
        <w:t xml:space="preserve"> (source WHO, 2011 </w:t>
      </w:r>
      <w:r w:rsidRPr="00610088">
        <w:rPr>
          <w:vertAlign w:val="superscript"/>
          <w:lang w:val="en-GB"/>
        </w:rPr>
        <w:fldChar w:fldCharType="begin"/>
      </w:r>
      <w:r w:rsidRPr="00610088">
        <w:rPr>
          <w:vertAlign w:val="superscript"/>
          <w:lang w:val="en-GB"/>
        </w:rPr>
        <w:instrText xml:space="preserve"> NOTEREF _Ref17197156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16</w:t>
      </w:r>
      <w:r w:rsidRPr="00610088">
        <w:rPr>
          <w:vertAlign w:val="superscript"/>
          <w:lang w:val="en-GB"/>
        </w:rPr>
        <w:fldChar w:fldCharType="end"/>
      </w:r>
      <w:r w:rsidRPr="00610088">
        <w:rPr>
          <w:lang w:val="en-GB"/>
        </w:rPr>
        <w:t>)</w:t>
      </w:r>
      <w:bookmarkEnd w:id="26"/>
    </w:p>
    <w:p w14:paraId="7F82D441" w14:textId="77777777" w:rsidR="00DF00C0" w:rsidRPr="00610088" w:rsidRDefault="00DF00C0" w:rsidP="0057323A">
      <w:pPr>
        <w:rPr>
          <w:highlight w:val="yellow"/>
          <w:lang w:val="en-GB"/>
        </w:rPr>
      </w:pPr>
    </w:p>
    <w:p w14:paraId="75F4671B" w14:textId="77777777" w:rsidR="0057323A" w:rsidRPr="00610088" w:rsidRDefault="0057323A" w:rsidP="00F1043E">
      <w:pPr>
        <w:pStyle w:val="Heading2"/>
        <w:rPr>
          <w:lang w:val="en-GB"/>
        </w:rPr>
      </w:pPr>
      <w:bookmarkStart w:id="27" w:name="_Toc41370540"/>
      <w:r w:rsidRPr="00610088">
        <w:rPr>
          <w:lang w:val="en-GB"/>
        </w:rPr>
        <w:t>Global NCD Governance and Action</w:t>
      </w:r>
      <w:bookmarkEnd w:id="27"/>
    </w:p>
    <w:p w14:paraId="3C247776" w14:textId="77777777" w:rsidR="0057323A" w:rsidRPr="00610088" w:rsidRDefault="0057323A" w:rsidP="0057323A">
      <w:pPr>
        <w:rPr>
          <w:lang w:val="en-GB"/>
        </w:rPr>
      </w:pPr>
    </w:p>
    <w:p w14:paraId="5E07BF0F" w14:textId="5223A51D" w:rsidR="0057323A" w:rsidRPr="00610088" w:rsidRDefault="003D477E" w:rsidP="001B16D1">
      <w:pPr>
        <w:rPr>
          <w:lang w:val="en-GB"/>
        </w:rPr>
      </w:pPr>
      <w:r w:rsidRPr="00610088">
        <w:rPr>
          <w:noProof/>
          <w:lang w:val="en-GB"/>
        </w:rPr>
        <mc:AlternateContent>
          <mc:Choice Requires="wps">
            <w:drawing>
              <wp:anchor distT="0" distB="0" distL="114300" distR="114300" simplePos="0" relativeHeight="251661312" behindDoc="1" locked="0" layoutInCell="1" allowOverlap="1" wp14:anchorId="69FABCF1" wp14:editId="2A230B14">
                <wp:simplePos x="0" y="0"/>
                <wp:positionH relativeFrom="column">
                  <wp:posOffset>15240</wp:posOffset>
                </wp:positionH>
                <wp:positionV relativeFrom="paragraph">
                  <wp:posOffset>2073232</wp:posOffset>
                </wp:positionV>
                <wp:extent cx="6032500" cy="161925"/>
                <wp:effectExtent l="0" t="0" r="0" b="3175"/>
                <wp:wrapTight wrapText="bothSides">
                  <wp:wrapPolygon edited="0">
                    <wp:start x="0" y="0"/>
                    <wp:lineTo x="0" y="20329"/>
                    <wp:lineTo x="21555" y="20329"/>
                    <wp:lineTo x="21555"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6032500" cy="161925"/>
                        </a:xfrm>
                        <a:prstGeom prst="rect">
                          <a:avLst/>
                        </a:prstGeom>
                        <a:solidFill>
                          <a:prstClr val="white"/>
                        </a:solidFill>
                        <a:ln>
                          <a:noFill/>
                        </a:ln>
                      </wps:spPr>
                      <wps:txbx>
                        <w:txbxContent>
                          <w:p w14:paraId="11EE27B0" w14:textId="746C7CD8" w:rsidR="00504B06" w:rsidRPr="008D17C0" w:rsidRDefault="00504B06" w:rsidP="0057323A">
                            <w:pPr>
                              <w:pStyle w:val="Caption"/>
                              <w:rPr>
                                <w:noProof/>
                                <w:sz w:val="21"/>
                                <w:szCs w:val="21"/>
                                <w:lang w:val="en-GB"/>
                              </w:rPr>
                            </w:pPr>
                            <w:bookmarkStart w:id="28" w:name="_Ref15408749"/>
                            <w:bookmarkStart w:id="29" w:name="_Toc34804973"/>
                            <w:r>
                              <w:t xml:space="preserve">Figure </w:t>
                            </w:r>
                            <w:fldSimple w:instr=" SEQ Figure \* ARABIC ">
                              <w:r>
                                <w:rPr>
                                  <w:noProof/>
                                </w:rPr>
                                <w:t>2</w:t>
                              </w:r>
                            </w:fldSimple>
                            <w:bookmarkEnd w:id="28"/>
                            <w:r>
                              <w:t>: NCDs in the Sustainable Development Goals (SDGs)</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BCF1" id="Text Box 4" o:spid="_x0000_s1034" type="#_x0000_t202" style="position:absolute;margin-left:1.2pt;margin-top:163.25pt;width:47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" stroked="f">
                <v:textbox inset="0,0,0,0">
                  <w:txbxContent>
                    <w:p w14:paraId="11EE27B0" w14:textId="746C7CD8" w:rsidR="00504B06" w:rsidRPr="008D17C0" w:rsidRDefault="00504B06" w:rsidP="0057323A">
                      <w:pPr>
                        <w:pStyle w:val="Caption"/>
                        <w:rPr>
                          <w:noProof/>
                          <w:sz w:val="21"/>
                          <w:szCs w:val="21"/>
                          <w:lang w:val="en-GB"/>
                        </w:rPr>
                      </w:pPr>
                      <w:bookmarkStart w:id="30" w:name="_Ref15408749"/>
                      <w:bookmarkStart w:id="31" w:name="_Toc34804973"/>
                      <w:r>
                        <w:t xml:space="preserve">Figure </w:t>
                      </w:r>
                      <w:fldSimple w:instr=" SEQ Figure \* ARABIC ">
                        <w:r>
                          <w:rPr>
                            <w:noProof/>
                          </w:rPr>
                          <w:t>2</w:t>
                        </w:r>
                      </w:fldSimple>
                      <w:bookmarkEnd w:id="30"/>
                      <w:r>
                        <w:t>: NCDs in the Sustainable Development Goals (SDGs)</w:t>
                      </w:r>
                      <w:bookmarkEnd w:id="31"/>
                    </w:p>
                  </w:txbxContent>
                </v:textbox>
                <w10:wrap type="tight"/>
              </v:shape>
            </w:pict>
          </mc:Fallback>
        </mc:AlternateContent>
      </w:r>
      <w:r w:rsidRPr="00610088">
        <w:rPr>
          <w:noProof/>
          <w:lang w:val="en-GB"/>
        </w:rPr>
        <mc:AlternateContent>
          <mc:Choice Requires="wps">
            <w:drawing>
              <wp:anchor distT="0" distB="0" distL="114300" distR="114300" simplePos="0" relativeHeight="251660288" behindDoc="1" locked="0" layoutInCell="1" allowOverlap="1" wp14:anchorId="2A5CC631" wp14:editId="1F23FDAB">
                <wp:simplePos x="0" y="0"/>
                <wp:positionH relativeFrom="column">
                  <wp:posOffset>12721</wp:posOffset>
                </wp:positionH>
                <wp:positionV relativeFrom="paragraph">
                  <wp:posOffset>692215</wp:posOffset>
                </wp:positionV>
                <wp:extent cx="6019800" cy="1363345"/>
                <wp:effectExtent l="0" t="0" r="12700" b="8255"/>
                <wp:wrapTight wrapText="bothSides">
                  <wp:wrapPolygon edited="0">
                    <wp:start x="0" y="0"/>
                    <wp:lineTo x="0" y="21530"/>
                    <wp:lineTo x="21600" y="21530"/>
                    <wp:lineTo x="21600"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6019800" cy="1363345"/>
                        </a:xfrm>
                        <a:prstGeom prst="rect">
                          <a:avLst/>
                        </a:prstGeom>
                        <a:solidFill>
                          <a:schemeClr val="accent5">
                            <a:lumMod val="60000"/>
                            <a:lumOff val="40000"/>
                          </a:schemeClr>
                        </a:solidFill>
                        <a:ln w="6350">
                          <a:solidFill>
                            <a:prstClr val="black"/>
                          </a:solidFill>
                        </a:ln>
                      </wps:spPr>
                      <wps:txbx>
                        <w:txbxContent>
                          <w:p w14:paraId="1990D9A1" w14:textId="77777777" w:rsidR="00504B06" w:rsidRPr="003D477E" w:rsidRDefault="00504B06" w:rsidP="0057323A">
                            <w:pPr>
                              <w:rPr>
                                <w:sz w:val="18"/>
                                <w:szCs w:val="18"/>
                                <w:lang w:val="en-GB"/>
                              </w:rPr>
                            </w:pPr>
                            <w:r w:rsidRPr="003D477E">
                              <w:rPr>
                                <w:b/>
                                <w:bCs/>
                                <w:sz w:val="18"/>
                                <w:szCs w:val="18"/>
                                <w:lang w:val="en-GB"/>
                              </w:rPr>
                              <w:t>SDG 3.4</w:t>
                            </w:r>
                            <w:r w:rsidRPr="003D477E">
                              <w:rPr>
                                <w:sz w:val="18"/>
                                <w:szCs w:val="18"/>
                                <w:lang w:val="en-GB"/>
                              </w:rPr>
                              <w:t xml:space="preserve">: By 2030, reduce by one third premature mortality from </w:t>
                            </w:r>
                            <w:r w:rsidRPr="003D477E">
                              <w:rPr>
                                <w:b/>
                                <w:bCs/>
                                <w:sz w:val="18"/>
                                <w:szCs w:val="18"/>
                                <w:lang w:val="en-GB"/>
                              </w:rPr>
                              <w:t xml:space="preserve">non-communicable diseases </w:t>
                            </w:r>
                            <w:r w:rsidRPr="003D477E">
                              <w:rPr>
                                <w:sz w:val="18"/>
                                <w:szCs w:val="18"/>
                                <w:lang w:val="en-GB"/>
                              </w:rPr>
                              <w:t xml:space="preserve">through prevention and treatment and promote mental health and well-being. </w:t>
                            </w:r>
                          </w:p>
                          <w:p w14:paraId="64F9B074" w14:textId="77777777" w:rsidR="00504B06" w:rsidRPr="003D477E" w:rsidRDefault="00504B06" w:rsidP="0057323A">
                            <w:pPr>
                              <w:rPr>
                                <w:sz w:val="18"/>
                                <w:szCs w:val="18"/>
                                <w:lang w:val="en-GB"/>
                              </w:rPr>
                            </w:pPr>
                            <w:r w:rsidRPr="003D477E">
                              <w:rPr>
                                <w:b/>
                                <w:bCs/>
                                <w:sz w:val="18"/>
                                <w:szCs w:val="18"/>
                                <w:lang w:val="en-GB"/>
                              </w:rPr>
                              <w:t>SDG 3.5</w:t>
                            </w:r>
                            <w:r w:rsidRPr="003D477E">
                              <w:rPr>
                                <w:sz w:val="18"/>
                                <w:szCs w:val="18"/>
                                <w:lang w:val="en-GB"/>
                              </w:rPr>
                              <w:t xml:space="preserve">: Strengthen the prevention and treatment of </w:t>
                            </w:r>
                            <w:r w:rsidRPr="003D477E">
                              <w:rPr>
                                <w:b/>
                                <w:bCs/>
                                <w:sz w:val="18"/>
                                <w:szCs w:val="18"/>
                                <w:lang w:val="en-GB"/>
                              </w:rPr>
                              <w:t>substance abuse</w:t>
                            </w:r>
                            <w:r w:rsidRPr="003D477E">
                              <w:rPr>
                                <w:sz w:val="18"/>
                                <w:szCs w:val="18"/>
                                <w:lang w:val="en-GB"/>
                              </w:rPr>
                              <w:t>, including narcotic drug abuse and harmful use of alcohol.</w:t>
                            </w:r>
                          </w:p>
                          <w:p w14:paraId="59F35078" w14:textId="77777777" w:rsidR="00504B06" w:rsidRPr="003D477E" w:rsidRDefault="00504B06" w:rsidP="0057323A">
                            <w:pPr>
                              <w:rPr>
                                <w:b/>
                                <w:bCs/>
                                <w:sz w:val="18"/>
                                <w:szCs w:val="18"/>
                                <w:lang w:val="en-GB"/>
                              </w:rPr>
                            </w:pPr>
                            <w:r w:rsidRPr="003D477E">
                              <w:rPr>
                                <w:b/>
                                <w:bCs/>
                                <w:sz w:val="18"/>
                                <w:szCs w:val="18"/>
                                <w:lang w:val="en-GB"/>
                              </w:rPr>
                              <w:t>SDG 3.6 </w:t>
                            </w:r>
                            <w:r w:rsidRPr="003D477E">
                              <w:rPr>
                                <w:sz w:val="18"/>
                                <w:szCs w:val="18"/>
                                <w:lang w:val="en-GB"/>
                              </w:rPr>
                              <w:t xml:space="preserve">By 2020, halve the number of global deaths and injuries from </w:t>
                            </w:r>
                            <w:r w:rsidRPr="003D477E">
                              <w:rPr>
                                <w:b/>
                                <w:bCs/>
                                <w:sz w:val="18"/>
                                <w:szCs w:val="18"/>
                                <w:lang w:val="en-GB"/>
                              </w:rPr>
                              <w:t>road traffic accidents.</w:t>
                            </w:r>
                          </w:p>
                          <w:p w14:paraId="6662EEDF" w14:textId="77777777" w:rsidR="00504B06" w:rsidRPr="003D477E" w:rsidRDefault="00504B06" w:rsidP="0057323A">
                            <w:pPr>
                              <w:rPr>
                                <w:b/>
                                <w:bCs/>
                                <w:sz w:val="18"/>
                                <w:szCs w:val="18"/>
                                <w:lang w:val="en-GB"/>
                              </w:rPr>
                            </w:pPr>
                            <w:r w:rsidRPr="003D477E">
                              <w:rPr>
                                <w:b/>
                                <w:bCs/>
                                <w:sz w:val="18"/>
                                <w:szCs w:val="18"/>
                                <w:lang w:val="en-GB"/>
                              </w:rPr>
                              <w:t>SDG 3.9</w:t>
                            </w:r>
                            <w:r w:rsidRPr="003D477E">
                              <w:rPr>
                                <w:sz w:val="18"/>
                                <w:szCs w:val="18"/>
                                <w:lang w:val="en-GB"/>
                              </w:rPr>
                              <w:t xml:space="preserve"> By 2030, substantially reduce the number of deaths and illnesses from </w:t>
                            </w:r>
                            <w:r w:rsidRPr="003D477E">
                              <w:rPr>
                                <w:b/>
                                <w:bCs/>
                                <w:sz w:val="18"/>
                                <w:szCs w:val="18"/>
                                <w:lang w:val="en-GB"/>
                              </w:rPr>
                              <w:t>hazardous chemicals and air, water and soil pollution and contamination.</w:t>
                            </w:r>
                          </w:p>
                          <w:p w14:paraId="7C72D4B3" w14:textId="77777777" w:rsidR="00504B06" w:rsidRPr="003D477E" w:rsidRDefault="00504B06" w:rsidP="0057323A">
                            <w:pPr>
                              <w:rPr>
                                <w:sz w:val="18"/>
                                <w:szCs w:val="18"/>
                                <w:lang w:val="en-GB"/>
                              </w:rPr>
                            </w:pPr>
                            <w:r w:rsidRPr="003D477E">
                              <w:rPr>
                                <w:b/>
                                <w:bCs/>
                                <w:sz w:val="18"/>
                                <w:szCs w:val="18"/>
                                <w:lang w:val="en-GB"/>
                              </w:rPr>
                              <w:t>SDG 3.A </w:t>
                            </w:r>
                            <w:r w:rsidRPr="003D477E">
                              <w:rPr>
                                <w:sz w:val="18"/>
                                <w:szCs w:val="18"/>
                                <w:lang w:val="en-GB"/>
                              </w:rPr>
                              <w:t xml:space="preserve">Strengthen the implementation of the World Health Organization </w:t>
                            </w:r>
                            <w:r w:rsidRPr="003D477E">
                              <w:rPr>
                                <w:b/>
                                <w:bCs/>
                                <w:sz w:val="18"/>
                                <w:szCs w:val="18"/>
                                <w:lang w:val="en-GB"/>
                              </w:rPr>
                              <w:t xml:space="preserve">Framework Convention on Tobacco Control </w:t>
                            </w:r>
                            <w:r w:rsidRPr="003D477E">
                              <w:rPr>
                                <w:sz w:val="18"/>
                                <w:szCs w:val="18"/>
                                <w:lang w:val="en-GB"/>
                              </w:rPr>
                              <w:t>in all countries, as appropriate.</w:t>
                            </w:r>
                          </w:p>
                          <w:p w14:paraId="5C56C240" w14:textId="77777777" w:rsidR="00504B06" w:rsidRPr="003D477E" w:rsidRDefault="00504B06" w:rsidP="005732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C631" id="Text Box 14" o:spid="_x0000_s1035" type="#_x0000_t202" style="position:absolute;margin-left:1pt;margin-top:54.5pt;width:474pt;height:10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" fillcolor="#9cc2e5 [1944]" strokeweight=".5pt">
                <v:textbox>
                  <w:txbxContent>
                    <w:p w14:paraId="1990D9A1" w14:textId="77777777" w:rsidR="00504B06" w:rsidRPr="003D477E" w:rsidRDefault="00504B06" w:rsidP="0057323A">
                      <w:pPr>
                        <w:rPr>
                          <w:sz w:val="18"/>
                          <w:szCs w:val="18"/>
                          <w:lang w:val="en-GB"/>
                        </w:rPr>
                      </w:pPr>
                      <w:r w:rsidRPr="003D477E">
                        <w:rPr>
                          <w:b/>
                          <w:bCs/>
                          <w:sz w:val="18"/>
                          <w:szCs w:val="18"/>
                          <w:lang w:val="en-GB"/>
                        </w:rPr>
                        <w:t>SDG 3.4</w:t>
                      </w:r>
                      <w:r w:rsidRPr="003D477E">
                        <w:rPr>
                          <w:sz w:val="18"/>
                          <w:szCs w:val="18"/>
                          <w:lang w:val="en-GB"/>
                        </w:rPr>
                        <w:t xml:space="preserve">: By 2030, reduce by one third premature mortality from </w:t>
                      </w:r>
                      <w:r w:rsidRPr="003D477E">
                        <w:rPr>
                          <w:b/>
                          <w:bCs/>
                          <w:sz w:val="18"/>
                          <w:szCs w:val="18"/>
                          <w:lang w:val="en-GB"/>
                        </w:rPr>
                        <w:t xml:space="preserve">non-communicable diseases </w:t>
                      </w:r>
                      <w:r w:rsidRPr="003D477E">
                        <w:rPr>
                          <w:sz w:val="18"/>
                          <w:szCs w:val="18"/>
                          <w:lang w:val="en-GB"/>
                        </w:rPr>
                        <w:t xml:space="preserve">through prevention and treatment and promote mental health and well-being. </w:t>
                      </w:r>
                    </w:p>
                    <w:p w14:paraId="64F9B074" w14:textId="77777777" w:rsidR="00504B06" w:rsidRPr="003D477E" w:rsidRDefault="00504B06" w:rsidP="0057323A">
                      <w:pPr>
                        <w:rPr>
                          <w:sz w:val="18"/>
                          <w:szCs w:val="18"/>
                          <w:lang w:val="en-GB"/>
                        </w:rPr>
                      </w:pPr>
                      <w:r w:rsidRPr="003D477E">
                        <w:rPr>
                          <w:b/>
                          <w:bCs/>
                          <w:sz w:val="18"/>
                          <w:szCs w:val="18"/>
                          <w:lang w:val="en-GB"/>
                        </w:rPr>
                        <w:t>SDG 3.5</w:t>
                      </w:r>
                      <w:r w:rsidRPr="003D477E">
                        <w:rPr>
                          <w:sz w:val="18"/>
                          <w:szCs w:val="18"/>
                          <w:lang w:val="en-GB"/>
                        </w:rPr>
                        <w:t xml:space="preserve">: Strengthen the prevention and treatment of </w:t>
                      </w:r>
                      <w:r w:rsidRPr="003D477E">
                        <w:rPr>
                          <w:b/>
                          <w:bCs/>
                          <w:sz w:val="18"/>
                          <w:szCs w:val="18"/>
                          <w:lang w:val="en-GB"/>
                        </w:rPr>
                        <w:t>substance abuse</w:t>
                      </w:r>
                      <w:r w:rsidRPr="003D477E">
                        <w:rPr>
                          <w:sz w:val="18"/>
                          <w:szCs w:val="18"/>
                          <w:lang w:val="en-GB"/>
                        </w:rPr>
                        <w:t>, including narcotic drug abuse and harmful use of alcohol.</w:t>
                      </w:r>
                    </w:p>
                    <w:p w14:paraId="59F35078" w14:textId="77777777" w:rsidR="00504B06" w:rsidRPr="003D477E" w:rsidRDefault="00504B06" w:rsidP="0057323A">
                      <w:pPr>
                        <w:rPr>
                          <w:b/>
                          <w:bCs/>
                          <w:sz w:val="18"/>
                          <w:szCs w:val="18"/>
                          <w:lang w:val="en-GB"/>
                        </w:rPr>
                      </w:pPr>
                      <w:r w:rsidRPr="003D477E">
                        <w:rPr>
                          <w:b/>
                          <w:bCs/>
                          <w:sz w:val="18"/>
                          <w:szCs w:val="18"/>
                          <w:lang w:val="en-GB"/>
                        </w:rPr>
                        <w:t>SDG 3.6 </w:t>
                      </w:r>
                      <w:r w:rsidRPr="003D477E">
                        <w:rPr>
                          <w:sz w:val="18"/>
                          <w:szCs w:val="18"/>
                          <w:lang w:val="en-GB"/>
                        </w:rPr>
                        <w:t xml:space="preserve">By 2020, halve the number of global deaths and injuries from </w:t>
                      </w:r>
                      <w:r w:rsidRPr="003D477E">
                        <w:rPr>
                          <w:b/>
                          <w:bCs/>
                          <w:sz w:val="18"/>
                          <w:szCs w:val="18"/>
                          <w:lang w:val="en-GB"/>
                        </w:rPr>
                        <w:t>road traffic accidents.</w:t>
                      </w:r>
                    </w:p>
                    <w:p w14:paraId="6662EEDF" w14:textId="77777777" w:rsidR="00504B06" w:rsidRPr="003D477E" w:rsidRDefault="00504B06" w:rsidP="0057323A">
                      <w:pPr>
                        <w:rPr>
                          <w:b/>
                          <w:bCs/>
                          <w:sz w:val="18"/>
                          <w:szCs w:val="18"/>
                          <w:lang w:val="en-GB"/>
                        </w:rPr>
                      </w:pPr>
                      <w:r w:rsidRPr="003D477E">
                        <w:rPr>
                          <w:b/>
                          <w:bCs/>
                          <w:sz w:val="18"/>
                          <w:szCs w:val="18"/>
                          <w:lang w:val="en-GB"/>
                        </w:rPr>
                        <w:t>SDG 3.9</w:t>
                      </w:r>
                      <w:r w:rsidRPr="003D477E">
                        <w:rPr>
                          <w:sz w:val="18"/>
                          <w:szCs w:val="18"/>
                          <w:lang w:val="en-GB"/>
                        </w:rPr>
                        <w:t xml:space="preserve"> By 2030, substantially reduce the number of deaths and illnesses from </w:t>
                      </w:r>
                      <w:r w:rsidRPr="003D477E">
                        <w:rPr>
                          <w:b/>
                          <w:bCs/>
                          <w:sz w:val="18"/>
                          <w:szCs w:val="18"/>
                          <w:lang w:val="en-GB"/>
                        </w:rPr>
                        <w:t>hazardous chemicals and air, water and soil pollution and contamination.</w:t>
                      </w:r>
                    </w:p>
                    <w:p w14:paraId="7C72D4B3" w14:textId="77777777" w:rsidR="00504B06" w:rsidRPr="003D477E" w:rsidRDefault="00504B06" w:rsidP="0057323A">
                      <w:pPr>
                        <w:rPr>
                          <w:sz w:val="18"/>
                          <w:szCs w:val="18"/>
                          <w:lang w:val="en-GB"/>
                        </w:rPr>
                      </w:pPr>
                      <w:r w:rsidRPr="003D477E">
                        <w:rPr>
                          <w:b/>
                          <w:bCs/>
                          <w:sz w:val="18"/>
                          <w:szCs w:val="18"/>
                          <w:lang w:val="en-GB"/>
                        </w:rPr>
                        <w:t>SDG 3.A </w:t>
                      </w:r>
                      <w:r w:rsidRPr="003D477E">
                        <w:rPr>
                          <w:sz w:val="18"/>
                          <w:szCs w:val="18"/>
                          <w:lang w:val="en-GB"/>
                        </w:rPr>
                        <w:t xml:space="preserve">Strengthen the implementation of the World Health Organization </w:t>
                      </w:r>
                      <w:r w:rsidRPr="003D477E">
                        <w:rPr>
                          <w:b/>
                          <w:bCs/>
                          <w:sz w:val="18"/>
                          <w:szCs w:val="18"/>
                          <w:lang w:val="en-GB"/>
                        </w:rPr>
                        <w:t xml:space="preserve">Framework Convention on Tobacco Control </w:t>
                      </w:r>
                      <w:r w:rsidRPr="003D477E">
                        <w:rPr>
                          <w:sz w:val="18"/>
                          <w:szCs w:val="18"/>
                          <w:lang w:val="en-GB"/>
                        </w:rPr>
                        <w:t>in all countries, as appropriate.</w:t>
                      </w:r>
                    </w:p>
                    <w:p w14:paraId="5C56C240" w14:textId="77777777" w:rsidR="00504B06" w:rsidRPr="003D477E" w:rsidRDefault="00504B06" w:rsidP="0057323A">
                      <w:pPr>
                        <w:rPr>
                          <w:sz w:val="18"/>
                          <w:szCs w:val="18"/>
                        </w:rPr>
                      </w:pPr>
                    </w:p>
                  </w:txbxContent>
                </v:textbox>
                <w10:wrap type="tight"/>
              </v:shape>
            </w:pict>
          </mc:Fallback>
        </mc:AlternateContent>
      </w:r>
      <w:r w:rsidR="0057323A" w:rsidRPr="00610088">
        <w:rPr>
          <w:lang w:val="en-GB"/>
        </w:rPr>
        <w:t>The Sustainable Development Goals (SDGs) contain several targets in relation to NCDs starting with a general goal to reduce the premature mortality of all NCDs and specific targets related to substance abuse, road traffic accidents, hazardous chemicals and air, water and soil pollution and tobacco control</w:t>
      </w:r>
      <w:bookmarkStart w:id="32" w:name="_Ref17358921"/>
      <w:r w:rsidR="0057323A" w:rsidRPr="00610088">
        <w:rPr>
          <w:rStyle w:val="EndnoteReference"/>
          <w:lang w:val="en-GB"/>
        </w:rPr>
        <w:endnoteReference w:id="19"/>
      </w:r>
      <w:bookmarkEnd w:id="32"/>
      <w:r w:rsidR="0057323A" w:rsidRPr="00610088">
        <w:rPr>
          <w:lang w:val="en-GB"/>
        </w:rPr>
        <w:t xml:space="preserve">, see </w:t>
      </w:r>
      <w:r w:rsidR="0057323A" w:rsidRPr="00610088">
        <w:rPr>
          <w:lang w:val="en-GB"/>
        </w:rPr>
        <w:fldChar w:fldCharType="begin"/>
      </w:r>
      <w:r w:rsidR="0057323A" w:rsidRPr="00610088">
        <w:rPr>
          <w:lang w:val="en-GB"/>
        </w:rPr>
        <w:instrText xml:space="preserve"> REF _Ref15408749 \h </w:instrText>
      </w:r>
      <w:r w:rsidR="001B16D1">
        <w:rPr>
          <w:lang w:val="en-GB"/>
        </w:rPr>
        <w:instrText xml:space="preserve"> \* MERGEFORMAT </w:instrText>
      </w:r>
      <w:r w:rsidR="0057323A" w:rsidRPr="00610088">
        <w:rPr>
          <w:lang w:val="en-GB"/>
        </w:rPr>
      </w:r>
      <w:r w:rsidR="0057323A" w:rsidRPr="00610088">
        <w:rPr>
          <w:lang w:val="en-GB"/>
        </w:rPr>
        <w:fldChar w:fldCharType="separate"/>
      </w:r>
      <w:r w:rsidR="00CB360C">
        <w:t xml:space="preserve">Figure </w:t>
      </w:r>
      <w:r w:rsidR="00CB360C">
        <w:rPr>
          <w:noProof/>
        </w:rPr>
        <w:t>2</w:t>
      </w:r>
      <w:r w:rsidR="0057323A" w:rsidRPr="00610088">
        <w:rPr>
          <w:lang w:val="en-GB"/>
        </w:rPr>
        <w:fldChar w:fldCharType="end"/>
      </w:r>
      <w:r w:rsidR="0057323A" w:rsidRPr="00610088">
        <w:rPr>
          <w:lang w:val="en-GB"/>
        </w:rPr>
        <w:t>.</w:t>
      </w:r>
    </w:p>
    <w:p w14:paraId="6A399071" w14:textId="7523F1CF" w:rsidR="0057323A" w:rsidRPr="001B16D1" w:rsidRDefault="003D477E" w:rsidP="0057323A">
      <w:r w:rsidRPr="001B16D1">
        <w:rPr>
          <w:noProof/>
        </w:rPr>
        <mc:AlternateContent>
          <mc:Choice Requires="wps">
            <w:drawing>
              <wp:anchor distT="0" distB="0" distL="114300" distR="114300" simplePos="0" relativeHeight="251663360" behindDoc="1" locked="0" layoutInCell="1" allowOverlap="1" wp14:anchorId="46FFDECD" wp14:editId="2F837198">
                <wp:simplePos x="0" y="0"/>
                <wp:positionH relativeFrom="column">
                  <wp:posOffset>-116840</wp:posOffset>
                </wp:positionH>
                <wp:positionV relativeFrom="paragraph">
                  <wp:posOffset>6082424</wp:posOffset>
                </wp:positionV>
                <wp:extent cx="6111875" cy="161925"/>
                <wp:effectExtent l="0" t="0" r="0" b="3175"/>
                <wp:wrapTight wrapText="bothSides">
                  <wp:wrapPolygon edited="0">
                    <wp:start x="0" y="0"/>
                    <wp:lineTo x="0" y="20329"/>
                    <wp:lineTo x="21544" y="20329"/>
                    <wp:lineTo x="21544"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6111875" cy="161925"/>
                        </a:xfrm>
                        <a:prstGeom prst="rect">
                          <a:avLst/>
                        </a:prstGeom>
                        <a:solidFill>
                          <a:prstClr val="white"/>
                        </a:solidFill>
                        <a:ln>
                          <a:noFill/>
                        </a:ln>
                      </wps:spPr>
                      <wps:txbx>
                        <w:txbxContent>
                          <w:p w14:paraId="6B4E11D2" w14:textId="57D8E3D8" w:rsidR="00504B06" w:rsidRPr="009729D8" w:rsidRDefault="00504B06" w:rsidP="0057323A">
                            <w:pPr>
                              <w:pStyle w:val="Caption"/>
                              <w:rPr>
                                <w:noProof/>
                                <w:sz w:val="21"/>
                                <w:szCs w:val="21"/>
                                <w:lang w:val="en-GB"/>
                              </w:rPr>
                            </w:pPr>
                            <w:bookmarkStart w:id="33" w:name="_Ref15411341"/>
                            <w:bookmarkStart w:id="34" w:name="_Toc34804974"/>
                            <w:r>
                              <w:t xml:space="preserve">Figure </w:t>
                            </w:r>
                            <w:fldSimple w:instr=" SEQ Figure \* ARABIC ">
                              <w:r>
                                <w:rPr>
                                  <w:noProof/>
                                </w:rPr>
                                <w:t>3</w:t>
                              </w:r>
                            </w:fldSimple>
                            <w:bookmarkEnd w:id="33"/>
                            <w:r>
                              <w:t>: Global Voluntary Targets for NCD, 2013</w:t>
                            </w:r>
                            <w:bookmarkEnd w:id="3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FDECD" id="Text Box 23" o:spid="_x0000_s1036" type="#_x0000_t202" style="position:absolute;margin-left:-9.2pt;margin-top:478.95pt;width:481.25pt;height:12.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" stroked="f">
                <v:textbox inset="0,0,0,0">
                  <w:txbxContent>
                    <w:p w14:paraId="6B4E11D2" w14:textId="57D8E3D8" w:rsidR="00504B06" w:rsidRPr="009729D8" w:rsidRDefault="00504B06" w:rsidP="0057323A">
                      <w:pPr>
                        <w:pStyle w:val="Caption"/>
                        <w:rPr>
                          <w:noProof/>
                          <w:sz w:val="21"/>
                          <w:szCs w:val="21"/>
                          <w:lang w:val="en-GB"/>
                        </w:rPr>
                      </w:pPr>
                      <w:bookmarkStart w:id="35" w:name="_Ref15411341"/>
                      <w:bookmarkStart w:id="36" w:name="_Toc34804974"/>
                      <w:r>
                        <w:t xml:space="preserve">Figure </w:t>
                      </w:r>
                      <w:fldSimple w:instr=" SEQ Figure \* ARABIC ">
                        <w:r>
                          <w:rPr>
                            <w:noProof/>
                          </w:rPr>
                          <w:t>3</w:t>
                        </w:r>
                      </w:fldSimple>
                      <w:bookmarkEnd w:id="35"/>
                      <w:r>
                        <w:t>: Global Voluntary Targets for NCD, 2013</w:t>
                      </w:r>
                      <w:bookmarkEnd w:id="36"/>
                    </w:p>
                  </w:txbxContent>
                </v:textbox>
                <w10:wrap type="tight"/>
              </v:shape>
            </w:pict>
          </mc:Fallback>
        </mc:AlternateContent>
      </w:r>
      <w:r w:rsidRPr="001B16D1">
        <w:rPr>
          <w:noProof/>
        </w:rPr>
        <mc:AlternateContent>
          <mc:Choice Requires="wps">
            <w:drawing>
              <wp:anchor distT="0" distB="0" distL="114300" distR="114300" simplePos="0" relativeHeight="251662336" behindDoc="1" locked="0" layoutInCell="1" allowOverlap="1" wp14:anchorId="583BD95C" wp14:editId="36FED01E">
                <wp:simplePos x="0" y="0"/>
                <wp:positionH relativeFrom="column">
                  <wp:posOffset>-165735</wp:posOffset>
                </wp:positionH>
                <wp:positionV relativeFrom="paragraph">
                  <wp:posOffset>4437555</wp:posOffset>
                </wp:positionV>
                <wp:extent cx="6471285" cy="1639570"/>
                <wp:effectExtent l="0" t="0" r="18415" b="11430"/>
                <wp:wrapTight wrapText="bothSides">
                  <wp:wrapPolygon edited="0">
                    <wp:start x="0" y="0"/>
                    <wp:lineTo x="0" y="21583"/>
                    <wp:lineTo x="21619" y="21583"/>
                    <wp:lineTo x="21619" y="0"/>
                    <wp:lineTo x="0" y="0"/>
                  </wp:wrapPolygon>
                </wp:wrapTight>
                <wp:docPr id="22" name="Text Box 22"/>
                <wp:cNvGraphicFramePr/>
                <a:graphic xmlns:a="http://schemas.openxmlformats.org/drawingml/2006/main">
                  <a:graphicData uri="http://schemas.microsoft.com/office/word/2010/wordprocessingShape">
                    <wps:wsp>
                      <wps:cNvSpPr txBox="1"/>
                      <wps:spPr>
                        <a:xfrm>
                          <a:off x="0" y="0"/>
                          <a:ext cx="6471285" cy="1639570"/>
                        </a:xfrm>
                        <a:prstGeom prst="rect">
                          <a:avLst/>
                        </a:prstGeom>
                        <a:solidFill>
                          <a:schemeClr val="accent5">
                            <a:lumMod val="60000"/>
                            <a:lumOff val="40000"/>
                          </a:schemeClr>
                        </a:solidFill>
                        <a:ln w="6350">
                          <a:solidFill>
                            <a:prstClr val="black"/>
                          </a:solidFill>
                        </a:ln>
                      </wps:spPr>
                      <wps:txbx>
                        <w:txbxContent>
                          <w:p w14:paraId="441383C0" w14:textId="77777777" w:rsidR="00504B06" w:rsidRPr="003D477E" w:rsidRDefault="00504B06" w:rsidP="0057323A">
                            <w:pPr>
                              <w:rPr>
                                <w:sz w:val="18"/>
                                <w:szCs w:val="18"/>
                                <w:lang w:val="en-GB"/>
                              </w:rPr>
                            </w:pPr>
                            <w:r w:rsidRPr="003D477E">
                              <w:rPr>
                                <w:sz w:val="18"/>
                                <w:szCs w:val="18"/>
                                <w:lang w:val="en-GB"/>
                              </w:rPr>
                              <w:t>1.</w:t>
                            </w:r>
                            <w:r w:rsidRPr="003D477E">
                              <w:rPr>
                                <w:sz w:val="18"/>
                                <w:szCs w:val="18"/>
                                <w:lang w:val="en-GB"/>
                              </w:rPr>
                              <w:tab/>
                              <w:t xml:space="preserve">A 25% relative reduction in the risk of </w:t>
                            </w:r>
                            <w:r w:rsidRPr="003D477E">
                              <w:rPr>
                                <w:b/>
                                <w:bCs/>
                                <w:sz w:val="18"/>
                                <w:szCs w:val="18"/>
                                <w:lang w:val="en-GB"/>
                              </w:rPr>
                              <w:t>premature mortality</w:t>
                            </w:r>
                            <w:r w:rsidRPr="003D477E">
                              <w:rPr>
                                <w:sz w:val="18"/>
                                <w:szCs w:val="18"/>
                                <w:lang w:val="en-GB"/>
                              </w:rPr>
                              <w:t xml:space="preserve"> from CVD, cancer, diabetes or CRD. </w:t>
                            </w:r>
                          </w:p>
                          <w:p w14:paraId="3BB23431" w14:textId="77777777" w:rsidR="00504B06" w:rsidRPr="003D477E" w:rsidRDefault="00504B06" w:rsidP="0057323A">
                            <w:pPr>
                              <w:rPr>
                                <w:sz w:val="18"/>
                                <w:szCs w:val="18"/>
                                <w:lang w:val="en-GB"/>
                              </w:rPr>
                            </w:pPr>
                            <w:r w:rsidRPr="003D477E">
                              <w:rPr>
                                <w:sz w:val="18"/>
                                <w:szCs w:val="18"/>
                                <w:lang w:val="en-GB"/>
                              </w:rPr>
                              <w:t>2.</w:t>
                            </w:r>
                            <w:r w:rsidRPr="003D477E">
                              <w:rPr>
                                <w:sz w:val="18"/>
                                <w:szCs w:val="18"/>
                                <w:lang w:val="en-GB"/>
                              </w:rPr>
                              <w:tab/>
                              <w:t xml:space="preserve">At least 10% relative reduction in the </w:t>
                            </w:r>
                            <w:r w:rsidRPr="003D477E">
                              <w:rPr>
                                <w:b/>
                                <w:bCs/>
                                <w:sz w:val="18"/>
                                <w:szCs w:val="18"/>
                                <w:lang w:val="en-GB"/>
                              </w:rPr>
                              <w:t>harmful use of alcohol</w:t>
                            </w:r>
                            <w:r w:rsidRPr="003D477E">
                              <w:rPr>
                                <w:sz w:val="18"/>
                                <w:szCs w:val="18"/>
                                <w:lang w:val="en-GB"/>
                              </w:rPr>
                              <w:t xml:space="preserve">. </w:t>
                            </w:r>
                          </w:p>
                          <w:p w14:paraId="3E8914AB" w14:textId="77777777" w:rsidR="00504B06" w:rsidRPr="003D477E" w:rsidRDefault="00504B06" w:rsidP="0057323A">
                            <w:pPr>
                              <w:rPr>
                                <w:sz w:val="18"/>
                                <w:szCs w:val="18"/>
                                <w:lang w:val="en-GB"/>
                              </w:rPr>
                            </w:pPr>
                            <w:r w:rsidRPr="003D477E">
                              <w:rPr>
                                <w:sz w:val="18"/>
                                <w:szCs w:val="18"/>
                                <w:lang w:val="en-GB"/>
                              </w:rPr>
                              <w:t>3.</w:t>
                            </w:r>
                            <w:r w:rsidRPr="003D477E">
                              <w:rPr>
                                <w:sz w:val="18"/>
                                <w:szCs w:val="18"/>
                                <w:lang w:val="en-GB"/>
                              </w:rPr>
                              <w:tab/>
                              <w:t xml:space="preserve">A 10% relative reduction in prevalence of </w:t>
                            </w:r>
                            <w:r w:rsidRPr="003D477E">
                              <w:rPr>
                                <w:b/>
                                <w:bCs/>
                                <w:sz w:val="18"/>
                                <w:szCs w:val="18"/>
                                <w:lang w:val="en-GB"/>
                              </w:rPr>
                              <w:t>insufficient physical activity</w:t>
                            </w:r>
                            <w:r w:rsidRPr="003D477E">
                              <w:rPr>
                                <w:sz w:val="18"/>
                                <w:szCs w:val="18"/>
                                <w:lang w:val="en-GB"/>
                              </w:rPr>
                              <w:t xml:space="preserve">. </w:t>
                            </w:r>
                          </w:p>
                          <w:p w14:paraId="2BEAA7EF" w14:textId="77777777" w:rsidR="00504B06" w:rsidRPr="003D477E" w:rsidRDefault="00504B06" w:rsidP="0057323A">
                            <w:pPr>
                              <w:rPr>
                                <w:sz w:val="18"/>
                                <w:szCs w:val="18"/>
                                <w:lang w:val="en-GB"/>
                              </w:rPr>
                            </w:pPr>
                            <w:r w:rsidRPr="003D477E">
                              <w:rPr>
                                <w:sz w:val="18"/>
                                <w:szCs w:val="18"/>
                                <w:lang w:val="en-GB"/>
                              </w:rPr>
                              <w:t>4.</w:t>
                            </w:r>
                            <w:r w:rsidRPr="003D477E">
                              <w:rPr>
                                <w:sz w:val="18"/>
                                <w:szCs w:val="18"/>
                                <w:lang w:val="en-GB"/>
                              </w:rPr>
                              <w:tab/>
                              <w:t>A 30% relative reduction in mean population intake of</w:t>
                            </w:r>
                            <w:r w:rsidRPr="003D477E">
                              <w:rPr>
                                <w:b/>
                                <w:bCs/>
                                <w:sz w:val="18"/>
                                <w:szCs w:val="18"/>
                                <w:lang w:val="en-GB"/>
                              </w:rPr>
                              <w:t xml:space="preserve"> salt/sodium</w:t>
                            </w:r>
                            <w:r w:rsidRPr="003D477E">
                              <w:rPr>
                                <w:sz w:val="18"/>
                                <w:szCs w:val="18"/>
                                <w:lang w:val="en-GB"/>
                              </w:rPr>
                              <w:t xml:space="preserve">. </w:t>
                            </w:r>
                          </w:p>
                          <w:p w14:paraId="64393E0F" w14:textId="77777777" w:rsidR="00504B06" w:rsidRPr="003D477E" w:rsidRDefault="00504B06" w:rsidP="0057323A">
                            <w:pPr>
                              <w:rPr>
                                <w:sz w:val="18"/>
                                <w:szCs w:val="18"/>
                                <w:lang w:val="en-GB"/>
                              </w:rPr>
                            </w:pPr>
                            <w:r w:rsidRPr="003D477E">
                              <w:rPr>
                                <w:sz w:val="18"/>
                                <w:szCs w:val="18"/>
                                <w:lang w:val="en-GB"/>
                              </w:rPr>
                              <w:t>5.</w:t>
                            </w:r>
                            <w:r w:rsidRPr="003D477E">
                              <w:rPr>
                                <w:sz w:val="18"/>
                                <w:szCs w:val="18"/>
                                <w:lang w:val="en-GB"/>
                              </w:rPr>
                              <w:tab/>
                              <w:t>A 30% relative reduction in prevalence of current</w:t>
                            </w:r>
                            <w:r w:rsidRPr="003D477E">
                              <w:rPr>
                                <w:b/>
                                <w:bCs/>
                                <w:sz w:val="18"/>
                                <w:szCs w:val="18"/>
                                <w:lang w:val="en-GB"/>
                              </w:rPr>
                              <w:t xml:space="preserve"> tobacco use</w:t>
                            </w:r>
                            <w:r w:rsidRPr="003D477E">
                              <w:rPr>
                                <w:sz w:val="18"/>
                                <w:szCs w:val="18"/>
                                <w:lang w:val="en-GB"/>
                              </w:rPr>
                              <w:t xml:space="preserve">. </w:t>
                            </w:r>
                          </w:p>
                          <w:p w14:paraId="030EB52C" w14:textId="77777777" w:rsidR="00504B06" w:rsidRPr="003D477E" w:rsidRDefault="00504B06" w:rsidP="0057323A">
                            <w:pPr>
                              <w:rPr>
                                <w:sz w:val="18"/>
                                <w:szCs w:val="18"/>
                                <w:lang w:val="en-GB"/>
                              </w:rPr>
                            </w:pPr>
                            <w:r w:rsidRPr="003D477E">
                              <w:rPr>
                                <w:sz w:val="18"/>
                                <w:szCs w:val="18"/>
                                <w:lang w:val="en-GB"/>
                              </w:rPr>
                              <w:t>6.</w:t>
                            </w:r>
                            <w:r w:rsidRPr="003D477E">
                              <w:rPr>
                                <w:sz w:val="18"/>
                                <w:szCs w:val="18"/>
                                <w:lang w:val="en-GB"/>
                              </w:rPr>
                              <w:tab/>
                              <w:t xml:space="preserve">A 25% relative reduction in the prevalence of </w:t>
                            </w:r>
                            <w:r w:rsidRPr="003D477E">
                              <w:rPr>
                                <w:b/>
                                <w:bCs/>
                                <w:sz w:val="18"/>
                                <w:szCs w:val="18"/>
                                <w:lang w:val="en-GB"/>
                              </w:rPr>
                              <w:t>raised blood pressure</w:t>
                            </w:r>
                            <w:r w:rsidRPr="003D477E">
                              <w:rPr>
                                <w:sz w:val="18"/>
                                <w:szCs w:val="18"/>
                                <w:lang w:val="en-GB"/>
                              </w:rPr>
                              <w:t xml:space="preserve">. </w:t>
                            </w:r>
                          </w:p>
                          <w:p w14:paraId="664905CA" w14:textId="77777777" w:rsidR="00504B06" w:rsidRPr="003D477E" w:rsidRDefault="00504B06" w:rsidP="0057323A">
                            <w:pPr>
                              <w:rPr>
                                <w:sz w:val="18"/>
                                <w:szCs w:val="18"/>
                                <w:lang w:val="en-GB"/>
                              </w:rPr>
                            </w:pPr>
                            <w:r w:rsidRPr="003D477E">
                              <w:rPr>
                                <w:sz w:val="18"/>
                                <w:szCs w:val="18"/>
                                <w:lang w:val="en-GB"/>
                              </w:rPr>
                              <w:t>7.</w:t>
                            </w:r>
                            <w:r w:rsidRPr="003D477E">
                              <w:rPr>
                                <w:sz w:val="18"/>
                                <w:szCs w:val="18"/>
                                <w:lang w:val="en-GB"/>
                              </w:rPr>
                              <w:tab/>
                              <w:t xml:space="preserve">Halt the rise in </w:t>
                            </w:r>
                            <w:r w:rsidRPr="003D477E">
                              <w:rPr>
                                <w:b/>
                                <w:bCs/>
                                <w:sz w:val="18"/>
                                <w:szCs w:val="18"/>
                                <w:lang w:val="en-GB"/>
                              </w:rPr>
                              <w:t>diabetes and obesity</w:t>
                            </w:r>
                            <w:r w:rsidRPr="003D477E">
                              <w:rPr>
                                <w:sz w:val="18"/>
                                <w:szCs w:val="18"/>
                                <w:lang w:val="en-GB"/>
                              </w:rPr>
                              <w:t xml:space="preserve">. </w:t>
                            </w:r>
                          </w:p>
                          <w:p w14:paraId="1A70080E" w14:textId="77777777" w:rsidR="00504B06" w:rsidRPr="003D477E" w:rsidRDefault="00504B06" w:rsidP="0057323A">
                            <w:pPr>
                              <w:rPr>
                                <w:sz w:val="18"/>
                                <w:szCs w:val="18"/>
                                <w:lang w:val="en-GB"/>
                              </w:rPr>
                            </w:pPr>
                            <w:r w:rsidRPr="003D477E">
                              <w:rPr>
                                <w:sz w:val="18"/>
                                <w:szCs w:val="18"/>
                                <w:lang w:val="en-GB"/>
                              </w:rPr>
                              <w:t>8.</w:t>
                            </w:r>
                            <w:r w:rsidRPr="003D477E">
                              <w:rPr>
                                <w:sz w:val="18"/>
                                <w:szCs w:val="18"/>
                                <w:lang w:val="en-GB"/>
                              </w:rPr>
                              <w:tab/>
                              <w:t xml:space="preserve">At least 50% of eligible people receive </w:t>
                            </w:r>
                            <w:r w:rsidRPr="003D477E">
                              <w:rPr>
                                <w:b/>
                                <w:bCs/>
                                <w:sz w:val="18"/>
                                <w:szCs w:val="18"/>
                                <w:lang w:val="en-GB"/>
                              </w:rPr>
                              <w:t>drug therapy and counselling</w:t>
                            </w:r>
                            <w:r w:rsidRPr="003D477E">
                              <w:rPr>
                                <w:sz w:val="18"/>
                                <w:szCs w:val="18"/>
                                <w:lang w:val="en-GB"/>
                              </w:rPr>
                              <w:t xml:space="preserve"> (including glycaemic control) to </w:t>
                            </w:r>
                            <w:r w:rsidRPr="003D477E">
                              <w:rPr>
                                <w:b/>
                                <w:bCs/>
                                <w:sz w:val="18"/>
                                <w:szCs w:val="18"/>
                                <w:lang w:val="en-GB"/>
                              </w:rPr>
                              <w:t>prevent heart attacks and strokes</w:t>
                            </w:r>
                            <w:r w:rsidRPr="003D477E">
                              <w:rPr>
                                <w:sz w:val="18"/>
                                <w:szCs w:val="18"/>
                                <w:lang w:val="en-GB"/>
                              </w:rPr>
                              <w:t xml:space="preserve">. </w:t>
                            </w:r>
                          </w:p>
                          <w:p w14:paraId="56F1BA41" w14:textId="77777777" w:rsidR="00504B06" w:rsidRPr="003D477E" w:rsidRDefault="00504B06" w:rsidP="0057323A">
                            <w:pPr>
                              <w:rPr>
                                <w:sz w:val="18"/>
                                <w:szCs w:val="18"/>
                                <w:lang w:val="en-GB"/>
                              </w:rPr>
                            </w:pPr>
                            <w:r w:rsidRPr="003D477E">
                              <w:rPr>
                                <w:sz w:val="18"/>
                                <w:szCs w:val="18"/>
                                <w:lang w:val="en-GB"/>
                              </w:rPr>
                              <w:t>9.</w:t>
                            </w:r>
                            <w:r w:rsidRPr="003D477E">
                              <w:rPr>
                                <w:sz w:val="18"/>
                                <w:szCs w:val="18"/>
                                <w:lang w:val="en-GB"/>
                              </w:rPr>
                              <w:tab/>
                              <w:t xml:space="preserve">An 80% availability of the affordable </w:t>
                            </w:r>
                            <w:r w:rsidRPr="003D477E">
                              <w:rPr>
                                <w:b/>
                                <w:bCs/>
                                <w:sz w:val="18"/>
                                <w:szCs w:val="18"/>
                                <w:lang w:val="en-GB"/>
                              </w:rPr>
                              <w:t>basic technologies and essential medicines</w:t>
                            </w:r>
                            <w:r w:rsidRPr="003D477E">
                              <w:rPr>
                                <w:sz w:val="18"/>
                                <w:szCs w:val="18"/>
                                <w:lang w:val="en-GB"/>
                              </w:rPr>
                              <w:t xml:space="preserve">, including generics, required to treat major NCDs in both public and private facilities. </w:t>
                            </w:r>
                          </w:p>
                          <w:p w14:paraId="12834029" w14:textId="77777777" w:rsidR="00504B06" w:rsidRPr="003D477E" w:rsidRDefault="00504B06" w:rsidP="005732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BD95C" id="Text Box 22" o:spid="_x0000_s1037" type="#_x0000_t202" style="position:absolute;margin-left:-13.05pt;margin-top:349.4pt;width:509.55pt;height:1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" fillcolor="#9cc2e5 [1944]" strokeweight=".5pt">
                <v:textbox>
                  <w:txbxContent>
                    <w:p w14:paraId="441383C0" w14:textId="77777777" w:rsidR="00504B06" w:rsidRPr="003D477E" w:rsidRDefault="00504B06" w:rsidP="0057323A">
                      <w:pPr>
                        <w:rPr>
                          <w:sz w:val="18"/>
                          <w:szCs w:val="18"/>
                          <w:lang w:val="en-GB"/>
                        </w:rPr>
                      </w:pPr>
                      <w:r w:rsidRPr="003D477E">
                        <w:rPr>
                          <w:sz w:val="18"/>
                          <w:szCs w:val="18"/>
                          <w:lang w:val="en-GB"/>
                        </w:rPr>
                        <w:t>1.</w:t>
                      </w:r>
                      <w:r w:rsidRPr="003D477E">
                        <w:rPr>
                          <w:sz w:val="18"/>
                          <w:szCs w:val="18"/>
                          <w:lang w:val="en-GB"/>
                        </w:rPr>
                        <w:tab/>
                        <w:t xml:space="preserve">A 25% relative reduction in the risk of </w:t>
                      </w:r>
                      <w:r w:rsidRPr="003D477E">
                        <w:rPr>
                          <w:b/>
                          <w:bCs/>
                          <w:sz w:val="18"/>
                          <w:szCs w:val="18"/>
                          <w:lang w:val="en-GB"/>
                        </w:rPr>
                        <w:t>premature mortality</w:t>
                      </w:r>
                      <w:r w:rsidRPr="003D477E">
                        <w:rPr>
                          <w:sz w:val="18"/>
                          <w:szCs w:val="18"/>
                          <w:lang w:val="en-GB"/>
                        </w:rPr>
                        <w:t xml:space="preserve"> from CVD, cancer, diabetes or CRD. </w:t>
                      </w:r>
                    </w:p>
                    <w:p w14:paraId="3BB23431" w14:textId="77777777" w:rsidR="00504B06" w:rsidRPr="003D477E" w:rsidRDefault="00504B06" w:rsidP="0057323A">
                      <w:pPr>
                        <w:rPr>
                          <w:sz w:val="18"/>
                          <w:szCs w:val="18"/>
                          <w:lang w:val="en-GB"/>
                        </w:rPr>
                      </w:pPr>
                      <w:r w:rsidRPr="003D477E">
                        <w:rPr>
                          <w:sz w:val="18"/>
                          <w:szCs w:val="18"/>
                          <w:lang w:val="en-GB"/>
                        </w:rPr>
                        <w:t>2.</w:t>
                      </w:r>
                      <w:r w:rsidRPr="003D477E">
                        <w:rPr>
                          <w:sz w:val="18"/>
                          <w:szCs w:val="18"/>
                          <w:lang w:val="en-GB"/>
                        </w:rPr>
                        <w:tab/>
                        <w:t xml:space="preserve">At least 10% relative reduction in the </w:t>
                      </w:r>
                      <w:r w:rsidRPr="003D477E">
                        <w:rPr>
                          <w:b/>
                          <w:bCs/>
                          <w:sz w:val="18"/>
                          <w:szCs w:val="18"/>
                          <w:lang w:val="en-GB"/>
                        </w:rPr>
                        <w:t>harmful use of alcohol</w:t>
                      </w:r>
                      <w:r w:rsidRPr="003D477E">
                        <w:rPr>
                          <w:sz w:val="18"/>
                          <w:szCs w:val="18"/>
                          <w:lang w:val="en-GB"/>
                        </w:rPr>
                        <w:t xml:space="preserve">. </w:t>
                      </w:r>
                    </w:p>
                    <w:p w14:paraId="3E8914AB" w14:textId="77777777" w:rsidR="00504B06" w:rsidRPr="003D477E" w:rsidRDefault="00504B06" w:rsidP="0057323A">
                      <w:pPr>
                        <w:rPr>
                          <w:sz w:val="18"/>
                          <w:szCs w:val="18"/>
                          <w:lang w:val="en-GB"/>
                        </w:rPr>
                      </w:pPr>
                      <w:r w:rsidRPr="003D477E">
                        <w:rPr>
                          <w:sz w:val="18"/>
                          <w:szCs w:val="18"/>
                          <w:lang w:val="en-GB"/>
                        </w:rPr>
                        <w:t>3.</w:t>
                      </w:r>
                      <w:r w:rsidRPr="003D477E">
                        <w:rPr>
                          <w:sz w:val="18"/>
                          <w:szCs w:val="18"/>
                          <w:lang w:val="en-GB"/>
                        </w:rPr>
                        <w:tab/>
                        <w:t xml:space="preserve">A 10% relative reduction in prevalence of </w:t>
                      </w:r>
                      <w:r w:rsidRPr="003D477E">
                        <w:rPr>
                          <w:b/>
                          <w:bCs/>
                          <w:sz w:val="18"/>
                          <w:szCs w:val="18"/>
                          <w:lang w:val="en-GB"/>
                        </w:rPr>
                        <w:t>insufficient physical activity</w:t>
                      </w:r>
                      <w:r w:rsidRPr="003D477E">
                        <w:rPr>
                          <w:sz w:val="18"/>
                          <w:szCs w:val="18"/>
                          <w:lang w:val="en-GB"/>
                        </w:rPr>
                        <w:t xml:space="preserve">. </w:t>
                      </w:r>
                    </w:p>
                    <w:p w14:paraId="2BEAA7EF" w14:textId="77777777" w:rsidR="00504B06" w:rsidRPr="003D477E" w:rsidRDefault="00504B06" w:rsidP="0057323A">
                      <w:pPr>
                        <w:rPr>
                          <w:sz w:val="18"/>
                          <w:szCs w:val="18"/>
                          <w:lang w:val="en-GB"/>
                        </w:rPr>
                      </w:pPr>
                      <w:r w:rsidRPr="003D477E">
                        <w:rPr>
                          <w:sz w:val="18"/>
                          <w:szCs w:val="18"/>
                          <w:lang w:val="en-GB"/>
                        </w:rPr>
                        <w:t>4.</w:t>
                      </w:r>
                      <w:r w:rsidRPr="003D477E">
                        <w:rPr>
                          <w:sz w:val="18"/>
                          <w:szCs w:val="18"/>
                          <w:lang w:val="en-GB"/>
                        </w:rPr>
                        <w:tab/>
                        <w:t>A 30% relative reduction in mean population intake of</w:t>
                      </w:r>
                      <w:r w:rsidRPr="003D477E">
                        <w:rPr>
                          <w:b/>
                          <w:bCs/>
                          <w:sz w:val="18"/>
                          <w:szCs w:val="18"/>
                          <w:lang w:val="en-GB"/>
                        </w:rPr>
                        <w:t xml:space="preserve"> salt/sodium</w:t>
                      </w:r>
                      <w:r w:rsidRPr="003D477E">
                        <w:rPr>
                          <w:sz w:val="18"/>
                          <w:szCs w:val="18"/>
                          <w:lang w:val="en-GB"/>
                        </w:rPr>
                        <w:t xml:space="preserve">. </w:t>
                      </w:r>
                    </w:p>
                    <w:p w14:paraId="64393E0F" w14:textId="77777777" w:rsidR="00504B06" w:rsidRPr="003D477E" w:rsidRDefault="00504B06" w:rsidP="0057323A">
                      <w:pPr>
                        <w:rPr>
                          <w:sz w:val="18"/>
                          <w:szCs w:val="18"/>
                          <w:lang w:val="en-GB"/>
                        </w:rPr>
                      </w:pPr>
                      <w:r w:rsidRPr="003D477E">
                        <w:rPr>
                          <w:sz w:val="18"/>
                          <w:szCs w:val="18"/>
                          <w:lang w:val="en-GB"/>
                        </w:rPr>
                        <w:t>5.</w:t>
                      </w:r>
                      <w:r w:rsidRPr="003D477E">
                        <w:rPr>
                          <w:sz w:val="18"/>
                          <w:szCs w:val="18"/>
                          <w:lang w:val="en-GB"/>
                        </w:rPr>
                        <w:tab/>
                        <w:t>A 30% relative reduction in prevalence of current</w:t>
                      </w:r>
                      <w:r w:rsidRPr="003D477E">
                        <w:rPr>
                          <w:b/>
                          <w:bCs/>
                          <w:sz w:val="18"/>
                          <w:szCs w:val="18"/>
                          <w:lang w:val="en-GB"/>
                        </w:rPr>
                        <w:t xml:space="preserve"> tobacco use</w:t>
                      </w:r>
                      <w:r w:rsidRPr="003D477E">
                        <w:rPr>
                          <w:sz w:val="18"/>
                          <w:szCs w:val="18"/>
                          <w:lang w:val="en-GB"/>
                        </w:rPr>
                        <w:t xml:space="preserve">. </w:t>
                      </w:r>
                    </w:p>
                    <w:p w14:paraId="030EB52C" w14:textId="77777777" w:rsidR="00504B06" w:rsidRPr="003D477E" w:rsidRDefault="00504B06" w:rsidP="0057323A">
                      <w:pPr>
                        <w:rPr>
                          <w:sz w:val="18"/>
                          <w:szCs w:val="18"/>
                          <w:lang w:val="en-GB"/>
                        </w:rPr>
                      </w:pPr>
                      <w:r w:rsidRPr="003D477E">
                        <w:rPr>
                          <w:sz w:val="18"/>
                          <w:szCs w:val="18"/>
                          <w:lang w:val="en-GB"/>
                        </w:rPr>
                        <w:t>6.</w:t>
                      </w:r>
                      <w:r w:rsidRPr="003D477E">
                        <w:rPr>
                          <w:sz w:val="18"/>
                          <w:szCs w:val="18"/>
                          <w:lang w:val="en-GB"/>
                        </w:rPr>
                        <w:tab/>
                        <w:t xml:space="preserve">A 25% relative reduction in the prevalence of </w:t>
                      </w:r>
                      <w:r w:rsidRPr="003D477E">
                        <w:rPr>
                          <w:b/>
                          <w:bCs/>
                          <w:sz w:val="18"/>
                          <w:szCs w:val="18"/>
                          <w:lang w:val="en-GB"/>
                        </w:rPr>
                        <w:t>raised blood pressure</w:t>
                      </w:r>
                      <w:r w:rsidRPr="003D477E">
                        <w:rPr>
                          <w:sz w:val="18"/>
                          <w:szCs w:val="18"/>
                          <w:lang w:val="en-GB"/>
                        </w:rPr>
                        <w:t xml:space="preserve">. </w:t>
                      </w:r>
                    </w:p>
                    <w:p w14:paraId="664905CA" w14:textId="77777777" w:rsidR="00504B06" w:rsidRPr="003D477E" w:rsidRDefault="00504B06" w:rsidP="0057323A">
                      <w:pPr>
                        <w:rPr>
                          <w:sz w:val="18"/>
                          <w:szCs w:val="18"/>
                          <w:lang w:val="en-GB"/>
                        </w:rPr>
                      </w:pPr>
                      <w:r w:rsidRPr="003D477E">
                        <w:rPr>
                          <w:sz w:val="18"/>
                          <w:szCs w:val="18"/>
                          <w:lang w:val="en-GB"/>
                        </w:rPr>
                        <w:t>7.</w:t>
                      </w:r>
                      <w:r w:rsidRPr="003D477E">
                        <w:rPr>
                          <w:sz w:val="18"/>
                          <w:szCs w:val="18"/>
                          <w:lang w:val="en-GB"/>
                        </w:rPr>
                        <w:tab/>
                        <w:t xml:space="preserve">Halt the rise in </w:t>
                      </w:r>
                      <w:r w:rsidRPr="003D477E">
                        <w:rPr>
                          <w:b/>
                          <w:bCs/>
                          <w:sz w:val="18"/>
                          <w:szCs w:val="18"/>
                          <w:lang w:val="en-GB"/>
                        </w:rPr>
                        <w:t>diabetes and obesity</w:t>
                      </w:r>
                      <w:r w:rsidRPr="003D477E">
                        <w:rPr>
                          <w:sz w:val="18"/>
                          <w:szCs w:val="18"/>
                          <w:lang w:val="en-GB"/>
                        </w:rPr>
                        <w:t xml:space="preserve">. </w:t>
                      </w:r>
                    </w:p>
                    <w:p w14:paraId="1A70080E" w14:textId="77777777" w:rsidR="00504B06" w:rsidRPr="003D477E" w:rsidRDefault="00504B06" w:rsidP="0057323A">
                      <w:pPr>
                        <w:rPr>
                          <w:sz w:val="18"/>
                          <w:szCs w:val="18"/>
                          <w:lang w:val="en-GB"/>
                        </w:rPr>
                      </w:pPr>
                      <w:r w:rsidRPr="003D477E">
                        <w:rPr>
                          <w:sz w:val="18"/>
                          <w:szCs w:val="18"/>
                          <w:lang w:val="en-GB"/>
                        </w:rPr>
                        <w:t>8.</w:t>
                      </w:r>
                      <w:r w:rsidRPr="003D477E">
                        <w:rPr>
                          <w:sz w:val="18"/>
                          <w:szCs w:val="18"/>
                          <w:lang w:val="en-GB"/>
                        </w:rPr>
                        <w:tab/>
                        <w:t xml:space="preserve">At least 50% of eligible people receive </w:t>
                      </w:r>
                      <w:r w:rsidRPr="003D477E">
                        <w:rPr>
                          <w:b/>
                          <w:bCs/>
                          <w:sz w:val="18"/>
                          <w:szCs w:val="18"/>
                          <w:lang w:val="en-GB"/>
                        </w:rPr>
                        <w:t>drug therapy and counselling</w:t>
                      </w:r>
                      <w:r w:rsidRPr="003D477E">
                        <w:rPr>
                          <w:sz w:val="18"/>
                          <w:szCs w:val="18"/>
                          <w:lang w:val="en-GB"/>
                        </w:rPr>
                        <w:t xml:space="preserve"> (including glycaemic control) to </w:t>
                      </w:r>
                      <w:r w:rsidRPr="003D477E">
                        <w:rPr>
                          <w:b/>
                          <w:bCs/>
                          <w:sz w:val="18"/>
                          <w:szCs w:val="18"/>
                          <w:lang w:val="en-GB"/>
                        </w:rPr>
                        <w:t>prevent heart attacks and strokes</w:t>
                      </w:r>
                      <w:r w:rsidRPr="003D477E">
                        <w:rPr>
                          <w:sz w:val="18"/>
                          <w:szCs w:val="18"/>
                          <w:lang w:val="en-GB"/>
                        </w:rPr>
                        <w:t xml:space="preserve">. </w:t>
                      </w:r>
                    </w:p>
                    <w:p w14:paraId="56F1BA41" w14:textId="77777777" w:rsidR="00504B06" w:rsidRPr="003D477E" w:rsidRDefault="00504B06" w:rsidP="0057323A">
                      <w:pPr>
                        <w:rPr>
                          <w:sz w:val="18"/>
                          <w:szCs w:val="18"/>
                          <w:lang w:val="en-GB"/>
                        </w:rPr>
                      </w:pPr>
                      <w:r w:rsidRPr="003D477E">
                        <w:rPr>
                          <w:sz w:val="18"/>
                          <w:szCs w:val="18"/>
                          <w:lang w:val="en-GB"/>
                        </w:rPr>
                        <w:t>9.</w:t>
                      </w:r>
                      <w:r w:rsidRPr="003D477E">
                        <w:rPr>
                          <w:sz w:val="18"/>
                          <w:szCs w:val="18"/>
                          <w:lang w:val="en-GB"/>
                        </w:rPr>
                        <w:tab/>
                        <w:t xml:space="preserve">An 80% availability of the affordable </w:t>
                      </w:r>
                      <w:r w:rsidRPr="003D477E">
                        <w:rPr>
                          <w:b/>
                          <w:bCs/>
                          <w:sz w:val="18"/>
                          <w:szCs w:val="18"/>
                          <w:lang w:val="en-GB"/>
                        </w:rPr>
                        <w:t>basic technologies and essential medicines</w:t>
                      </w:r>
                      <w:r w:rsidRPr="003D477E">
                        <w:rPr>
                          <w:sz w:val="18"/>
                          <w:szCs w:val="18"/>
                          <w:lang w:val="en-GB"/>
                        </w:rPr>
                        <w:t xml:space="preserve">, including generics, required to treat major NCDs in both public and private facilities. </w:t>
                      </w:r>
                    </w:p>
                    <w:p w14:paraId="12834029" w14:textId="77777777" w:rsidR="00504B06" w:rsidRPr="003D477E" w:rsidRDefault="00504B06" w:rsidP="0057323A">
                      <w:pPr>
                        <w:rPr>
                          <w:sz w:val="18"/>
                          <w:szCs w:val="18"/>
                        </w:rPr>
                      </w:pPr>
                    </w:p>
                  </w:txbxContent>
                </v:textbox>
                <w10:wrap type="tight"/>
              </v:shape>
            </w:pict>
          </mc:Fallback>
        </mc:AlternateContent>
      </w:r>
      <w:r w:rsidR="0057323A" w:rsidRPr="001B16D1">
        <w:t>Since the begin</w:t>
      </w:r>
      <w:r w:rsidR="004A0C39" w:rsidRPr="001B16D1">
        <w:t>ning</w:t>
      </w:r>
      <w:r w:rsidR="0057323A" w:rsidRPr="001B16D1">
        <w:t xml:space="preserve"> of this century there is increased attention for NCD prevention and control</w:t>
      </w:r>
      <w:r w:rsidR="0057323A" w:rsidRPr="001B16D1">
        <w:endnoteReference w:id="20"/>
      </w:r>
      <w:r w:rsidR="0057323A" w:rsidRPr="001B16D1">
        <w:t>, with growing momentum over the last decennium.</w:t>
      </w:r>
      <w:r w:rsidR="0057323A" w:rsidRPr="001B16D1">
        <w:rPr>
          <w:vertAlign w:val="superscript"/>
        </w:rPr>
        <w:fldChar w:fldCharType="begin"/>
      </w:r>
      <w:r w:rsidR="0057323A" w:rsidRPr="001B16D1">
        <w:rPr>
          <w:vertAlign w:val="superscript"/>
        </w:rPr>
        <w:instrText xml:space="preserve"> NOTEREF _Ref15409079 \h  \* MERGEFORMAT </w:instrText>
      </w:r>
      <w:r w:rsidR="0057323A" w:rsidRPr="001B16D1">
        <w:rPr>
          <w:vertAlign w:val="superscript"/>
        </w:rPr>
      </w:r>
      <w:r w:rsidR="0057323A" w:rsidRPr="001B16D1">
        <w:rPr>
          <w:vertAlign w:val="superscript"/>
        </w:rPr>
        <w:fldChar w:fldCharType="separate"/>
      </w:r>
      <w:r w:rsidR="00CB360C">
        <w:rPr>
          <w:vertAlign w:val="superscript"/>
        </w:rPr>
        <w:t>30</w:t>
      </w:r>
      <w:r w:rsidR="0057323A" w:rsidRPr="001B16D1">
        <w:rPr>
          <w:vertAlign w:val="superscript"/>
        </w:rPr>
        <w:fldChar w:fldCharType="end"/>
      </w:r>
      <w:r w:rsidR="0057323A" w:rsidRPr="001B16D1">
        <w:rPr>
          <w:vertAlign w:val="superscript"/>
        </w:rPr>
        <w:t xml:space="preserve"> </w:t>
      </w:r>
      <w:r w:rsidR="0057323A" w:rsidRPr="001B16D1">
        <w:t>This includes High-Level Meetings of the UN General Assembly on NCDs in 2011, 2014 and 2018</w:t>
      </w:r>
      <w:r w:rsidR="004553A1" w:rsidRPr="001B16D1">
        <w:t xml:space="preserve"> and a WHO global meeting to accelerate progress on NCDs and Mental Health in December 2019</w:t>
      </w:r>
      <w:r w:rsidR="004553A1" w:rsidRPr="001B16D1">
        <w:rPr>
          <w:vertAlign w:val="superscript"/>
        </w:rPr>
        <w:endnoteReference w:id="21"/>
      </w:r>
      <w:r w:rsidR="0057323A" w:rsidRPr="001B16D1">
        <w:rPr>
          <w:vertAlign w:val="superscript"/>
        </w:rPr>
        <w:t>.</w:t>
      </w:r>
      <w:r w:rsidR="0057323A" w:rsidRPr="001B16D1">
        <w:t xml:space="preserve"> A global Strategy on diet, physical activity and health had already been developed in 2004, with related recommendations on the marketing of foods and non-alcoholic beverages to children in 2010. </w:t>
      </w:r>
      <w:r w:rsidR="0057323A" w:rsidRPr="001B16D1">
        <w:rPr>
          <w:vertAlign w:val="superscript"/>
        </w:rPr>
        <w:endnoteReference w:id="22"/>
      </w:r>
      <w:r w:rsidR="0057323A" w:rsidRPr="001B16D1">
        <w:rPr>
          <w:vertAlign w:val="superscript"/>
        </w:rPr>
        <w:t>,</w:t>
      </w:r>
      <w:r w:rsidR="0057323A" w:rsidRPr="001B16D1">
        <w:rPr>
          <w:vertAlign w:val="superscript"/>
        </w:rPr>
        <w:endnoteReference w:id="23"/>
      </w:r>
      <w:r w:rsidR="0057323A" w:rsidRPr="001B16D1">
        <w:rPr>
          <w:vertAlign w:val="superscript"/>
        </w:rPr>
        <w:t xml:space="preserve"> </w:t>
      </w:r>
      <w:r w:rsidR="0057323A" w:rsidRPr="001B16D1">
        <w:t xml:space="preserve">Also, </w:t>
      </w:r>
      <w:r w:rsidR="00507C07" w:rsidRPr="001B16D1">
        <w:t>G</w:t>
      </w:r>
      <w:r w:rsidR="0057323A" w:rsidRPr="001B16D1">
        <w:t xml:space="preserve">lobal </w:t>
      </w:r>
      <w:r w:rsidR="00507C07" w:rsidRPr="001B16D1">
        <w:t xml:space="preserve">and </w:t>
      </w:r>
      <w:r w:rsidR="00AA1531" w:rsidRPr="001B16D1">
        <w:t>W</w:t>
      </w:r>
      <w:r w:rsidR="00507C07" w:rsidRPr="001B16D1">
        <w:t xml:space="preserve">HO Africa </w:t>
      </w:r>
      <w:r w:rsidR="0057323A" w:rsidRPr="001B16D1">
        <w:t>strateg</w:t>
      </w:r>
      <w:r w:rsidR="00AA1531" w:rsidRPr="001B16D1">
        <w:t>ies</w:t>
      </w:r>
      <w:r w:rsidR="0057323A" w:rsidRPr="001B16D1">
        <w:t xml:space="preserve"> on the harmful use of alcohol w</w:t>
      </w:r>
      <w:r w:rsidR="00AA1531" w:rsidRPr="001B16D1">
        <w:t>ere</w:t>
      </w:r>
      <w:r w:rsidR="0057323A" w:rsidRPr="001B16D1">
        <w:t xml:space="preserve"> developed in 2010.</w:t>
      </w:r>
      <w:r w:rsidR="0057323A" w:rsidRPr="001B16D1">
        <w:rPr>
          <w:vertAlign w:val="superscript"/>
        </w:rPr>
        <w:endnoteReference w:id="24"/>
      </w:r>
      <w:r w:rsidR="00507C07" w:rsidRPr="001B16D1">
        <w:rPr>
          <w:vertAlign w:val="superscript"/>
        </w:rPr>
        <w:t>,</w:t>
      </w:r>
      <w:r w:rsidR="00507C07" w:rsidRPr="001B16D1">
        <w:rPr>
          <w:vertAlign w:val="superscript"/>
        </w:rPr>
        <w:endnoteReference w:id="25"/>
      </w:r>
      <w:r w:rsidR="00AA1531" w:rsidRPr="001B16D1">
        <w:rPr>
          <w:vertAlign w:val="superscript"/>
        </w:rPr>
        <w:t xml:space="preserve"> </w:t>
      </w:r>
      <w:r w:rsidR="0057323A" w:rsidRPr="001B16D1">
        <w:t>A wider global action plan and monitoring framework for prevention and control of NCDs was developed in 2013 – replacing the previous global strategy.</w:t>
      </w:r>
      <w:r w:rsidR="0057323A" w:rsidRPr="001B16D1">
        <w:rPr>
          <w:vertAlign w:val="superscript"/>
        </w:rPr>
        <w:endnoteReference w:id="26"/>
      </w:r>
      <w:r w:rsidR="0057323A" w:rsidRPr="001B16D1">
        <w:t xml:space="preserve"> This global action plan focusses on the 4 key NCD conditions and 4 key modifiable shared risk factors or 4 x 4 agenda using a</w:t>
      </w:r>
      <w:r w:rsidR="0057323A" w:rsidRPr="00610088">
        <w:rPr>
          <w:lang w:val="en-GB"/>
        </w:rPr>
        <w:t xml:space="preserve"> </w:t>
      </w:r>
      <w:r w:rsidR="0057323A" w:rsidRPr="001B16D1">
        <w:lastRenderedPageBreak/>
        <w:t>multi sector approach involving not only the health sector but also finance, transport, education, agriculture, planning and other sectors. The global action plan aims for better NCD management in all aspects, including detection, screening, treatment and palliative care. The plan emphasizes the need to strengthen early detection and timely treatment, building on the realization that high impact essential NCD interventions through a primary health care approach can reduce the need for more expensive treatment. Several global initiatives focus on specific (sub-)risk factors. For example, there are specific initiatives for tobacco (</w:t>
      </w:r>
      <w:r w:rsidR="0078146D" w:rsidRPr="001B16D1">
        <w:t xml:space="preserve">WHO </w:t>
      </w:r>
      <w:r w:rsidR="0057323A" w:rsidRPr="001B16D1">
        <w:t>Framework Convention for Tobacco Control – FCTC)</w:t>
      </w:r>
      <w:r w:rsidR="00960686" w:rsidRPr="001B16D1">
        <w:t xml:space="preserve"> </w:t>
      </w:r>
      <w:r w:rsidR="004649FF" w:rsidRPr="001B16D1">
        <w:t xml:space="preserve">and salt reduction. </w:t>
      </w:r>
      <w:bookmarkStart w:id="37" w:name="_Ref17358585"/>
      <w:r w:rsidR="00960686" w:rsidRPr="001B16D1">
        <w:rPr>
          <w:vertAlign w:val="superscript"/>
        </w:rPr>
        <w:endnoteReference w:id="27"/>
      </w:r>
      <w:bookmarkEnd w:id="37"/>
      <w:r w:rsidR="004649FF" w:rsidRPr="001B16D1">
        <w:rPr>
          <w:vertAlign w:val="superscript"/>
        </w:rPr>
        <w:t>,</w:t>
      </w:r>
      <w:r w:rsidR="00E147A3" w:rsidRPr="001B16D1">
        <w:rPr>
          <w:vertAlign w:val="superscript"/>
        </w:rPr>
        <w:endnoteReference w:id="28"/>
      </w:r>
      <w:r w:rsidR="0057323A" w:rsidRPr="001B16D1">
        <w:t xml:space="preserve">. Global stakeholders developed global voluntary targets for NCDs in 2013 </w:t>
      </w:r>
      <w:bookmarkStart w:id="38" w:name="_Ref15411243"/>
      <w:r w:rsidR="0057323A" w:rsidRPr="001B16D1">
        <w:rPr>
          <w:vertAlign w:val="superscript"/>
        </w:rPr>
        <w:endnoteReference w:id="29"/>
      </w:r>
      <w:bookmarkEnd w:id="38"/>
      <w:r w:rsidR="0057323A" w:rsidRPr="001B16D1">
        <w:t xml:space="preserve">, see </w:t>
      </w:r>
      <w:r w:rsidR="0057323A" w:rsidRPr="001B16D1">
        <w:fldChar w:fldCharType="begin"/>
      </w:r>
      <w:r w:rsidR="0057323A" w:rsidRPr="001B16D1">
        <w:instrText xml:space="preserve"> REF _Ref15411341 \h </w:instrText>
      </w:r>
      <w:r w:rsidR="001B16D1">
        <w:instrText xml:space="preserve"> \* MERGEFORMAT </w:instrText>
      </w:r>
      <w:r w:rsidR="0057323A" w:rsidRPr="001B16D1">
        <w:fldChar w:fldCharType="separate"/>
      </w:r>
      <w:r w:rsidR="00CB360C">
        <w:t>Figure 3</w:t>
      </w:r>
      <w:r w:rsidR="0057323A" w:rsidRPr="001B16D1">
        <w:fldChar w:fldCharType="end"/>
      </w:r>
      <w:r w:rsidR="0057323A" w:rsidRPr="001B16D1">
        <w:t xml:space="preserve">. </w:t>
      </w:r>
    </w:p>
    <w:p w14:paraId="688A81B9" w14:textId="77777777" w:rsidR="003D477E" w:rsidRPr="00610088" w:rsidRDefault="003D477E" w:rsidP="0057323A">
      <w:pPr>
        <w:rPr>
          <w:lang w:val="en-GB"/>
        </w:rPr>
      </w:pPr>
    </w:p>
    <w:p w14:paraId="3294BF97" w14:textId="31C472E5" w:rsidR="0057323A" w:rsidRPr="00610088" w:rsidRDefault="0057323A" w:rsidP="00F1043E">
      <w:pPr>
        <w:pStyle w:val="Heading2"/>
        <w:rPr>
          <w:lang w:val="en-GB"/>
        </w:rPr>
      </w:pPr>
      <w:bookmarkStart w:id="39" w:name="_Toc41370541"/>
      <w:r w:rsidRPr="00610088">
        <w:rPr>
          <w:lang w:val="en-GB"/>
        </w:rPr>
        <w:t>NCD Agenda: 5 diseases x 5 modifiable shared risk factors</w:t>
      </w:r>
      <w:bookmarkEnd w:id="39"/>
    </w:p>
    <w:p w14:paraId="0F86DB60" w14:textId="342469AC" w:rsidR="0057323A" w:rsidRPr="00610088" w:rsidRDefault="0057323A" w:rsidP="0057323A">
      <w:pPr>
        <w:rPr>
          <w:lang w:val="en-GB"/>
        </w:rPr>
      </w:pPr>
    </w:p>
    <w:p w14:paraId="2C7AE9CB" w14:textId="0C02EA42" w:rsidR="0057323A" w:rsidRPr="00610088" w:rsidRDefault="003D477E" w:rsidP="001B16D1">
      <w:pPr>
        <w:rPr>
          <w:lang w:val="en-GB"/>
        </w:rPr>
      </w:pPr>
      <w:r w:rsidRPr="00610088">
        <w:rPr>
          <w:noProof/>
          <w:lang w:val="en-GB"/>
        </w:rPr>
        <mc:AlternateContent>
          <mc:Choice Requires="wps">
            <w:drawing>
              <wp:anchor distT="0" distB="0" distL="114300" distR="114300" simplePos="0" relativeHeight="251669504" behindDoc="1" locked="0" layoutInCell="1" allowOverlap="1" wp14:anchorId="434BC0F0" wp14:editId="16382B2C">
                <wp:simplePos x="0" y="0"/>
                <wp:positionH relativeFrom="column">
                  <wp:posOffset>2963545</wp:posOffset>
                </wp:positionH>
                <wp:positionV relativeFrom="paragraph">
                  <wp:posOffset>1323975</wp:posOffset>
                </wp:positionV>
                <wp:extent cx="2573020" cy="157480"/>
                <wp:effectExtent l="0" t="0" r="5080" b="0"/>
                <wp:wrapTight wrapText="bothSides">
                  <wp:wrapPolygon edited="0">
                    <wp:start x="0" y="0"/>
                    <wp:lineTo x="0" y="19161"/>
                    <wp:lineTo x="21536" y="19161"/>
                    <wp:lineTo x="2153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573020" cy="157480"/>
                        </a:xfrm>
                        <a:prstGeom prst="rect">
                          <a:avLst/>
                        </a:prstGeom>
                        <a:solidFill>
                          <a:prstClr val="white"/>
                        </a:solidFill>
                        <a:ln>
                          <a:noFill/>
                        </a:ln>
                      </wps:spPr>
                      <wps:txbx>
                        <w:txbxContent>
                          <w:p w14:paraId="24AF3216" w14:textId="6C86A432" w:rsidR="00504B06" w:rsidRPr="00DB4572" w:rsidRDefault="00504B06" w:rsidP="00477232">
                            <w:pPr>
                              <w:pStyle w:val="Caption"/>
                              <w:rPr>
                                <w:noProof/>
                                <w:sz w:val="22"/>
                                <w:lang w:val="en-GB"/>
                              </w:rPr>
                            </w:pPr>
                            <w:bookmarkStart w:id="40" w:name="_Ref17391875"/>
                            <w:bookmarkStart w:id="41" w:name="_Ref17391868"/>
                            <w:bookmarkStart w:id="42" w:name="_Toc34804975"/>
                            <w:r>
                              <w:t xml:space="preserve">Figure </w:t>
                            </w:r>
                            <w:fldSimple w:instr=" SEQ Figure \* ARABIC ">
                              <w:r>
                                <w:rPr>
                                  <w:noProof/>
                                </w:rPr>
                                <w:t>4</w:t>
                              </w:r>
                            </w:fldSimple>
                            <w:bookmarkEnd w:id="40"/>
                            <w:r>
                              <w:t>: 5x5 NCD Agenda</w:t>
                            </w:r>
                            <w:bookmarkEnd w:id="41"/>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BC0F0" id="Text Box 3" o:spid="_x0000_s1038" type="#_x0000_t202" style="position:absolute;margin-left:233.35pt;margin-top:104.25pt;width:202.6pt;height:1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" stroked="f">
                <v:textbox inset="0,0,0,0">
                  <w:txbxContent>
                    <w:p w14:paraId="24AF3216" w14:textId="6C86A432" w:rsidR="00504B06" w:rsidRPr="00DB4572" w:rsidRDefault="00504B06" w:rsidP="00477232">
                      <w:pPr>
                        <w:pStyle w:val="Caption"/>
                        <w:rPr>
                          <w:noProof/>
                          <w:sz w:val="22"/>
                          <w:lang w:val="en-GB"/>
                        </w:rPr>
                      </w:pPr>
                      <w:bookmarkStart w:id="43" w:name="_Ref17391875"/>
                      <w:bookmarkStart w:id="44" w:name="_Ref17391868"/>
                      <w:bookmarkStart w:id="45" w:name="_Toc34804975"/>
                      <w:r>
                        <w:t xml:space="preserve">Figure </w:t>
                      </w:r>
                      <w:fldSimple w:instr=" SEQ Figure \* ARABIC ">
                        <w:r>
                          <w:rPr>
                            <w:noProof/>
                          </w:rPr>
                          <w:t>4</w:t>
                        </w:r>
                      </w:fldSimple>
                      <w:bookmarkEnd w:id="43"/>
                      <w:r>
                        <w:t>: 5x5 NCD Agenda</w:t>
                      </w:r>
                      <w:bookmarkEnd w:id="44"/>
                      <w:bookmarkEnd w:id="45"/>
                    </w:p>
                  </w:txbxContent>
                </v:textbox>
                <w10:wrap type="tight"/>
              </v:shape>
            </w:pict>
          </mc:Fallback>
        </mc:AlternateContent>
      </w:r>
      <w:r w:rsidRPr="00610088">
        <w:rPr>
          <w:noProof/>
          <w:lang w:val="en-GB"/>
        </w:rPr>
        <mc:AlternateContent>
          <mc:Choice Requires="wps">
            <w:drawing>
              <wp:anchor distT="0" distB="0" distL="114300" distR="114300" simplePos="0" relativeHeight="251667456" behindDoc="1" locked="0" layoutInCell="1" allowOverlap="1" wp14:anchorId="771316AF" wp14:editId="5BD4E8AC">
                <wp:simplePos x="0" y="0"/>
                <wp:positionH relativeFrom="column">
                  <wp:posOffset>2924218</wp:posOffset>
                </wp:positionH>
                <wp:positionV relativeFrom="paragraph">
                  <wp:posOffset>346710</wp:posOffset>
                </wp:positionV>
                <wp:extent cx="2613025" cy="929640"/>
                <wp:effectExtent l="0" t="0" r="15875" b="10160"/>
                <wp:wrapTight wrapText="bothSides">
                  <wp:wrapPolygon edited="0">
                    <wp:start x="0" y="0"/>
                    <wp:lineTo x="0" y="21541"/>
                    <wp:lineTo x="21626" y="21541"/>
                    <wp:lineTo x="21626"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613025" cy="929640"/>
                        </a:xfrm>
                        <a:prstGeom prst="rect">
                          <a:avLst/>
                        </a:prstGeom>
                        <a:solidFill>
                          <a:schemeClr val="accent5">
                            <a:lumMod val="60000"/>
                            <a:lumOff val="40000"/>
                          </a:schemeClr>
                        </a:solidFill>
                        <a:ln w="6350">
                          <a:solidFill>
                            <a:prstClr val="black"/>
                          </a:solidFill>
                        </a:ln>
                      </wps:spPr>
                      <wps:txbx>
                        <w:txbxContent>
                          <w:p w14:paraId="7FE74221" w14:textId="77777777" w:rsidR="00504B06" w:rsidRPr="003D477E" w:rsidRDefault="00504B06" w:rsidP="00477232">
                            <w:pPr>
                              <w:rPr>
                                <w:b/>
                                <w:bCs/>
                                <w:sz w:val="18"/>
                                <w:szCs w:val="18"/>
                                <w:lang w:val="en-GB"/>
                              </w:rPr>
                            </w:pPr>
                            <w:r w:rsidRPr="003D477E">
                              <w:rPr>
                                <w:b/>
                                <w:bCs/>
                                <w:sz w:val="18"/>
                                <w:szCs w:val="18"/>
                                <w:lang w:val="en-GB"/>
                              </w:rPr>
                              <w:t>Diseases:</w:t>
                            </w:r>
                            <w:r w:rsidRPr="003D477E">
                              <w:rPr>
                                <w:sz w:val="18"/>
                                <w:szCs w:val="18"/>
                                <w:lang w:val="en-GB"/>
                              </w:rPr>
                              <w:tab/>
                            </w:r>
                            <w:r w:rsidRPr="003D477E">
                              <w:rPr>
                                <w:sz w:val="18"/>
                                <w:szCs w:val="18"/>
                                <w:lang w:val="en-GB"/>
                              </w:rPr>
                              <w:tab/>
                            </w:r>
                            <w:r w:rsidRPr="003D477E">
                              <w:rPr>
                                <w:sz w:val="18"/>
                                <w:szCs w:val="18"/>
                                <w:lang w:val="en-GB"/>
                              </w:rPr>
                              <w:tab/>
                            </w:r>
                            <w:r w:rsidRPr="003D477E">
                              <w:rPr>
                                <w:b/>
                                <w:bCs/>
                                <w:sz w:val="18"/>
                                <w:szCs w:val="18"/>
                                <w:lang w:val="en-GB"/>
                              </w:rPr>
                              <w:t>Risk factors:</w:t>
                            </w:r>
                          </w:p>
                          <w:p w14:paraId="4E603648" w14:textId="08891BD9" w:rsidR="00504B06" w:rsidRPr="003D477E" w:rsidRDefault="00504B06" w:rsidP="00477232">
                            <w:pPr>
                              <w:rPr>
                                <w:sz w:val="18"/>
                                <w:szCs w:val="18"/>
                                <w:lang w:val="en-GB"/>
                              </w:rPr>
                            </w:pPr>
                            <w:r w:rsidRPr="003D477E">
                              <w:rPr>
                                <w:sz w:val="18"/>
                                <w:szCs w:val="18"/>
                                <w:lang w:val="en-GB"/>
                              </w:rPr>
                              <w:t>Cardiovascular diseases</w:t>
                            </w:r>
                            <w:r w:rsidRPr="003D477E">
                              <w:rPr>
                                <w:sz w:val="18"/>
                                <w:szCs w:val="18"/>
                                <w:lang w:val="en-GB"/>
                              </w:rPr>
                              <w:tab/>
                              <w:t xml:space="preserve">Unhealthy diet </w:t>
                            </w:r>
                          </w:p>
                          <w:p w14:paraId="4AFA3FB4" w14:textId="39382691" w:rsidR="00504B06" w:rsidRPr="003D477E" w:rsidRDefault="00504B06" w:rsidP="00477232">
                            <w:pPr>
                              <w:rPr>
                                <w:sz w:val="18"/>
                                <w:szCs w:val="18"/>
                                <w:lang w:val="en-GB"/>
                              </w:rPr>
                            </w:pPr>
                            <w:r w:rsidRPr="003D477E">
                              <w:rPr>
                                <w:sz w:val="18"/>
                                <w:szCs w:val="18"/>
                                <w:lang w:val="en-GB"/>
                              </w:rPr>
                              <w:t>Chronic respiratory diseases</w:t>
                            </w:r>
                            <w:r w:rsidRPr="003D477E">
                              <w:rPr>
                                <w:sz w:val="18"/>
                                <w:szCs w:val="18"/>
                                <w:lang w:val="en-GB"/>
                              </w:rPr>
                              <w:tab/>
                              <w:t>Tobacco use</w:t>
                            </w:r>
                          </w:p>
                          <w:p w14:paraId="76D81036" w14:textId="0EFE1745" w:rsidR="00504B06" w:rsidRPr="003D477E" w:rsidRDefault="00504B06" w:rsidP="00477232">
                            <w:pPr>
                              <w:rPr>
                                <w:sz w:val="18"/>
                                <w:szCs w:val="18"/>
                                <w:lang w:val="en-GB"/>
                              </w:rPr>
                            </w:pPr>
                            <w:r w:rsidRPr="003D477E">
                              <w:rPr>
                                <w:sz w:val="18"/>
                                <w:szCs w:val="18"/>
                                <w:lang w:val="en-GB"/>
                              </w:rPr>
                              <w:t>Cancer</w:t>
                            </w:r>
                            <w:r w:rsidRPr="003D477E">
                              <w:rPr>
                                <w:sz w:val="18"/>
                                <w:szCs w:val="18"/>
                                <w:lang w:val="en-GB"/>
                              </w:rPr>
                              <w:tab/>
                            </w:r>
                            <w:r w:rsidRPr="003D477E">
                              <w:rPr>
                                <w:sz w:val="18"/>
                                <w:szCs w:val="18"/>
                                <w:lang w:val="en-GB"/>
                              </w:rPr>
                              <w:tab/>
                            </w:r>
                            <w:r w:rsidRPr="003D477E">
                              <w:rPr>
                                <w:sz w:val="18"/>
                                <w:szCs w:val="18"/>
                                <w:lang w:val="en-GB"/>
                              </w:rPr>
                              <w:tab/>
                              <w:t>Harmful use of alcohol</w:t>
                            </w:r>
                          </w:p>
                          <w:p w14:paraId="03CF0E0E" w14:textId="424A5FA9" w:rsidR="00504B06" w:rsidRPr="003D477E" w:rsidRDefault="00504B06" w:rsidP="00477232">
                            <w:pPr>
                              <w:rPr>
                                <w:sz w:val="18"/>
                                <w:szCs w:val="18"/>
                                <w:lang w:val="en-GB"/>
                              </w:rPr>
                            </w:pPr>
                            <w:r w:rsidRPr="003D477E">
                              <w:rPr>
                                <w:sz w:val="18"/>
                                <w:szCs w:val="18"/>
                                <w:lang w:val="en-GB"/>
                              </w:rPr>
                              <w:t>Diabetes</w:t>
                            </w:r>
                            <w:r w:rsidRPr="003D477E">
                              <w:rPr>
                                <w:sz w:val="18"/>
                                <w:szCs w:val="18"/>
                                <w:lang w:val="en-GB"/>
                              </w:rPr>
                              <w:tab/>
                            </w:r>
                            <w:r w:rsidRPr="003D477E">
                              <w:rPr>
                                <w:sz w:val="18"/>
                                <w:szCs w:val="18"/>
                                <w:lang w:val="en-GB"/>
                              </w:rPr>
                              <w:tab/>
                            </w:r>
                            <w:r w:rsidRPr="003D477E">
                              <w:rPr>
                                <w:sz w:val="18"/>
                                <w:szCs w:val="18"/>
                                <w:lang w:val="en-GB"/>
                              </w:rPr>
                              <w:tab/>
                              <w:t>Physical inactivity</w:t>
                            </w:r>
                            <w:r w:rsidRPr="003D477E">
                              <w:rPr>
                                <w:sz w:val="18"/>
                                <w:szCs w:val="18"/>
                                <w:lang w:val="en-GB"/>
                              </w:rPr>
                              <w:tab/>
                            </w:r>
                          </w:p>
                          <w:p w14:paraId="57C69A8B" w14:textId="3A44BA20" w:rsidR="00504B06" w:rsidRPr="003D477E" w:rsidRDefault="00504B06" w:rsidP="00477232">
                            <w:pPr>
                              <w:rPr>
                                <w:i/>
                                <w:iCs/>
                                <w:sz w:val="18"/>
                                <w:szCs w:val="18"/>
                                <w:lang w:val="en-GB"/>
                              </w:rPr>
                            </w:pPr>
                            <w:r w:rsidRPr="003D477E">
                              <w:rPr>
                                <w:i/>
                                <w:iCs/>
                                <w:sz w:val="18"/>
                                <w:szCs w:val="18"/>
                                <w:lang w:val="en-GB"/>
                              </w:rPr>
                              <w:t>Mental Health</w:t>
                            </w:r>
                            <w:r w:rsidRPr="003D477E">
                              <w:rPr>
                                <w:i/>
                                <w:iCs/>
                                <w:sz w:val="18"/>
                                <w:szCs w:val="18"/>
                                <w:lang w:val="en-GB"/>
                              </w:rPr>
                              <w:tab/>
                            </w:r>
                            <w:r w:rsidRPr="003D477E">
                              <w:rPr>
                                <w:sz w:val="18"/>
                                <w:szCs w:val="18"/>
                                <w:lang w:val="en-GB"/>
                              </w:rPr>
                              <w:tab/>
                            </w:r>
                            <w:r w:rsidRPr="003D477E">
                              <w:rPr>
                                <w:i/>
                                <w:iCs/>
                                <w:sz w:val="18"/>
                                <w:szCs w:val="18"/>
                                <w:lang w:val="en-GB"/>
                              </w:rPr>
                              <w:t>Air pollution</w:t>
                            </w:r>
                          </w:p>
                          <w:p w14:paraId="6E1FFA37" w14:textId="5BCF10DB" w:rsidR="00504B06" w:rsidRPr="003D477E" w:rsidRDefault="00504B06" w:rsidP="00477232">
                            <w:pPr>
                              <w:rPr>
                                <w:i/>
                                <w:iCs/>
                                <w:sz w:val="18"/>
                                <w:szCs w:val="18"/>
                                <w:lang w:val="en-GB"/>
                              </w:rPr>
                            </w:pPr>
                          </w:p>
                          <w:p w14:paraId="31C68B95" w14:textId="28E5ADCB" w:rsidR="00504B06" w:rsidRPr="003D477E" w:rsidRDefault="00504B06" w:rsidP="00477232">
                            <w:pPr>
                              <w:rPr>
                                <w:sz w:val="18"/>
                                <w:szCs w:val="18"/>
                                <w:lang w:val="en-GB"/>
                              </w:rPr>
                            </w:pPr>
                          </w:p>
                          <w:p w14:paraId="0E491659" w14:textId="77777777" w:rsidR="00504B06" w:rsidRPr="003D477E" w:rsidRDefault="00504B06" w:rsidP="00477232">
                            <w:pPr>
                              <w:rPr>
                                <w:sz w:val="18"/>
                                <w:szCs w:val="18"/>
                                <w:lang w:val="en-GB"/>
                              </w:rPr>
                            </w:pPr>
                          </w:p>
                          <w:p w14:paraId="4B8A9ED6" w14:textId="31473A00" w:rsidR="00504B06" w:rsidRPr="003D477E" w:rsidRDefault="00504B06" w:rsidP="00477232">
                            <w:pPr>
                              <w:rPr>
                                <w:sz w:val="18"/>
                                <w:szCs w:val="18"/>
                                <w:lang w:val="en-GB"/>
                              </w:rPr>
                            </w:pPr>
                            <w:r w:rsidRPr="003D477E">
                              <w:rPr>
                                <w:sz w:val="18"/>
                                <w:szCs w:val="18"/>
                                <w:lang w:val="en-GB"/>
                              </w:rPr>
                              <w:t>Mental disorders</w:t>
                            </w:r>
                            <w:r w:rsidRPr="003D477E">
                              <w:rPr>
                                <w:sz w:val="18"/>
                                <w:szCs w:val="18"/>
                                <w:lang w:val="en-GB"/>
                              </w:rPr>
                              <w:tab/>
                            </w:r>
                            <w:r w:rsidRPr="003D477E">
                              <w:rPr>
                                <w:sz w:val="18"/>
                                <w:szCs w:val="18"/>
                                <w:lang w:val="en-GB"/>
                              </w:rPr>
                              <w:tab/>
                              <w:t>Air pollution</w:t>
                            </w:r>
                          </w:p>
                          <w:p w14:paraId="5C0F3F72" w14:textId="77777777" w:rsidR="00504B06" w:rsidRPr="003D477E" w:rsidRDefault="00504B06" w:rsidP="0047723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316AF" id="Text Box 13" o:spid="_x0000_s1039" type="#_x0000_t202" style="position:absolute;margin-left:230.25pt;margin-top:27.3pt;width:205.75pt;height:7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" fillcolor="#9cc2e5 [1944]" strokeweight=".5pt">
                <v:textbox>
                  <w:txbxContent>
                    <w:p w14:paraId="7FE74221" w14:textId="77777777" w:rsidR="00504B06" w:rsidRPr="003D477E" w:rsidRDefault="00504B06" w:rsidP="00477232">
                      <w:pPr>
                        <w:rPr>
                          <w:b/>
                          <w:bCs/>
                          <w:sz w:val="18"/>
                          <w:szCs w:val="18"/>
                          <w:lang w:val="en-GB"/>
                        </w:rPr>
                      </w:pPr>
                      <w:r w:rsidRPr="003D477E">
                        <w:rPr>
                          <w:b/>
                          <w:bCs/>
                          <w:sz w:val="18"/>
                          <w:szCs w:val="18"/>
                          <w:lang w:val="en-GB"/>
                        </w:rPr>
                        <w:t>Diseases:</w:t>
                      </w:r>
                      <w:r w:rsidRPr="003D477E">
                        <w:rPr>
                          <w:sz w:val="18"/>
                          <w:szCs w:val="18"/>
                          <w:lang w:val="en-GB"/>
                        </w:rPr>
                        <w:tab/>
                      </w:r>
                      <w:r w:rsidRPr="003D477E">
                        <w:rPr>
                          <w:sz w:val="18"/>
                          <w:szCs w:val="18"/>
                          <w:lang w:val="en-GB"/>
                        </w:rPr>
                        <w:tab/>
                      </w:r>
                      <w:r w:rsidRPr="003D477E">
                        <w:rPr>
                          <w:sz w:val="18"/>
                          <w:szCs w:val="18"/>
                          <w:lang w:val="en-GB"/>
                        </w:rPr>
                        <w:tab/>
                      </w:r>
                      <w:r w:rsidRPr="003D477E">
                        <w:rPr>
                          <w:b/>
                          <w:bCs/>
                          <w:sz w:val="18"/>
                          <w:szCs w:val="18"/>
                          <w:lang w:val="en-GB"/>
                        </w:rPr>
                        <w:t>Risk factors:</w:t>
                      </w:r>
                    </w:p>
                    <w:p w14:paraId="4E603648" w14:textId="08891BD9" w:rsidR="00504B06" w:rsidRPr="003D477E" w:rsidRDefault="00504B06" w:rsidP="00477232">
                      <w:pPr>
                        <w:rPr>
                          <w:sz w:val="18"/>
                          <w:szCs w:val="18"/>
                          <w:lang w:val="en-GB"/>
                        </w:rPr>
                      </w:pPr>
                      <w:r w:rsidRPr="003D477E">
                        <w:rPr>
                          <w:sz w:val="18"/>
                          <w:szCs w:val="18"/>
                          <w:lang w:val="en-GB"/>
                        </w:rPr>
                        <w:t>Cardiovascular diseases</w:t>
                      </w:r>
                      <w:r w:rsidRPr="003D477E">
                        <w:rPr>
                          <w:sz w:val="18"/>
                          <w:szCs w:val="18"/>
                          <w:lang w:val="en-GB"/>
                        </w:rPr>
                        <w:tab/>
                        <w:t xml:space="preserve">Unhealthy diet </w:t>
                      </w:r>
                    </w:p>
                    <w:p w14:paraId="4AFA3FB4" w14:textId="39382691" w:rsidR="00504B06" w:rsidRPr="003D477E" w:rsidRDefault="00504B06" w:rsidP="00477232">
                      <w:pPr>
                        <w:rPr>
                          <w:sz w:val="18"/>
                          <w:szCs w:val="18"/>
                          <w:lang w:val="en-GB"/>
                        </w:rPr>
                      </w:pPr>
                      <w:r w:rsidRPr="003D477E">
                        <w:rPr>
                          <w:sz w:val="18"/>
                          <w:szCs w:val="18"/>
                          <w:lang w:val="en-GB"/>
                        </w:rPr>
                        <w:t>Chronic respiratory diseases</w:t>
                      </w:r>
                      <w:r w:rsidRPr="003D477E">
                        <w:rPr>
                          <w:sz w:val="18"/>
                          <w:szCs w:val="18"/>
                          <w:lang w:val="en-GB"/>
                        </w:rPr>
                        <w:tab/>
                        <w:t>Tobacco use</w:t>
                      </w:r>
                    </w:p>
                    <w:p w14:paraId="76D81036" w14:textId="0EFE1745" w:rsidR="00504B06" w:rsidRPr="003D477E" w:rsidRDefault="00504B06" w:rsidP="00477232">
                      <w:pPr>
                        <w:rPr>
                          <w:sz w:val="18"/>
                          <w:szCs w:val="18"/>
                          <w:lang w:val="en-GB"/>
                        </w:rPr>
                      </w:pPr>
                      <w:r w:rsidRPr="003D477E">
                        <w:rPr>
                          <w:sz w:val="18"/>
                          <w:szCs w:val="18"/>
                          <w:lang w:val="en-GB"/>
                        </w:rPr>
                        <w:t>Cancer</w:t>
                      </w:r>
                      <w:r w:rsidRPr="003D477E">
                        <w:rPr>
                          <w:sz w:val="18"/>
                          <w:szCs w:val="18"/>
                          <w:lang w:val="en-GB"/>
                        </w:rPr>
                        <w:tab/>
                      </w:r>
                      <w:r w:rsidRPr="003D477E">
                        <w:rPr>
                          <w:sz w:val="18"/>
                          <w:szCs w:val="18"/>
                          <w:lang w:val="en-GB"/>
                        </w:rPr>
                        <w:tab/>
                      </w:r>
                      <w:r w:rsidRPr="003D477E">
                        <w:rPr>
                          <w:sz w:val="18"/>
                          <w:szCs w:val="18"/>
                          <w:lang w:val="en-GB"/>
                        </w:rPr>
                        <w:tab/>
                        <w:t>Harmful use of alcohol</w:t>
                      </w:r>
                    </w:p>
                    <w:p w14:paraId="03CF0E0E" w14:textId="424A5FA9" w:rsidR="00504B06" w:rsidRPr="003D477E" w:rsidRDefault="00504B06" w:rsidP="00477232">
                      <w:pPr>
                        <w:rPr>
                          <w:sz w:val="18"/>
                          <w:szCs w:val="18"/>
                          <w:lang w:val="en-GB"/>
                        </w:rPr>
                      </w:pPr>
                      <w:r w:rsidRPr="003D477E">
                        <w:rPr>
                          <w:sz w:val="18"/>
                          <w:szCs w:val="18"/>
                          <w:lang w:val="en-GB"/>
                        </w:rPr>
                        <w:t>Diabetes</w:t>
                      </w:r>
                      <w:r w:rsidRPr="003D477E">
                        <w:rPr>
                          <w:sz w:val="18"/>
                          <w:szCs w:val="18"/>
                          <w:lang w:val="en-GB"/>
                        </w:rPr>
                        <w:tab/>
                      </w:r>
                      <w:r w:rsidRPr="003D477E">
                        <w:rPr>
                          <w:sz w:val="18"/>
                          <w:szCs w:val="18"/>
                          <w:lang w:val="en-GB"/>
                        </w:rPr>
                        <w:tab/>
                      </w:r>
                      <w:r w:rsidRPr="003D477E">
                        <w:rPr>
                          <w:sz w:val="18"/>
                          <w:szCs w:val="18"/>
                          <w:lang w:val="en-GB"/>
                        </w:rPr>
                        <w:tab/>
                        <w:t>Physical inactivity</w:t>
                      </w:r>
                      <w:r w:rsidRPr="003D477E">
                        <w:rPr>
                          <w:sz w:val="18"/>
                          <w:szCs w:val="18"/>
                          <w:lang w:val="en-GB"/>
                        </w:rPr>
                        <w:tab/>
                      </w:r>
                    </w:p>
                    <w:p w14:paraId="57C69A8B" w14:textId="3A44BA20" w:rsidR="00504B06" w:rsidRPr="003D477E" w:rsidRDefault="00504B06" w:rsidP="00477232">
                      <w:pPr>
                        <w:rPr>
                          <w:i/>
                          <w:iCs/>
                          <w:sz w:val="18"/>
                          <w:szCs w:val="18"/>
                          <w:lang w:val="en-GB"/>
                        </w:rPr>
                      </w:pPr>
                      <w:r w:rsidRPr="003D477E">
                        <w:rPr>
                          <w:i/>
                          <w:iCs/>
                          <w:sz w:val="18"/>
                          <w:szCs w:val="18"/>
                          <w:lang w:val="en-GB"/>
                        </w:rPr>
                        <w:t>Mental Health</w:t>
                      </w:r>
                      <w:r w:rsidRPr="003D477E">
                        <w:rPr>
                          <w:i/>
                          <w:iCs/>
                          <w:sz w:val="18"/>
                          <w:szCs w:val="18"/>
                          <w:lang w:val="en-GB"/>
                        </w:rPr>
                        <w:tab/>
                      </w:r>
                      <w:r w:rsidRPr="003D477E">
                        <w:rPr>
                          <w:sz w:val="18"/>
                          <w:szCs w:val="18"/>
                          <w:lang w:val="en-GB"/>
                        </w:rPr>
                        <w:tab/>
                      </w:r>
                      <w:r w:rsidRPr="003D477E">
                        <w:rPr>
                          <w:i/>
                          <w:iCs/>
                          <w:sz w:val="18"/>
                          <w:szCs w:val="18"/>
                          <w:lang w:val="en-GB"/>
                        </w:rPr>
                        <w:t>Air pollution</w:t>
                      </w:r>
                    </w:p>
                    <w:p w14:paraId="6E1FFA37" w14:textId="5BCF10DB" w:rsidR="00504B06" w:rsidRPr="003D477E" w:rsidRDefault="00504B06" w:rsidP="00477232">
                      <w:pPr>
                        <w:rPr>
                          <w:i/>
                          <w:iCs/>
                          <w:sz w:val="18"/>
                          <w:szCs w:val="18"/>
                          <w:lang w:val="en-GB"/>
                        </w:rPr>
                      </w:pPr>
                    </w:p>
                    <w:p w14:paraId="31C68B95" w14:textId="28E5ADCB" w:rsidR="00504B06" w:rsidRPr="003D477E" w:rsidRDefault="00504B06" w:rsidP="00477232">
                      <w:pPr>
                        <w:rPr>
                          <w:sz w:val="18"/>
                          <w:szCs w:val="18"/>
                          <w:lang w:val="en-GB"/>
                        </w:rPr>
                      </w:pPr>
                    </w:p>
                    <w:p w14:paraId="0E491659" w14:textId="77777777" w:rsidR="00504B06" w:rsidRPr="003D477E" w:rsidRDefault="00504B06" w:rsidP="00477232">
                      <w:pPr>
                        <w:rPr>
                          <w:sz w:val="18"/>
                          <w:szCs w:val="18"/>
                          <w:lang w:val="en-GB"/>
                        </w:rPr>
                      </w:pPr>
                    </w:p>
                    <w:p w14:paraId="4B8A9ED6" w14:textId="31473A00" w:rsidR="00504B06" w:rsidRPr="003D477E" w:rsidRDefault="00504B06" w:rsidP="00477232">
                      <w:pPr>
                        <w:rPr>
                          <w:sz w:val="18"/>
                          <w:szCs w:val="18"/>
                          <w:lang w:val="en-GB"/>
                        </w:rPr>
                      </w:pPr>
                      <w:r w:rsidRPr="003D477E">
                        <w:rPr>
                          <w:sz w:val="18"/>
                          <w:szCs w:val="18"/>
                          <w:lang w:val="en-GB"/>
                        </w:rPr>
                        <w:t>Mental disorders</w:t>
                      </w:r>
                      <w:r w:rsidRPr="003D477E">
                        <w:rPr>
                          <w:sz w:val="18"/>
                          <w:szCs w:val="18"/>
                          <w:lang w:val="en-GB"/>
                        </w:rPr>
                        <w:tab/>
                      </w:r>
                      <w:r w:rsidRPr="003D477E">
                        <w:rPr>
                          <w:sz w:val="18"/>
                          <w:szCs w:val="18"/>
                          <w:lang w:val="en-GB"/>
                        </w:rPr>
                        <w:tab/>
                        <w:t>Air pollution</w:t>
                      </w:r>
                    </w:p>
                    <w:p w14:paraId="5C0F3F72" w14:textId="77777777" w:rsidR="00504B06" w:rsidRPr="003D477E" w:rsidRDefault="00504B06" w:rsidP="00477232">
                      <w:pPr>
                        <w:rPr>
                          <w:sz w:val="18"/>
                          <w:szCs w:val="18"/>
                        </w:rPr>
                      </w:pPr>
                    </w:p>
                  </w:txbxContent>
                </v:textbox>
                <w10:wrap type="tight"/>
              </v:shape>
            </w:pict>
          </mc:Fallback>
        </mc:AlternateContent>
      </w:r>
      <w:r w:rsidR="0057323A" w:rsidRPr="00610088">
        <w:rPr>
          <w:lang w:val="en-GB"/>
        </w:rPr>
        <w:t>The recent UN high level meeting transformed the 4 x 4 agenda of 4 key conditions and 4 key modifiable shared risk factors into a 5 x 5 agenda, including air pollution as a risk factor and mental health as disease</w:t>
      </w:r>
      <w:bookmarkStart w:id="46" w:name="_Ref15409079"/>
      <w:r w:rsidR="0057323A" w:rsidRPr="00610088">
        <w:rPr>
          <w:rStyle w:val="EndnoteReference"/>
          <w:sz w:val="20"/>
          <w:szCs w:val="20"/>
          <w:lang w:val="en-GB"/>
        </w:rPr>
        <w:endnoteReference w:id="30"/>
      </w:r>
      <w:bookmarkEnd w:id="46"/>
      <w:r w:rsidR="0057323A" w:rsidRPr="00610088">
        <w:rPr>
          <w:lang w:val="en-GB"/>
        </w:rPr>
        <w:t>, see</w:t>
      </w:r>
      <w:r w:rsidR="00477232" w:rsidRPr="00610088">
        <w:rPr>
          <w:lang w:val="en-GB"/>
        </w:rPr>
        <w:t xml:space="preserve"> </w:t>
      </w:r>
      <w:r w:rsidR="00477232" w:rsidRPr="00610088">
        <w:rPr>
          <w:lang w:val="en-GB"/>
        </w:rPr>
        <w:fldChar w:fldCharType="begin"/>
      </w:r>
      <w:r w:rsidR="00477232" w:rsidRPr="00610088">
        <w:rPr>
          <w:lang w:val="en-GB"/>
        </w:rPr>
        <w:instrText xml:space="preserve"> REF _Ref17391875 \h </w:instrText>
      </w:r>
      <w:r w:rsidR="0031704D">
        <w:rPr>
          <w:lang w:val="en-GB"/>
        </w:rPr>
        <w:instrText xml:space="preserve"> \* MERGEFORMAT </w:instrText>
      </w:r>
      <w:r w:rsidR="00477232" w:rsidRPr="00610088">
        <w:rPr>
          <w:lang w:val="en-GB"/>
        </w:rPr>
      </w:r>
      <w:r w:rsidR="00477232" w:rsidRPr="00610088">
        <w:rPr>
          <w:lang w:val="en-GB"/>
        </w:rPr>
        <w:fldChar w:fldCharType="separate"/>
      </w:r>
      <w:r w:rsidR="00CB360C" w:rsidRPr="00CB360C">
        <w:rPr>
          <w:lang w:val="en-GB"/>
        </w:rPr>
        <w:t xml:space="preserve">Figure </w:t>
      </w:r>
      <w:r w:rsidR="00CB360C" w:rsidRPr="00CB360C">
        <w:rPr>
          <w:noProof/>
          <w:lang w:val="en-GB"/>
        </w:rPr>
        <w:t>4</w:t>
      </w:r>
      <w:r w:rsidR="00477232" w:rsidRPr="00610088">
        <w:rPr>
          <w:lang w:val="en-GB"/>
        </w:rPr>
        <w:fldChar w:fldCharType="end"/>
      </w:r>
      <w:r w:rsidR="00477232" w:rsidRPr="00610088">
        <w:rPr>
          <w:lang w:val="en-GB"/>
        </w:rPr>
        <w:t xml:space="preserve">. </w:t>
      </w:r>
      <w:r w:rsidR="0057323A" w:rsidRPr="00610088">
        <w:rPr>
          <w:lang w:val="en-GB"/>
        </w:rPr>
        <w:t xml:space="preserve">The key conditions further include:  Cardiovascular diseases, Chronic respiratory diseases, Cancer and Diabetes. </w:t>
      </w:r>
      <w:r w:rsidR="00477232" w:rsidRPr="00610088">
        <w:rPr>
          <w:lang w:val="en-GB"/>
        </w:rPr>
        <w:t>R</w:t>
      </w:r>
      <w:r w:rsidR="0057323A" w:rsidRPr="00610088">
        <w:rPr>
          <w:lang w:val="en-GB"/>
        </w:rPr>
        <w:t>isk factors of NCDs include the 5 key modifiable behaviours (tobacco use, physical inactivity, harmful use of alcohol, unhealthy diets</w:t>
      </w:r>
      <w:r w:rsidR="00AF6AF2" w:rsidRPr="00610088">
        <w:rPr>
          <w:lang w:val="en-GB"/>
        </w:rPr>
        <w:t xml:space="preserve">, </w:t>
      </w:r>
      <w:r w:rsidR="0057323A" w:rsidRPr="00610088">
        <w:rPr>
          <w:lang w:val="en-GB"/>
        </w:rPr>
        <w:t>air pollution and underlying determinants) but also 4 key metabolic risks (raised blood pressure, overweight/obesity, hyperglycaemia and hyperlipidaemia) and underlying determinants. The leading metabolic risk factor globally is elevated blood pressure - to which 19% of global deaths are attributed-followed by overweight/obesity and raised blood glucose.</w:t>
      </w:r>
    </w:p>
    <w:p w14:paraId="0267D695" w14:textId="77777777" w:rsidR="0057323A" w:rsidRPr="00610088" w:rsidRDefault="0057323A" w:rsidP="0031704D">
      <w:pPr>
        <w:rPr>
          <w:lang w:val="en-GB"/>
        </w:rPr>
      </w:pPr>
    </w:p>
    <w:p w14:paraId="649FD0B1" w14:textId="4D60E424" w:rsidR="0057323A" w:rsidRDefault="0057323A" w:rsidP="001B16D1">
      <w:pPr>
        <w:rPr>
          <w:lang w:val="en-GB"/>
        </w:rPr>
      </w:pPr>
      <w:r w:rsidRPr="00610088">
        <w:rPr>
          <w:lang w:val="en-GB"/>
        </w:rPr>
        <w:t xml:space="preserve">Other determinants for NCDs include socio-economic, cultural and other factors including life-style related factors, biological and chemical hazards, physical and built environments including dangerous work places, unplanned urbanization, limited regulation of tobacco, food and beverage industries, unregulated driving under the influence of alcohol and drugs, use of mobile phones when driving and poor road conditions and network. </w:t>
      </w:r>
    </w:p>
    <w:p w14:paraId="191D21AE" w14:textId="77777777" w:rsidR="001B16D1" w:rsidRPr="00610088" w:rsidRDefault="001B16D1" w:rsidP="001B16D1">
      <w:pPr>
        <w:rPr>
          <w:lang w:val="en-GB"/>
        </w:rPr>
      </w:pPr>
    </w:p>
    <w:p w14:paraId="02847166" w14:textId="77777777" w:rsidR="0057323A" w:rsidRPr="00610088" w:rsidRDefault="0057323A" w:rsidP="00F1043E">
      <w:pPr>
        <w:pStyle w:val="Heading3"/>
        <w:rPr>
          <w:lang w:val="en-GB"/>
        </w:rPr>
      </w:pPr>
      <w:bookmarkStart w:id="47" w:name="_Ref16767635"/>
      <w:bookmarkStart w:id="48" w:name="_Toc41370542"/>
      <w:r w:rsidRPr="00610088">
        <w:rPr>
          <w:lang w:val="en-GB"/>
        </w:rPr>
        <w:t>Recommended interventions</w:t>
      </w:r>
      <w:bookmarkEnd w:id="47"/>
      <w:bookmarkEnd w:id="48"/>
    </w:p>
    <w:p w14:paraId="7DABFB8A" w14:textId="55147203" w:rsidR="000E6AA4" w:rsidRPr="00610088" w:rsidRDefault="0057323A" w:rsidP="001B16D1">
      <w:pPr>
        <w:rPr>
          <w:highlight w:val="yellow"/>
          <w:lang w:val="en-GB"/>
        </w:rPr>
      </w:pPr>
      <w:r w:rsidRPr="00610088">
        <w:rPr>
          <w:lang w:val="en-GB"/>
        </w:rPr>
        <w:t xml:space="preserve">Global stakeholders have developed several intervention and recommendation packages, especially a package of “best buys” and the WHO Package of Essential Noncommunicable (PEN) disease </w:t>
      </w:r>
      <w:r w:rsidR="008B377C" w:rsidRPr="00610088">
        <w:rPr>
          <w:lang w:val="en-GB"/>
        </w:rPr>
        <w:t>in</w:t>
      </w:r>
      <w:r w:rsidRPr="00610088">
        <w:rPr>
          <w:lang w:val="en-GB"/>
        </w:rPr>
        <w:t>terventions for primary health care in low-resource settings.</w:t>
      </w:r>
      <w:r w:rsidRPr="00610088">
        <w:rPr>
          <w:rStyle w:val="EndnoteReference"/>
          <w:sz w:val="20"/>
          <w:szCs w:val="20"/>
          <w:lang w:val="en-GB"/>
        </w:rPr>
        <w:endnoteReference w:id="31"/>
      </w:r>
      <w:r w:rsidRPr="00610088">
        <w:rPr>
          <w:vertAlign w:val="superscript"/>
          <w:lang w:val="en-GB"/>
        </w:rPr>
        <w:t xml:space="preserve">, </w:t>
      </w:r>
      <w:bookmarkStart w:id="49" w:name="_Ref15419966"/>
      <w:r w:rsidRPr="00610088">
        <w:rPr>
          <w:rStyle w:val="EndnoteReference"/>
          <w:sz w:val="20"/>
          <w:szCs w:val="20"/>
          <w:lang w:val="en-GB"/>
        </w:rPr>
        <w:endnoteReference w:id="32"/>
      </w:r>
      <w:bookmarkEnd w:id="49"/>
      <w:r w:rsidRPr="00610088">
        <w:rPr>
          <w:vertAlign w:val="superscript"/>
          <w:lang w:val="en-GB"/>
        </w:rPr>
        <w:t xml:space="preserve">  </w:t>
      </w:r>
      <w:r w:rsidRPr="00610088">
        <w:rPr>
          <w:lang w:val="en-GB"/>
        </w:rPr>
        <w:t xml:space="preserve">The “best buys” are a package of 16 interventions </w:t>
      </w:r>
      <w:r w:rsidR="0078146D" w:rsidRPr="00610088">
        <w:rPr>
          <w:lang w:val="en-GB"/>
        </w:rPr>
        <w:t xml:space="preserve">that </w:t>
      </w:r>
      <w:r w:rsidRPr="00610088">
        <w:rPr>
          <w:lang w:val="en-GB"/>
        </w:rPr>
        <w:t>are cost-effective, affordable, feasible and scalable in all settings, see</w:t>
      </w:r>
      <w:r w:rsidR="008B377C" w:rsidRPr="00610088">
        <w:rPr>
          <w:lang w:val="en-GB"/>
        </w:rPr>
        <w:t xml:space="preserve"> </w:t>
      </w:r>
      <w:r w:rsidR="008B377C" w:rsidRPr="00610088">
        <w:rPr>
          <w:lang w:val="en-GB"/>
        </w:rPr>
        <w:fldChar w:fldCharType="begin"/>
      </w:r>
      <w:r w:rsidR="008B377C" w:rsidRPr="00610088">
        <w:rPr>
          <w:lang w:val="en-GB"/>
        </w:rPr>
        <w:instrText xml:space="preserve"> REF _Ref15418492 \h  \* MERGEFORMAT </w:instrText>
      </w:r>
      <w:r w:rsidR="008B377C" w:rsidRPr="00610088">
        <w:rPr>
          <w:lang w:val="en-GB"/>
        </w:rPr>
      </w:r>
      <w:r w:rsidR="008B377C" w:rsidRPr="00610088">
        <w:rPr>
          <w:lang w:val="en-GB"/>
        </w:rPr>
        <w:fldChar w:fldCharType="separate"/>
      </w:r>
      <w:r w:rsidR="00CB360C" w:rsidRPr="00CB360C">
        <w:rPr>
          <w:lang w:val="en-GB"/>
        </w:rPr>
        <w:t>Table 2</w:t>
      </w:r>
      <w:r w:rsidR="008B377C" w:rsidRPr="00610088">
        <w:rPr>
          <w:lang w:val="en-GB"/>
        </w:rPr>
        <w:fldChar w:fldCharType="end"/>
      </w:r>
      <w:r w:rsidRPr="00610088">
        <w:rPr>
          <w:lang w:val="en-GB"/>
        </w:rPr>
        <w:t>.</w:t>
      </w:r>
      <w:r w:rsidR="000E6AA4" w:rsidRPr="00610088">
        <w:rPr>
          <w:lang w:val="en-GB"/>
        </w:rPr>
        <w:t xml:space="preserve"> The “best buys” have an average cost-effectiveness ratio of </w:t>
      </w:r>
      <w:r w:rsidR="00494B06" w:rsidRPr="00610088">
        <w:rPr>
          <w:lang w:val="en-GB"/>
        </w:rPr>
        <w:sym w:font="Symbol" w:char="F0A3"/>
      </w:r>
      <w:r w:rsidR="00494B06" w:rsidRPr="00610088">
        <w:rPr>
          <w:lang w:val="en-GB"/>
        </w:rPr>
        <w:t xml:space="preserve"> 100 I$</w:t>
      </w:r>
      <w:r w:rsidR="0031704D">
        <w:rPr>
          <w:lang w:val="en-GB"/>
        </w:rPr>
        <w:t xml:space="preserve"> (International Dollar)</w:t>
      </w:r>
      <w:r w:rsidR="00494B06" w:rsidRPr="00610088">
        <w:rPr>
          <w:lang w:val="en-GB"/>
        </w:rPr>
        <w:t xml:space="preserve"> </w:t>
      </w:r>
      <w:r w:rsidR="000E6AA4" w:rsidRPr="00610088">
        <w:rPr>
          <w:rStyle w:val="EndnoteReference"/>
          <w:sz w:val="20"/>
          <w:szCs w:val="20"/>
          <w:lang w:val="en-GB"/>
        </w:rPr>
        <w:endnoteReference w:id="33"/>
      </w:r>
      <w:r w:rsidR="000E6AA4" w:rsidRPr="00610088">
        <w:rPr>
          <w:lang w:val="en-GB"/>
        </w:rPr>
        <w:t xml:space="preserve"> per </w:t>
      </w:r>
      <w:r w:rsidR="002B6A70">
        <w:rPr>
          <w:lang w:val="en-GB"/>
        </w:rPr>
        <w:t>Disability Adjusted Life Year (DALY)</w:t>
      </w:r>
      <w:r w:rsidR="000E6AA4" w:rsidRPr="00610088">
        <w:rPr>
          <w:lang w:val="en-GB"/>
        </w:rPr>
        <w:t xml:space="preserve"> averted in low- and lower middle-income countries. </w:t>
      </w:r>
      <w:r w:rsidR="00494B06" w:rsidRPr="00610088">
        <w:rPr>
          <w:lang w:val="en-GB"/>
        </w:rPr>
        <w:t xml:space="preserve">Next to </w:t>
      </w:r>
      <w:r w:rsidR="0078146D" w:rsidRPr="00610088">
        <w:rPr>
          <w:lang w:val="en-GB"/>
        </w:rPr>
        <w:t>this, there</w:t>
      </w:r>
      <w:r w:rsidR="00494B06" w:rsidRPr="00610088">
        <w:rPr>
          <w:lang w:val="en-GB"/>
        </w:rPr>
        <w:t xml:space="preserve"> are other </w:t>
      </w:r>
      <w:r w:rsidR="000E6AA4" w:rsidRPr="00610088">
        <w:rPr>
          <w:lang w:val="en-GB"/>
        </w:rPr>
        <w:t xml:space="preserve">effective interventions for which the WHO Choice analysis produced a cost effectiveness </w:t>
      </w:r>
      <w:r w:rsidR="00494B06" w:rsidRPr="00610088">
        <w:rPr>
          <w:lang w:val="en-GB"/>
        </w:rPr>
        <w:t xml:space="preserve">that was above this threshold. </w:t>
      </w:r>
    </w:p>
    <w:p w14:paraId="5460ACE8" w14:textId="77777777" w:rsidR="0057323A" w:rsidRPr="00610088" w:rsidRDefault="0057323A" w:rsidP="0057323A">
      <w:pPr>
        <w:rPr>
          <w:highlight w:val="yellow"/>
          <w:lang w:val="en-GB"/>
        </w:rPr>
      </w:pPr>
    </w:p>
    <w:p w14:paraId="1BD619D3" w14:textId="5E58F98B" w:rsidR="0057323A" w:rsidRPr="00F0634E" w:rsidRDefault="0057323A" w:rsidP="0057323A">
      <w:pPr>
        <w:pStyle w:val="NoSpacing"/>
        <w:rPr>
          <w:color w:val="4472C4" w:themeColor="accent1"/>
          <w:sz w:val="20"/>
          <w:szCs w:val="20"/>
          <w:lang w:val="en-GB"/>
        </w:rPr>
      </w:pPr>
      <w:bookmarkStart w:id="50" w:name="_Ref15418492"/>
      <w:bookmarkStart w:id="51" w:name="_Toc34804980"/>
      <w:r w:rsidRPr="00F0634E">
        <w:rPr>
          <w:color w:val="4472C4" w:themeColor="accent1"/>
          <w:sz w:val="20"/>
          <w:szCs w:val="20"/>
          <w:lang w:val="en-GB"/>
        </w:rPr>
        <w:t xml:space="preserve">Table </w:t>
      </w:r>
      <w:r w:rsidRPr="00F0634E">
        <w:rPr>
          <w:color w:val="4472C4" w:themeColor="accent1"/>
          <w:sz w:val="20"/>
          <w:szCs w:val="20"/>
          <w:lang w:val="en-GB"/>
        </w:rPr>
        <w:fldChar w:fldCharType="begin"/>
      </w:r>
      <w:r w:rsidRPr="00F0634E">
        <w:rPr>
          <w:color w:val="4472C4" w:themeColor="accent1"/>
          <w:sz w:val="20"/>
          <w:szCs w:val="20"/>
          <w:lang w:val="en-GB"/>
        </w:rPr>
        <w:instrText xml:space="preserve"> SEQ Table \* ARABIC </w:instrText>
      </w:r>
      <w:r w:rsidRPr="00F0634E">
        <w:rPr>
          <w:color w:val="4472C4" w:themeColor="accent1"/>
          <w:sz w:val="20"/>
          <w:szCs w:val="20"/>
          <w:lang w:val="en-GB"/>
        </w:rPr>
        <w:fldChar w:fldCharType="separate"/>
      </w:r>
      <w:r w:rsidR="00CB360C">
        <w:rPr>
          <w:noProof/>
          <w:color w:val="4472C4" w:themeColor="accent1"/>
          <w:sz w:val="20"/>
          <w:szCs w:val="20"/>
          <w:lang w:val="en-GB"/>
        </w:rPr>
        <w:t>2</w:t>
      </w:r>
      <w:r w:rsidRPr="00F0634E">
        <w:rPr>
          <w:color w:val="4472C4" w:themeColor="accent1"/>
          <w:sz w:val="20"/>
          <w:szCs w:val="20"/>
          <w:lang w:val="en-GB"/>
        </w:rPr>
        <w:fldChar w:fldCharType="end"/>
      </w:r>
      <w:bookmarkEnd w:id="50"/>
      <w:r w:rsidRPr="00F0634E">
        <w:rPr>
          <w:color w:val="4472C4" w:themeColor="accent1"/>
          <w:sz w:val="20"/>
          <w:szCs w:val="20"/>
          <w:lang w:val="en-GB"/>
        </w:rPr>
        <w:t>: Overview of the 16 "Best Buys"</w:t>
      </w:r>
      <w:r w:rsidR="00F3491B" w:rsidRPr="00F0634E">
        <w:rPr>
          <w:color w:val="4472C4" w:themeColor="accent1"/>
          <w:sz w:val="20"/>
          <w:szCs w:val="20"/>
          <w:vertAlign w:val="superscript"/>
          <w:lang w:val="en-GB"/>
        </w:rPr>
        <w:fldChar w:fldCharType="begin"/>
      </w:r>
      <w:r w:rsidR="00F3491B" w:rsidRPr="00F0634E">
        <w:rPr>
          <w:color w:val="4472C4" w:themeColor="accent1"/>
          <w:sz w:val="20"/>
          <w:szCs w:val="20"/>
          <w:vertAlign w:val="superscript"/>
          <w:lang w:val="en-GB"/>
        </w:rPr>
        <w:instrText xml:space="preserve"> NOTEREF _Ref34490556 \h  \* MERGEFORMAT </w:instrText>
      </w:r>
      <w:r w:rsidR="00F3491B" w:rsidRPr="00F0634E">
        <w:rPr>
          <w:color w:val="4472C4" w:themeColor="accent1"/>
          <w:sz w:val="20"/>
          <w:szCs w:val="20"/>
          <w:vertAlign w:val="superscript"/>
          <w:lang w:val="en-GB"/>
        </w:rPr>
      </w:r>
      <w:r w:rsidR="00F3491B" w:rsidRPr="00F0634E">
        <w:rPr>
          <w:color w:val="4472C4" w:themeColor="accent1"/>
          <w:sz w:val="20"/>
          <w:szCs w:val="20"/>
          <w:vertAlign w:val="superscript"/>
          <w:lang w:val="en-GB"/>
        </w:rPr>
        <w:fldChar w:fldCharType="separate"/>
      </w:r>
      <w:r w:rsidR="00CB360C">
        <w:rPr>
          <w:color w:val="4472C4" w:themeColor="accent1"/>
          <w:sz w:val="20"/>
          <w:szCs w:val="20"/>
          <w:vertAlign w:val="superscript"/>
          <w:lang w:val="en-GB"/>
        </w:rPr>
        <w:t>99</w:t>
      </w:r>
      <w:bookmarkEnd w:id="51"/>
      <w:r w:rsidR="00F3491B" w:rsidRPr="00F0634E">
        <w:rPr>
          <w:color w:val="4472C4" w:themeColor="accent1"/>
          <w:sz w:val="20"/>
          <w:szCs w:val="20"/>
          <w:vertAlign w:val="superscript"/>
          <w:lang w:val="en-GB"/>
        </w:rPr>
        <w:fldChar w:fldCharType="end"/>
      </w:r>
    </w:p>
    <w:tbl>
      <w:tblPr>
        <w:tblStyle w:val="GridTable4-Accent1"/>
        <w:tblW w:w="0" w:type="auto"/>
        <w:tblLook w:val="04A0" w:firstRow="1" w:lastRow="0" w:firstColumn="1" w:lastColumn="0" w:noHBand="0" w:noVBand="1"/>
      </w:tblPr>
      <w:tblGrid>
        <w:gridCol w:w="1234"/>
        <w:gridCol w:w="1738"/>
        <w:gridCol w:w="6038"/>
      </w:tblGrid>
      <w:tr w:rsidR="0057323A" w:rsidRPr="00610088" w14:paraId="1F819D67" w14:textId="77777777" w:rsidTr="00A4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7FA96973" w14:textId="77777777" w:rsidR="0057323A" w:rsidRPr="00610088" w:rsidRDefault="0057323A" w:rsidP="002B69FA">
            <w:pPr>
              <w:pStyle w:val="NoSpacing"/>
              <w:rPr>
                <w:sz w:val="18"/>
                <w:szCs w:val="18"/>
                <w:highlight w:val="yellow"/>
                <w:lang w:val="en-GB"/>
              </w:rPr>
            </w:pPr>
            <w:r w:rsidRPr="00610088">
              <w:rPr>
                <w:rFonts w:ascii="Calibri" w:hAnsi="Calibri" w:cs="Arial"/>
                <w:color w:val="FFFFFF" w:themeColor="light1"/>
                <w:kern w:val="24"/>
                <w:sz w:val="18"/>
                <w:szCs w:val="18"/>
                <w:lang w:val="en-GB"/>
              </w:rPr>
              <w:t>Risk Factor/ Disease</w:t>
            </w:r>
          </w:p>
        </w:tc>
        <w:tc>
          <w:tcPr>
            <w:tcW w:w="1738" w:type="dxa"/>
          </w:tcPr>
          <w:p w14:paraId="213F4AA7" w14:textId="77777777" w:rsidR="0057323A" w:rsidRPr="00610088" w:rsidRDefault="0057323A" w:rsidP="002B69FA">
            <w:pPr>
              <w:pStyle w:val="NoSpacing"/>
              <w:cnfStyle w:val="100000000000" w:firstRow="1"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FFFFFF" w:themeColor="light1"/>
                <w:kern w:val="24"/>
                <w:sz w:val="18"/>
                <w:szCs w:val="18"/>
                <w:lang w:val="en-GB"/>
              </w:rPr>
              <w:t>Intervention</w:t>
            </w:r>
          </w:p>
        </w:tc>
        <w:tc>
          <w:tcPr>
            <w:tcW w:w="6038" w:type="dxa"/>
          </w:tcPr>
          <w:p w14:paraId="141FB579" w14:textId="77777777" w:rsidR="0057323A" w:rsidRPr="00610088" w:rsidRDefault="0057323A" w:rsidP="002B69FA">
            <w:pPr>
              <w:pStyle w:val="NoSpacing"/>
              <w:cnfStyle w:val="100000000000" w:firstRow="1"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FFFFFF" w:themeColor="light1"/>
                <w:kern w:val="24"/>
                <w:sz w:val="18"/>
                <w:szCs w:val="18"/>
                <w:lang w:val="en-GB"/>
              </w:rPr>
              <w:t>Detailed description</w:t>
            </w:r>
          </w:p>
        </w:tc>
      </w:tr>
      <w:tr w:rsidR="0057323A" w:rsidRPr="00610088" w14:paraId="527505A2"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restart"/>
          </w:tcPr>
          <w:p w14:paraId="4A8045F8" w14:textId="77777777" w:rsidR="0057323A" w:rsidRPr="00610088" w:rsidRDefault="0057323A" w:rsidP="002B69FA">
            <w:pPr>
              <w:rPr>
                <w:b w:val="0"/>
                <w:bCs w:val="0"/>
                <w:sz w:val="18"/>
                <w:szCs w:val="18"/>
                <w:highlight w:val="yellow"/>
                <w:lang w:val="en-GB"/>
              </w:rPr>
            </w:pPr>
            <w:r w:rsidRPr="00610088">
              <w:rPr>
                <w:rFonts w:ascii="Calibri" w:hAnsi="Calibri" w:cs="Arial"/>
                <w:b w:val="0"/>
                <w:bCs w:val="0"/>
                <w:color w:val="000000" w:themeColor="dark1"/>
                <w:kern w:val="24"/>
                <w:sz w:val="18"/>
                <w:szCs w:val="18"/>
                <w:lang w:val="en-GB"/>
              </w:rPr>
              <w:t>Tobacco Use</w:t>
            </w:r>
          </w:p>
        </w:tc>
        <w:tc>
          <w:tcPr>
            <w:tcW w:w="1738" w:type="dxa"/>
          </w:tcPr>
          <w:p w14:paraId="360914DC"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1. Tax</w:t>
            </w:r>
          </w:p>
        </w:tc>
        <w:tc>
          <w:tcPr>
            <w:tcW w:w="6038" w:type="dxa"/>
          </w:tcPr>
          <w:p w14:paraId="157206A1"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Increase excise taxes and prices on tobacco products</w:t>
            </w:r>
          </w:p>
        </w:tc>
      </w:tr>
      <w:tr w:rsidR="0057323A" w:rsidRPr="00610088" w14:paraId="2CD4432C"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6E660C10" w14:textId="77777777" w:rsidR="0057323A" w:rsidRPr="00610088" w:rsidRDefault="0057323A" w:rsidP="002B69FA">
            <w:pPr>
              <w:rPr>
                <w:sz w:val="18"/>
                <w:szCs w:val="18"/>
                <w:highlight w:val="yellow"/>
                <w:lang w:val="en-GB"/>
              </w:rPr>
            </w:pPr>
          </w:p>
        </w:tc>
        <w:tc>
          <w:tcPr>
            <w:tcW w:w="1738" w:type="dxa"/>
          </w:tcPr>
          <w:p w14:paraId="5BE9B773"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 xml:space="preserve">2. Packaging </w:t>
            </w:r>
          </w:p>
        </w:tc>
        <w:tc>
          <w:tcPr>
            <w:tcW w:w="6038" w:type="dxa"/>
          </w:tcPr>
          <w:p w14:paraId="302F9783"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Implement plain / standardized packaging and/or large graphic health warnings on all tobacco packages</w:t>
            </w:r>
          </w:p>
        </w:tc>
      </w:tr>
      <w:tr w:rsidR="0057323A" w:rsidRPr="00610088" w14:paraId="55BCEAAB"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6621CCDE" w14:textId="77777777" w:rsidR="0057323A" w:rsidRPr="00610088" w:rsidRDefault="0057323A" w:rsidP="002B69FA">
            <w:pPr>
              <w:rPr>
                <w:sz w:val="18"/>
                <w:szCs w:val="18"/>
                <w:highlight w:val="yellow"/>
                <w:lang w:val="en-GB"/>
              </w:rPr>
            </w:pPr>
          </w:p>
        </w:tc>
        <w:tc>
          <w:tcPr>
            <w:tcW w:w="1738" w:type="dxa"/>
          </w:tcPr>
          <w:p w14:paraId="39BD5157"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3. Advertising, promotion and sponsorship</w:t>
            </w:r>
          </w:p>
        </w:tc>
        <w:tc>
          <w:tcPr>
            <w:tcW w:w="6038" w:type="dxa"/>
          </w:tcPr>
          <w:p w14:paraId="2EE657A4"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Enact and enforce comprehensive bans on tobacco advertising, promotion and sponsorship</w:t>
            </w:r>
          </w:p>
        </w:tc>
      </w:tr>
      <w:tr w:rsidR="0057323A" w:rsidRPr="00610088" w14:paraId="317D3D90"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4B8395E3" w14:textId="77777777" w:rsidR="0057323A" w:rsidRPr="00610088" w:rsidRDefault="0057323A" w:rsidP="002B69FA">
            <w:pPr>
              <w:rPr>
                <w:sz w:val="18"/>
                <w:szCs w:val="18"/>
                <w:highlight w:val="yellow"/>
                <w:lang w:val="en-GB"/>
              </w:rPr>
            </w:pPr>
          </w:p>
        </w:tc>
        <w:tc>
          <w:tcPr>
            <w:tcW w:w="1738" w:type="dxa"/>
          </w:tcPr>
          <w:p w14:paraId="1219F14C"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4. Smoke-free public places</w:t>
            </w:r>
          </w:p>
        </w:tc>
        <w:tc>
          <w:tcPr>
            <w:tcW w:w="6038" w:type="dxa"/>
          </w:tcPr>
          <w:p w14:paraId="084A9D32"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610088">
              <w:rPr>
                <w:rFonts w:ascii="Calibri" w:hAnsi="Calibri" w:cs="Arial"/>
                <w:color w:val="000000" w:themeColor="dark1"/>
                <w:kern w:val="24"/>
                <w:sz w:val="18"/>
                <w:szCs w:val="18"/>
                <w:lang w:val="en-GB"/>
              </w:rPr>
              <w:t>Eliminate exposure to second-hand tobacco smoke in all indoor workplaces, public places and public transport</w:t>
            </w:r>
          </w:p>
        </w:tc>
      </w:tr>
      <w:tr w:rsidR="0057323A" w:rsidRPr="00610088" w14:paraId="7329F9FA"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tcPr>
          <w:p w14:paraId="2CAF9235" w14:textId="77777777" w:rsidR="0057323A" w:rsidRPr="00610088" w:rsidRDefault="0057323A" w:rsidP="002B69FA">
            <w:pPr>
              <w:rPr>
                <w:sz w:val="18"/>
                <w:szCs w:val="18"/>
                <w:highlight w:val="yellow"/>
                <w:lang w:val="en-GB"/>
              </w:rPr>
            </w:pPr>
          </w:p>
        </w:tc>
        <w:tc>
          <w:tcPr>
            <w:tcW w:w="1738" w:type="dxa"/>
          </w:tcPr>
          <w:p w14:paraId="6688CD60"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dark1"/>
                <w:kern w:val="24"/>
                <w:sz w:val="18"/>
                <w:szCs w:val="18"/>
                <w:lang w:val="en-GB"/>
              </w:rPr>
            </w:pPr>
            <w:r w:rsidRPr="00610088">
              <w:rPr>
                <w:rFonts w:ascii="Calibri" w:hAnsi="Calibri" w:cs="Arial"/>
                <w:color w:val="000000" w:themeColor="dark1"/>
                <w:kern w:val="24"/>
                <w:sz w:val="18"/>
                <w:szCs w:val="18"/>
                <w:lang w:val="en-GB"/>
              </w:rPr>
              <w:t>5. Educate</w:t>
            </w:r>
          </w:p>
        </w:tc>
        <w:tc>
          <w:tcPr>
            <w:tcW w:w="6038" w:type="dxa"/>
          </w:tcPr>
          <w:p w14:paraId="293BB8B6"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rFonts w:ascii="Calibri" w:hAnsi="Calibri" w:cs="Arial"/>
                <w:color w:val="000000" w:themeColor="dark1"/>
                <w:kern w:val="24"/>
                <w:sz w:val="18"/>
                <w:szCs w:val="18"/>
                <w:lang w:val="en-GB"/>
              </w:rPr>
            </w:pPr>
            <w:r w:rsidRPr="00610088">
              <w:rPr>
                <w:rFonts w:ascii="Calibri" w:hAnsi="Calibri" w:cs="Arial"/>
                <w:color w:val="000000" w:themeColor="dark1"/>
                <w:kern w:val="24"/>
                <w:sz w:val="18"/>
                <w:szCs w:val="18"/>
                <w:lang w:val="en-GB"/>
              </w:rPr>
              <w:t>Implement effective mass media campaigns that educate the public about the harms of smoking / tobacco use and second-hand smoke</w:t>
            </w:r>
          </w:p>
        </w:tc>
      </w:tr>
      <w:tr w:rsidR="0057323A" w:rsidRPr="00610088" w14:paraId="1AB87193"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restart"/>
          </w:tcPr>
          <w:p w14:paraId="2C67E02F" w14:textId="77777777" w:rsidR="0057323A" w:rsidRPr="00610088" w:rsidRDefault="0057323A" w:rsidP="002B69FA">
            <w:pPr>
              <w:rPr>
                <w:color w:val="000000" w:themeColor="text1"/>
                <w:sz w:val="18"/>
                <w:szCs w:val="18"/>
                <w:highlight w:val="yellow"/>
                <w:lang w:val="en-GB"/>
              </w:rPr>
            </w:pPr>
            <w:r w:rsidRPr="00610088">
              <w:rPr>
                <w:rFonts w:ascii="Calibri" w:hAnsi="Calibri" w:cs="Arial"/>
                <w:b w:val="0"/>
                <w:bCs w:val="0"/>
                <w:color w:val="000000" w:themeColor="text1"/>
                <w:kern w:val="24"/>
                <w:sz w:val="18"/>
                <w:szCs w:val="18"/>
                <w:lang w:val="en-GB"/>
              </w:rPr>
              <w:t>Harmful use of alcohol</w:t>
            </w:r>
          </w:p>
        </w:tc>
        <w:tc>
          <w:tcPr>
            <w:tcW w:w="1738" w:type="dxa"/>
          </w:tcPr>
          <w:p w14:paraId="2810485D"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6. Tax</w:t>
            </w:r>
          </w:p>
        </w:tc>
        <w:tc>
          <w:tcPr>
            <w:tcW w:w="6038" w:type="dxa"/>
          </w:tcPr>
          <w:p w14:paraId="13B4D0BC"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Increase excise taxes on alcoholic beverages</w:t>
            </w:r>
          </w:p>
        </w:tc>
      </w:tr>
      <w:tr w:rsidR="0057323A" w:rsidRPr="00610088" w14:paraId="30B46A34"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30E9CD80" w14:textId="77777777" w:rsidR="0057323A" w:rsidRPr="00610088" w:rsidRDefault="0057323A" w:rsidP="002B69FA">
            <w:pPr>
              <w:rPr>
                <w:color w:val="000000" w:themeColor="text1"/>
                <w:sz w:val="18"/>
                <w:szCs w:val="18"/>
                <w:highlight w:val="yellow"/>
                <w:lang w:val="en-GB"/>
              </w:rPr>
            </w:pPr>
          </w:p>
        </w:tc>
        <w:tc>
          <w:tcPr>
            <w:tcW w:w="1738" w:type="dxa"/>
          </w:tcPr>
          <w:p w14:paraId="147D6AB7"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7. Advertising</w:t>
            </w:r>
          </w:p>
        </w:tc>
        <w:tc>
          <w:tcPr>
            <w:tcW w:w="6038" w:type="dxa"/>
          </w:tcPr>
          <w:p w14:paraId="2A739F56"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Enact and enforce bans or comprehensive restrictions on exposure to alcohol advertising (across multiple types of media) </w:t>
            </w:r>
          </w:p>
        </w:tc>
      </w:tr>
      <w:tr w:rsidR="0057323A" w:rsidRPr="00610088" w14:paraId="78E3AB18"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145B1D11" w14:textId="77777777" w:rsidR="0057323A" w:rsidRPr="00610088" w:rsidRDefault="0057323A" w:rsidP="002B69FA">
            <w:pPr>
              <w:rPr>
                <w:color w:val="000000" w:themeColor="text1"/>
                <w:sz w:val="18"/>
                <w:szCs w:val="18"/>
                <w:highlight w:val="yellow"/>
                <w:lang w:val="en-GB"/>
              </w:rPr>
            </w:pPr>
          </w:p>
        </w:tc>
        <w:tc>
          <w:tcPr>
            <w:tcW w:w="1738" w:type="dxa"/>
          </w:tcPr>
          <w:p w14:paraId="0676D64B"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8. Availability</w:t>
            </w:r>
          </w:p>
        </w:tc>
        <w:tc>
          <w:tcPr>
            <w:tcW w:w="6038" w:type="dxa"/>
          </w:tcPr>
          <w:p w14:paraId="1807A8CE"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Enact and enforce restrictions on the physical availability of retailed alcohol (via reduced hours of sale) </w:t>
            </w:r>
          </w:p>
        </w:tc>
      </w:tr>
      <w:tr w:rsidR="0057323A" w:rsidRPr="00610088" w14:paraId="0084C09A"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restart"/>
          </w:tcPr>
          <w:p w14:paraId="5127A3C4" w14:textId="77777777" w:rsidR="0057323A" w:rsidRPr="00610088" w:rsidRDefault="0057323A" w:rsidP="002B69FA">
            <w:pPr>
              <w:rPr>
                <w:b w:val="0"/>
                <w:bCs w:val="0"/>
                <w:color w:val="000000" w:themeColor="text1"/>
                <w:sz w:val="18"/>
                <w:szCs w:val="18"/>
                <w:highlight w:val="yellow"/>
                <w:lang w:val="en-GB"/>
              </w:rPr>
            </w:pPr>
            <w:r w:rsidRPr="00610088">
              <w:rPr>
                <w:rFonts w:ascii="Calibri" w:hAnsi="Calibri" w:cs="Arial"/>
                <w:b w:val="0"/>
                <w:bCs w:val="0"/>
                <w:color w:val="000000" w:themeColor="text1"/>
                <w:kern w:val="24"/>
                <w:sz w:val="18"/>
                <w:szCs w:val="18"/>
                <w:lang w:val="en-GB"/>
              </w:rPr>
              <w:t>Unhealthy diet</w:t>
            </w:r>
          </w:p>
        </w:tc>
        <w:tc>
          <w:tcPr>
            <w:tcW w:w="1738" w:type="dxa"/>
          </w:tcPr>
          <w:p w14:paraId="78C26D57"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9. Reformulate food</w:t>
            </w:r>
          </w:p>
        </w:tc>
        <w:tc>
          <w:tcPr>
            <w:tcW w:w="6038" w:type="dxa"/>
          </w:tcPr>
          <w:p w14:paraId="55E9AC53"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Reduce salt intake through the reformulation of food products to contain less salt and the setting of target levels for the amount of salt in foods and meals </w:t>
            </w:r>
          </w:p>
        </w:tc>
      </w:tr>
      <w:tr w:rsidR="0057323A" w:rsidRPr="00610088" w14:paraId="2BA41E87"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7FDD7C41" w14:textId="77777777" w:rsidR="0057323A" w:rsidRPr="00610088" w:rsidRDefault="0057323A" w:rsidP="002B69FA">
            <w:pPr>
              <w:rPr>
                <w:color w:val="000000" w:themeColor="text1"/>
                <w:sz w:val="18"/>
                <w:szCs w:val="18"/>
                <w:highlight w:val="yellow"/>
                <w:lang w:val="en-GB"/>
              </w:rPr>
            </w:pPr>
          </w:p>
        </w:tc>
        <w:tc>
          <w:tcPr>
            <w:tcW w:w="1738" w:type="dxa"/>
          </w:tcPr>
          <w:p w14:paraId="6EF4BF2D"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10. Supportive environments</w:t>
            </w:r>
          </w:p>
        </w:tc>
        <w:tc>
          <w:tcPr>
            <w:tcW w:w="6038" w:type="dxa"/>
          </w:tcPr>
          <w:p w14:paraId="3E570694"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Reduce salt intake through the establishment of a supportive environment in public institutions such as hospitals, schools, workplaces and nursing homes, to enable lower sodium options to be provided </w:t>
            </w:r>
          </w:p>
        </w:tc>
      </w:tr>
      <w:tr w:rsidR="0057323A" w:rsidRPr="00610088" w14:paraId="62525197"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5233F4D0" w14:textId="77777777" w:rsidR="0057323A" w:rsidRPr="00610088" w:rsidRDefault="0057323A" w:rsidP="002B69FA">
            <w:pPr>
              <w:rPr>
                <w:color w:val="000000" w:themeColor="text1"/>
                <w:sz w:val="18"/>
                <w:szCs w:val="18"/>
                <w:highlight w:val="yellow"/>
                <w:lang w:val="en-GB"/>
              </w:rPr>
            </w:pPr>
          </w:p>
        </w:tc>
        <w:tc>
          <w:tcPr>
            <w:tcW w:w="1738" w:type="dxa"/>
          </w:tcPr>
          <w:p w14:paraId="2E43AC40"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11. Educate</w:t>
            </w:r>
          </w:p>
        </w:tc>
        <w:tc>
          <w:tcPr>
            <w:tcW w:w="6038" w:type="dxa"/>
          </w:tcPr>
          <w:p w14:paraId="7533E12C"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Reduce salt intake through a behaviour change communication and mass media campaign </w:t>
            </w:r>
          </w:p>
        </w:tc>
      </w:tr>
      <w:tr w:rsidR="0057323A" w:rsidRPr="00610088" w14:paraId="08F61961"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0B10EA65" w14:textId="77777777" w:rsidR="0057323A" w:rsidRPr="00610088" w:rsidRDefault="0057323A" w:rsidP="002B69FA">
            <w:pPr>
              <w:rPr>
                <w:color w:val="000000" w:themeColor="text1"/>
                <w:sz w:val="18"/>
                <w:szCs w:val="18"/>
                <w:highlight w:val="yellow"/>
                <w:lang w:val="en-GB"/>
              </w:rPr>
            </w:pPr>
          </w:p>
        </w:tc>
        <w:tc>
          <w:tcPr>
            <w:tcW w:w="1738" w:type="dxa"/>
          </w:tcPr>
          <w:p w14:paraId="22FCE4AF"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12. Packaging</w:t>
            </w:r>
          </w:p>
        </w:tc>
        <w:tc>
          <w:tcPr>
            <w:tcW w:w="6038" w:type="dxa"/>
          </w:tcPr>
          <w:p w14:paraId="5ADDC5B2"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Reduce salt intake through the implementation of front-of-pack labelling </w:t>
            </w:r>
          </w:p>
        </w:tc>
      </w:tr>
      <w:tr w:rsidR="0057323A" w:rsidRPr="00610088" w14:paraId="63076E3D"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64385E4D" w14:textId="77777777" w:rsidR="0057323A" w:rsidRPr="00610088" w:rsidRDefault="0057323A" w:rsidP="002B69FA">
            <w:pPr>
              <w:rPr>
                <w:b w:val="0"/>
                <w:bCs w:val="0"/>
                <w:color w:val="000000" w:themeColor="text1"/>
                <w:sz w:val="18"/>
                <w:szCs w:val="18"/>
                <w:highlight w:val="yellow"/>
                <w:lang w:val="en-GB"/>
              </w:rPr>
            </w:pPr>
            <w:r w:rsidRPr="00610088">
              <w:rPr>
                <w:rFonts w:ascii="Calibri" w:hAnsi="Calibri" w:cs="Arial"/>
                <w:b w:val="0"/>
                <w:bCs w:val="0"/>
                <w:color w:val="000000" w:themeColor="text1"/>
                <w:kern w:val="24"/>
                <w:sz w:val="18"/>
                <w:szCs w:val="18"/>
                <w:lang w:val="en-GB"/>
              </w:rPr>
              <w:t>Physical inactivity</w:t>
            </w:r>
          </w:p>
        </w:tc>
        <w:tc>
          <w:tcPr>
            <w:tcW w:w="1738" w:type="dxa"/>
          </w:tcPr>
          <w:p w14:paraId="6186956D"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13. Educate</w:t>
            </w:r>
          </w:p>
        </w:tc>
        <w:tc>
          <w:tcPr>
            <w:tcW w:w="6038" w:type="dxa"/>
          </w:tcPr>
          <w:p w14:paraId="031F4E31"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Implement community-wide public education and awareness campaigns for physical activity which includes a mass media campaign combined with other community- based education, motivational and environmental programmes aimed at supporting behavioural change of physical activity levels </w:t>
            </w:r>
          </w:p>
        </w:tc>
      </w:tr>
      <w:tr w:rsidR="0057323A" w:rsidRPr="00610088" w14:paraId="1F00D1EF" w14:textId="77777777" w:rsidTr="00A46540">
        <w:tc>
          <w:tcPr>
            <w:cnfStyle w:val="001000000000" w:firstRow="0" w:lastRow="0" w:firstColumn="1" w:lastColumn="0" w:oddVBand="0" w:evenVBand="0" w:oddHBand="0" w:evenHBand="0" w:firstRowFirstColumn="0" w:firstRowLastColumn="0" w:lastRowFirstColumn="0" w:lastRowLastColumn="0"/>
            <w:tcW w:w="1234" w:type="dxa"/>
          </w:tcPr>
          <w:p w14:paraId="2F1CFC18" w14:textId="77777777" w:rsidR="0057323A" w:rsidRPr="00610088" w:rsidRDefault="0057323A" w:rsidP="002B69FA">
            <w:pPr>
              <w:rPr>
                <w:b w:val="0"/>
                <w:bCs w:val="0"/>
                <w:color w:val="000000" w:themeColor="text1"/>
                <w:sz w:val="18"/>
                <w:szCs w:val="18"/>
                <w:highlight w:val="yellow"/>
                <w:lang w:val="en-GB"/>
              </w:rPr>
            </w:pPr>
            <w:r w:rsidRPr="00610088">
              <w:rPr>
                <w:rFonts w:ascii="Calibri" w:hAnsi="Calibri" w:cs="Arial"/>
                <w:b w:val="0"/>
                <w:bCs w:val="0"/>
                <w:color w:val="000000" w:themeColor="text1"/>
                <w:kern w:val="24"/>
                <w:sz w:val="18"/>
                <w:szCs w:val="18"/>
                <w:lang w:val="en-GB"/>
              </w:rPr>
              <w:t>CVD / DM</w:t>
            </w:r>
          </w:p>
        </w:tc>
        <w:tc>
          <w:tcPr>
            <w:tcW w:w="1738" w:type="dxa"/>
          </w:tcPr>
          <w:p w14:paraId="05FFFEB6"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14. Drug therapy and counselling</w:t>
            </w:r>
          </w:p>
        </w:tc>
        <w:tc>
          <w:tcPr>
            <w:tcW w:w="6038" w:type="dxa"/>
          </w:tcPr>
          <w:p w14:paraId="48DB455D" w14:textId="5FF4DAAB"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 xml:space="preserve">Drug therapy (including </w:t>
            </w:r>
            <w:r w:rsidR="008B377C" w:rsidRPr="00610088">
              <w:rPr>
                <w:rFonts w:eastAsiaTheme="minorEastAsia" w:hAnsi="Calibri"/>
                <w:color w:val="000000" w:themeColor="text1"/>
                <w:kern w:val="24"/>
                <w:sz w:val="18"/>
                <w:szCs w:val="18"/>
                <w:lang w:val="en-GB"/>
              </w:rPr>
              <w:t>glycaemic</w:t>
            </w:r>
            <w:r w:rsidRPr="00610088">
              <w:rPr>
                <w:rFonts w:eastAsiaTheme="minorEastAsia" w:hAnsi="Calibri"/>
                <w:color w:val="000000" w:themeColor="text1"/>
                <w:kern w:val="24"/>
                <w:sz w:val="18"/>
                <w:szCs w:val="18"/>
                <w:lang w:val="en-GB"/>
              </w:rPr>
              <w:t xml:space="preserve"> control for diabetes mellitus and control of hypertension using a total risk approach) and counselling to individuals who have had a heart attack or stroke and to persons with high risk (≥ 30%) of a fatal and non-fatal cardiovascular event in the next 10 years </w:t>
            </w:r>
          </w:p>
        </w:tc>
      </w:tr>
      <w:tr w:rsidR="0057323A" w:rsidRPr="00610088" w14:paraId="6B1E7463" w14:textId="77777777" w:rsidTr="00A4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vMerge w:val="restart"/>
          </w:tcPr>
          <w:p w14:paraId="7D828CCC" w14:textId="77777777" w:rsidR="0057323A" w:rsidRPr="00610088" w:rsidRDefault="0057323A" w:rsidP="002B69FA">
            <w:pPr>
              <w:rPr>
                <w:b w:val="0"/>
                <w:bCs w:val="0"/>
                <w:color w:val="000000" w:themeColor="text1"/>
                <w:sz w:val="18"/>
                <w:szCs w:val="18"/>
                <w:highlight w:val="yellow"/>
                <w:lang w:val="en-GB"/>
              </w:rPr>
            </w:pPr>
            <w:r w:rsidRPr="00610088">
              <w:rPr>
                <w:rFonts w:ascii="Calibri" w:hAnsi="Calibri" w:cs="Arial"/>
                <w:b w:val="0"/>
                <w:bCs w:val="0"/>
                <w:color w:val="000000" w:themeColor="text1"/>
                <w:kern w:val="24"/>
                <w:sz w:val="18"/>
                <w:szCs w:val="18"/>
                <w:lang w:val="en-GB"/>
              </w:rPr>
              <w:t>Cancer</w:t>
            </w:r>
          </w:p>
        </w:tc>
        <w:tc>
          <w:tcPr>
            <w:tcW w:w="1738" w:type="dxa"/>
          </w:tcPr>
          <w:p w14:paraId="1460592F"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15. Vaccinate</w:t>
            </w:r>
          </w:p>
        </w:tc>
        <w:tc>
          <w:tcPr>
            <w:tcW w:w="6038" w:type="dxa"/>
          </w:tcPr>
          <w:p w14:paraId="4F4A2947" w14:textId="77777777" w:rsidR="0057323A" w:rsidRPr="00610088" w:rsidRDefault="0057323A" w:rsidP="002B69FA">
            <w:pPr>
              <w:cnfStyle w:val="000000100000" w:firstRow="0" w:lastRow="0" w:firstColumn="0" w:lastColumn="0" w:oddVBand="0" w:evenVBand="0" w:oddHBand="1"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olor w:val="000000" w:themeColor="text1"/>
                <w:kern w:val="24"/>
                <w:sz w:val="18"/>
                <w:szCs w:val="18"/>
                <w:lang w:val="en-GB"/>
              </w:rPr>
              <w:t>Vaccination against human papillomavirus (2 doses) of 9-13-year-old girls</w:t>
            </w:r>
          </w:p>
        </w:tc>
      </w:tr>
      <w:tr w:rsidR="0057323A" w:rsidRPr="00610088" w14:paraId="343FCF4D" w14:textId="77777777" w:rsidTr="00A46540">
        <w:tc>
          <w:tcPr>
            <w:cnfStyle w:val="001000000000" w:firstRow="0" w:lastRow="0" w:firstColumn="1" w:lastColumn="0" w:oddVBand="0" w:evenVBand="0" w:oddHBand="0" w:evenHBand="0" w:firstRowFirstColumn="0" w:firstRowLastColumn="0" w:lastRowFirstColumn="0" w:lastRowLastColumn="0"/>
            <w:tcW w:w="1234" w:type="dxa"/>
            <w:vMerge/>
            <w:vAlign w:val="center"/>
          </w:tcPr>
          <w:p w14:paraId="0A63F3E0" w14:textId="77777777" w:rsidR="0057323A" w:rsidRPr="00610088" w:rsidRDefault="0057323A" w:rsidP="002B69FA">
            <w:pPr>
              <w:rPr>
                <w:b w:val="0"/>
                <w:bCs w:val="0"/>
                <w:color w:val="000000" w:themeColor="text1"/>
                <w:sz w:val="18"/>
                <w:szCs w:val="18"/>
                <w:highlight w:val="yellow"/>
                <w:lang w:val="en-GB"/>
              </w:rPr>
            </w:pPr>
          </w:p>
        </w:tc>
        <w:tc>
          <w:tcPr>
            <w:tcW w:w="1738" w:type="dxa"/>
          </w:tcPr>
          <w:p w14:paraId="378FA03B" w14:textId="77777777" w:rsidR="0057323A" w:rsidRPr="00610088" w:rsidRDefault="0057323A" w:rsidP="002B69FA">
            <w:pPr>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ascii="Calibri" w:hAnsi="Calibri" w:cs="Arial"/>
                <w:color w:val="000000" w:themeColor="text1"/>
                <w:kern w:val="24"/>
                <w:sz w:val="18"/>
                <w:szCs w:val="18"/>
                <w:lang w:val="en-GB"/>
              </w:rPr>
              <w:t>16. Screening</w:t>
            </w:r>
          </w:p>
        </w:tc>
        <w:tc>
          <w:tcPr>
            <w:tcW w:w="6038" w:type="dxa"/>
          </w:tcPr>
          <w:p w14:paraId="1C02D8B1" w14:textId="1C98B087" w:rsidR="0057323A" w:rsidRPr="00610088" w:rsidRDefault="0057323A" w:rsidP="002B69FA">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color w:val="000000" w:themeColor="text1"/>
                <w:sz w:val="18"/>
                <w:szCs w:val="18"/>
                <w:highlight w:val="yellow"/>
                <w:lang w:val="en-GB"/>
              </w:rPr>
            </w:pPr>
            <w:r w:rsidRPr="00610088">
              <w:rPr>
                <w:rFonts w:eastAsiaTheme="minorEastAsia" w:hAnsi="Calibri" w:cstheme="minorBidi"/>
                <w:color w:val="000000" w:themeColor="text1"/>
                <w:kern w:val="24"/>
                <w:sz w:val="18"/>
                <w:szCs w:val="18"/>
                <w:lang w:val="en-GB"/>
              </w:rPr>
              <w:t>Prevention of cervical cancer by screening women aged 30</w:t>
            </w:r>
            <w:r w:rsidRPr="00610088">
              <w:rPr>
                <w:rFonts w:eastAsiaTheme="minorEastAsia" w:hAnsi="Calibri" w:cstheme="minorBidi"/>
                <w:color w:val="000000" w:themeColor="text1"/>
                <w:kern w:val="24"/>
                <w:sz w:val="18"/>
                <w:szCs w:val="18"/>
                <w:lang w:val="en-GB"/>
              </w:rPr>
              <w:t>–</w:t>
            </w:r>
            <w:r w:rsidRPr="00610088">
              <w:rPr>
                <w:rFonts w:eastAsiaTheme="minorEastAsia" w:hAnsi="Calibri" w:cstheme="minorBidi"/>
                <w:color w:val="000000" w:themeColor="text1"/>
                <w:kern w:val="24"/>
                <w:sz w:val="18"/>
                <w:szCs w:val="18"/>
                <w:lang w:val="en-GB"/>
              </w:rPr>
              <w:t xml:space="preserve">49, either through:  </w:t>
            </w:r>
            <w:r w:rsidRPr="00610088">
              <w:rPr>
                <w:rFonts w:eastAsiaTheme="minorEastAsia" w:hAnsi="Calibri" w:cstheme="minorBidi"/>
                <w:i/>
                <w:iCs/>
                <w:color w:val="000000" w:themeColor="text1"/>
                <w:kern w:val="24"/>
                <w:sz w:val="18"/>
                <w:szCs w:val="18"/>
                <w:lang w:val="en-GB"/>
              </w:rPr>
              <w:t>Visual inspection with acetic acid, linked with timely treatment of precancerous lesions; Pap smear (cervical cytology) every 3</w:t>
            </w:r>
            <w:r w:rsidRPr="00610088">
              <w:rPr>
                <w:rFonts w:eastAsiaTheme="minorEastAsia" w:hAnsi="Calibri" w:cstheme="minorBidi"/>
                <w:i/>
                <w:iCs/>
                <w:color w:val="000000" w:themeColor="text1"/>
                <w:kern w:val="24"/>
                <w:sz w:val="18"/>
                <w:szCs w:val="18"/>
                <w:lang w:val="en-GB"/>
              </w:rPr>
              <w:t>–</w:t>
            </w:r>
            <w:r w:rsidRPr="00610088">
              <w:rPr>
                <w:rFonts w:eastAsiaTheme="minorEastAsia" w:hAnsi="Calibri" w:cstheme="minorBidi"/>
                <w:i/>
                <w:iCs/>
                <w:color w:val="000000" w:themeColor="text1"/>
                <w:kern w:val="24"/>
                <w:sz w:val="18"/>
                <w:szCs w:val="18"/>
                <w:lang w:val="en-GB"/>
              </w:rPr>
              <w:t xml:space="preserve">5 years, linked with timely treatment of precancerous lesions; or Human papillomavirus </w:t>
            </w:r>
            <w:r w:rsidRPr="00610088">
              <w:rPr>
                <w:rFonts w:eastAsiaTheme="minorEastAsia" w:hAnsi="Calibri"/>
                <w:i/>
                <w:iCs/>
                <w:color w:val="000000" w:themeColor="text1"/>
                <w:kern w:val="24"/>
                <w:sz w:val="18"/>
                <w:szCs w:val="18"/>
                <w:lang w:val="en-GB"/>
              </w:rPr>
              <w:t>tests</w:t>
            </w:r>
            <w:r w:rsidRPr="00610088">
              <w:rPr>
                <w:rFonts w:eastAsiaTheme="minorEastAsia" w:hAnsi="Calibri" w:cstheme="minorBidi"/>
                <w:i/>
                <w:iCs/>
                <w:color w:val="000000" w:themeColor="text1"/>
                <w:kern w:val="24"/>
                <w:sz w:val="18"/>
                <w:szCs w:val="18"/>
                <w:lang w:val="en-GB"/>
              </w:rPr>
              <w:t xml:space="preserve"> every 5 years linked with timely treatment of precancerous lesions</w:t>
            </w:r>
            <w:r w:rsidRPr="00610088">
              <w:rPr>
                <w:rFonts w:eastAsiaTheme="minorEastAsia" w:hAnsi="Calibri" w:cstheme="minorBidi"/>
                <w:color w:val="000000" w:themeColor="text1"/>
                <w:kern w:val="24"/>
                <w:sz w:val="18"/>
                <w:szCs w:val="18"/>
                <w:lang w:val="en-GB"/>
              </w:rPr>
              <w:t xml:space="preserve"> </w:t>
            </w:r>
          </w:p>
        </w:tc>
      </w:tr>
    </w:tbl>
    <w:p w14:paraId="20EF060B" w14:textId="77777777" w:rsidR="0057323A" w:rsidRPr="00610088" w:rsidRDefault="0057323A" w:rsidP="0057323A">
      <w:pPr>
        <w:rPr>
          <w:lang w:val="en-GB"/>
        </w:rPr>
      </w:pPr>
    </w:p>
    <w:p w14:paraId="0CC79C61" w14:textId="0B66C0B9" w:rsidR="0057323A" w:rsidRPr="00610088" w:rsidRDefault="003D477E" w:rsidP="001B16D1">
      <w:pPr>
        <w:rPr>
          <w:lang w:val="en-GB"/>
        </w:rPr>
      </w:pPr>
      <w:r w:rsidRPr="00610088">
        <w:rPr>
          <w:noProof/>
          <w:lang w:val="en-GB"/>
        </w:rPr>
        <mc:AlternateContent>
          <mc:Choice Requires="wps">
            <w:drawing>
              <wp:anchor distT="0" distB="0" distL="114300" distR="114300" simplePos="0" relativeHeight="251665408" behindDoc="1" locked="0" layoutInCell="1" allowOverlap="1" wp14:anchorId="2BC77F4B" wp14:editId="429AAECB">
                <wp:simplePos x="0" y="0"/>
                <wp:positionH relativeFrom="column">
                  <wp:posOffset>-74886</wp:posOffset>
                </wp:positionH>
                <wp:positionV relativeFrom="paragraph">
                  <wp:posOffset>1900599</wp:posOffset>
                </wp:positionV>
                <wp:extent cx="6311265" cy="149860"/>
                <wp:effectExtent l="0" t="0" r="635" b="2540"/>
                <wp:wrapTight wrapText="bothSides">
                  <wp:wrapPolygon edited="0">
                    <wp:start x="0" y="0"/>
                    <wp:lineTo x="0" y="20136"/>
                    <wp:lineTo x="21559" y="20136"/>
                    <wp:lineTo x="21559"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6311265" cy="149860"/>
                        </a:xfrm>
                        <a:prstGeom prst="rect">
                          <a:avLst/>
                        </a:prstGeom>
                        <a:solidFill>
                          <a:prstClr val="white"/>
                        </a:solidFill>
                        <a:ln>
                          <a:noFill/>
                        </a:ln>
                      </wps:spPr>
                      <wps:txbx>
                        <w:txbxContent>
                          <w:p w14:paraId="7C70A6AB" w14:textId="3E4F0B14" w:rsidR="00504B06" w:rsidRPr="00DD09C5" w:rsidRDefault="00504B06" w:rsidP="0057323A">
                            <w:pPr>
                              <w:pStyle w:val="Caption"/>
                              <w:rPr>
                                <w:noProof/>
                                <w:sz w:val="21"/>
                                <w:szCs w:val="21"/>
                                <w:lang w:val="en-GB"/>
                              </w:rPr>
                            </w:pPr>
                            <w:bookmarkStart w:id="52" w:name="_Ref15417619"/>
                            <w:bookmarkStart w:id="53" w:name="_Toc34804976"/>
                            <w:r>
                              <w:t xml:space="preserve">Figure </w:t>
                            </w:r>
                            <w:fldSimple w:instr=" SEQ Figure \* ARABIC ">
                              <w:r>
                                <w:rPr>
                                  <w:noProof/>
                                </w:rPr>
                                <w:t>5</w:t>
                              </w:r>
                            </w:fldSimple>
                            <w:bookmarkEnd w:id="52"/>
                            <w:r>
                              <w:t>: Components of WHO PEN (Adapted from 2018 New Delhi training manual)</w:t>
                            </w:r>
                            <w:r w:rsidRPr="006D0F95">
                              <w:rPr>
                                <w:vertAlign w:val="superscript"/>
                              </w:rPr>
                              <w:fldChar w:fldCharType="begin"/>
                            </w:r>
                            <w:r w:rsidRPr="006D0F95">
                              <w:rPr>
                                <w:vertAlign w:val="superscript"/>
                              </w:rPr>
                              <w:instrText xml:space="preserve"> NOTEREF _Ref15417863 \h </w:instrText>
                            </w:r>
                            <w:r>
                              <w:rPr>
                                <w:vertAlign w:val="superscript"/>
                              </w:rPr>
                              <w:instrText xml:space="preserve"> \* MERGEFORMAT </w:instrText>
                            </w:r>
                            <w:r w:rsidRPr="006D0F95">
                              <w:rPr>
                                <w:vertAlign w:val="superscript"/>
                              </w:rPr>
                            </w:r>
                            <w:r w:rsidRPr="006D0F95">
                              <w:rPr>
                                <w:vertAlign w:val="superscript"/>
                              </w:rPr>
                              <w:fldChar w:fldCharType="separate"/>
                            </w:r>
                            <w:r>
                              <w:rPr>
                                <w:vertAlign w:val="superscript"/>
                              </w:rPr>
                              <w:t>34</w:t>
                            </w:r>
                            <w:bookmarkEnd w:id="53"/>
                            <w:r w:rsidRPr="006D0F95">
                              <w:rPr>
                                <w:vertAlign w:val="superscrip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77F4B" id="Text Box 25" o:spid="_x0000_s1040" type="#_x0000_t202" style="position:absolute;margin-left:-5.9pt;margin-top:149.65pt;width:496.95pt;height:11.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" stroked="f">
                <v:textbox inset="0,0,0,0">
                  <w:txbxContent>
                    <w:p w14:paraId="7C70A6AB" w14:textId="3E4F0B14" w:rsidR="00504B06" w:rsidRPr="00DD09C5" w:rsidRDefault="00504B06" w:rsidP="0057323A">
                      <w:pPr>
                        <w:pStyle w:val="Caption"/>
                        <w:rPr>
                          <w:noProof/>
                          <w:sz w:val="21"/>
                          <w:szCs w:val="21"/>
                          <w:lang w:val="en-GB"/>
                        </w:rPr>
                      </w:pPr>
                      <w:bookmarkStart w:id="54" w:name="_Ref15417619"/>
                      <w:bookmarkStart w:id="55" w:name="_Toc34804976"/>
                      <w:r>
                        <w:t xml:space="preserve">Figure </w:t>
                      </w:r>
                      <w:fldSimple w:instr=" SEQ Figure \* ARABIC ">
                        <w:r>
                          <w:rPr>
                            <w:noProof/>
                          </w:rPr>
                          <w:t>5</w:t>
                        </w:r>
                      </w:fldSimple>
                      <w:bookmarkEnd w:id="54"/>
                      <w:r>
                        <w:t>: Components of WHO PEN (Adapted from 2018 New Delhi training manual)</w:t>
                      </w:r>
                      <w:r w:rsidRPr="006D0F95">
                        <w:rPr>
                          <w:vertAlign w:val="superscript"/>
                        </w:rPr>
                        <w:fldChar w:fldCharType="begin"/>
                      </w:r>
                      <w:r w:rsidRPr="006D0F95">
                        <w:rPr>
                          <w:vertAlign w:val="superscript"/>
                        </w:rPr>
                        <w:instrText xml:space="preserve"> NOTEREF _Ref15417863 \h </w:instrText>
                      </w:r>
                      <w:r>
                        <w:rPr>
                          <w:vertAlign w:val="superscript"/>
                        </w:rPr>
                        <w:instrText xml:space="preserve"> \* MERGEFORMAT </w:instrText>
                      </w:r>
                      <w:r w:rsidRPr="006D0F95">
                        <w:rPr>
                          <w:vertAlign w:val="superscript"/>
                        </w:rPr>
                      </w:r>
                      <w:r w:rsidRPr="006D0F95">
                        <w:rPr>
                          <w:vertAlign w:val="superscript"/>
                        </w:rPr>
                        <w:fldChar w:fldCharType="separate"/>
                      </w:r>
                      <w:r>
                        <w:rPr>
                          <w:vertAlign w:val="superscript"/>
                        </w:rPr>
                        <w:t>34</w:t>
                      </w:r>
                      <w:bookmarkEnd w:id="55"/>
                      <w:r w:rsidRPr="006D0F95">
                        <w:rPr>
                          <w:vertAlign w:val="superscript"/>
                        </w:rPr>
                        <w:fldChar w:fldCharType="end"/>
                      </w:r>
                    </w:p>
                  </w:txbxContent>
                </v:textbox>
                <w10:wrap type="tight"/>
              </v:shape>
            </w:pict>
          </mc:Fallback>
        </mc:AlternateContent>
      </w:r>
      <w:r w:rsidRPr="00610088">
        <w:rPr>
          <w:noProof/>
          <w:lang w:val="en-GB"/>
        </w:rPr>
        <mc:AlternateContent>
          <mc:Choice Requires="wps">
            <w:drawing>
              <wp:anchor distT="0" distB="0" distL="114300" distR="114300" simplePos="0" relativeHeight="251664384" behindDoc="1" locked="0" layoutInCell="1" allowOverlap="1" wp14:anchorId="5C1F5BB0" wp14:editId="2195F61E">
                <wp:simplePos x="0" y="0"/>
                <wp:positionH relativeFrom="column">
                  <wp:posOffset>-118745</wp:posOffset>
                </wp:positionH>
                <wp:positionV relativeFrom="paragraph">
                  <wp:posOffset>758190</wp:posOffset>
                </wp:positionV>
                <wp:extent cx="6311265" cy="1102995"/>
                <wp:effectExtent l="0" t="0" r="13335" b="14605"/>
                <wp:wrapTight wrapText="bothSides">
                  <wp:wrapPolygon edited="0">
                    <wp:start x="0" y="0"/>
                    <wp:lineTo x="0" y="21637"/>
                    <wp:lineTo x="21602" y="21637"/>
                    <wp:lineTo x="21602"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6311265" cy="1102995"/>
                        </a:xfrm>
                        <a:prstGeom prst="rect">
                          <a:avLst/>
                        </a:prstGeom>
                        <a:solidFill>
                          <a:schemeClr val="accent5">
                            <a:lumMod val="60000"/>
                            <a:lumOff val="40000"/>
                          </a:schemeClr>
                        </a:solidFill>
                        <a:ln w="6350">
                          <a:solidFill>
                            <a:prstClr val="black"/>
                          </a:solidFill>
                        </a:ln>
                      </wps:spPr>
                      <wps:txbx>
                        <w:txbxContent>
                          <w:p w14:paraId="04CDAC71"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Integrated clinical protocol and other tools for addressing cardiovascular risk, diabetes and prevention of renal disease in low resource settings through a PHC approach </w:t>
                            </w:r>
                          </w:p>
                          <w:p w14:paraId="615D257E"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Clinical protocols for management of bronchial asthma and COPD in low resource settings through a PHC approach </w:t>
                            </w:r>
                          </w:p>
                          <w:p w14:paraId="4D7446B0"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Protocol for early referral of individuals suspected of cancer in low resource settings </w:t>
                            </w:r>
                          </w:p>
                          <w:p w14:paraId="00C8A7B5"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Tool for rapid assessment of capacity in primary care </w:t>
                            </w:r>
                          </w:p>
                          <w:p w14:paraId="2CD66F18"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Tools for costing primary care programs </w:t>
                            </w:r>
                          </w:p>
                          <w:p w14:paraId="3970C93B"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Evidence based guidance on self-care of NCDs </w:t>
                            </w:r>
                          </w:p>
                          <w:p w14:paraId="36E4B5C9" w14:textId="77777777" w:rsidR="00504B06" w:rsidRPr="003D477E" w:rsidRDefault="00504B06" w:rsidP="0057323A">
                            <w:pPr>
                              <w:rPr>
                                <w:sz w:val="18"/>
                                <w:szCs w:val="18"/>
                                <w:lang w:val="en-GB"/>
                              </w:rPr>
                            </w:pPr>
                          </w:p>
                          <w:p w14:paraId="7F1EBDFA" w14:textId="77777777" w:rsidR="00504B06" w:rsidRPr="003D477E" w:rsidRDefault="00504B06" w:rsidP="005732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F5BB0" id="Text Box 24" o:spid="_x0000_s1041" type="#_x0000_t202" style="position:absolute;margin-left:-9.35pt;margin-top:59.7pt;width:496.95pt;height:86.8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" fillcolor="#9cc2e5 [1944]" strokeweight=".5pt">
                <v:textbox>
                  <w:txbxContent>
                    <w:p w14:paraId="04CDAC71"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Integrated clinical protocol and other tools for addressing cardiovascular risk, diabetes and prevention of renal disease in low resource settings through a PHC approach </w:t>
                      </w:r>
                    </w:p>
                    <w:p w14:paraId="615D257E"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Clinical protocols for management of bronchial asthma and COPD in low resource settings through a PHC approach </w:t>
                      </w:r>
                    </w:p>
                    <w:p w14:paraId="4D7446B0"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Protocol for early referral of individuals suspected of cancer in low resource settings </w:t>
                      </w:r>
                    </w:p>
                    <w:p w14:paraId="00C8A7B5"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Tool for rapid assessment of capacity in primary care </w:t>
                      </w:r>
                    </w:p>
                    <w:p w14:paraId="2CD66F18"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Tools for costing primary care programs </w:t>
                      </w:r>
                    </w:p>
                    <w:p w14:paraId="3970C93B" w14:textId="77777777" w:rsidR="00504B06" w:rsidRPr="003D477E" w:rsidRDefault="00504B06" w:rsidP="00B82C13">
                      <w:pPr>
                        <w:pStyle w:val="ListParagraph"/>
                        <w:numPr>
                          <w:ilvl w:val="0"/>
                          <w:numId w:val="15"/>
                        </w:numPr>
                        <w:rPr>
                          <w:sz w:val="18"/>
                          <w:szCs w:val="18"/>
                          <w:lang w:val="en-GB"/>
                        </w:rPr>
                      </w:pPr>
                      <w:r w:rsidRPr="003D477E">
                        <w:rPr>
                          <w:sz w:val="18"/>
                          <w:szCs w:val="18"/>
                          <w:lang w:val="en-GB"/>
                        </w:rPr>
                        <w:t xml:space="preserve">Evidence based guidance on self-care of NCDs </w:t>
                      </w:r>
                    </w:p>
                    <w:p w14:paraId="36E4B5C9" w14:textId="77777777" w:rsidR="00504B06" w:rsidRPr="003D477E" w:rsidRDefault="00504B06" w:rsidP="0057323A">
                      <w:pPr>
                        <w:rPr>
                          <w:sz w:val="18"/>
                          <w:szCs w:val="18"/>
                          <w:lang w:val="en-GB"/>
                        </w:rPr>
                      </w:pPr>
                    </w:p>
                    <w:p w14:paraId="7F1EBDFA" w14:textId="77777777" w:rsidR="00504B06" w:rsidRPr="003D477E" w:rsidRDefault="00504B06" w:rsidP="0057323A">
                      <w:pPr>
                        <w:rPr>
                          <w:sz w:val="18"/>
                          <w:szCs w:val="18"/>
                        </w:rPr>
                      </w:pPr>
                    </w:p>
                  </w:txbxContent>
                </v:textbox>
                <w10:wrap type="tight"/>
              </v:shape>
            </w:pict>
          </mc:Fallback>
        </mc:AlternateContent>
      </w:r>
      <w:r w:rsidR="0057323A" w:rsidRPr="00610088">
        <w:rPr>
          <w:lang w:val="en-GB"/>
        </w:rPr>
        <w:t>According to WHO, PEN is an “</w:t>
      </w:r>
      <w:r w:rsidR="0057323A" w:rsidRPr="001B16D1">
        <w:rPr>
          <w:i/>
          <w:iCs/>
          <w:lang w:val="en-GB"/>
        </w:rPr>
        <w:t>innovative and action-oriented set of cost-effective interventions that can be delivered to an acceptable quality of care, even in resource-poor settings</w:t>
      </w:r>
      <w:r w:rsidR="0057323A" w:rsidRPr="00610088">
        <w:rPr>
          <w:lang w:val="en-GB"/>
        </w:rPr>
        <w:t xml:space="preserve">”. PEN’s components are displayed in </w:t>
      </w:r>
      <w:r w:rsidR="0057323A" w:rsidRPr="00610088">
        <w:rPr>
          <w:lang w:val="en-GB"/>
        </w:rPr>
        <w:fldChar w:fldCharType="begin"/>
      </w:r>
      <w:r w:rsidR="0057323A" w:rsidRPr="00610088">
        <w:rPr>
          <w:lang w:val="en-GB"/>
        </w:rPr>
        <w:instrText xml:space="preserve"> REF _Ref15417619 \h </w:instrText>
      </w:r>
      <w:r w:rsidR="0031704D">
        <w:rPr>
          <w:lang w:val="en-GB"/>
        </w:rPr>
        <w:instrText xml:space="preserve"> \* MERGEFORMAT </w:instrText>
      </w:r>
      <w:r w:rsidR="0057323A" w:rsidRPr="00610088">
        <w:rPr>
          <w:lang w:val="en-GB"/>
        </w:rPr>
      </w:r>
      <w:r w:rsidR="0057323A" w:rsidRPr="00610088">
        <w:rPr>
          <w:lang w:val="en-GB"/>
        </w:rPr>
        <w:fldChar w:fldCharType="separate"/>
      </w:r>
      <w:r w:rsidR="00CB360C" w:rsidRPr="00CB360C">
        <w:rPr>
          <w:lang w:val="en-GB"/>
        </w:rPr>
        <w:t xml:space="preserve">Figure </w:t>
      </w:r>
      <w:r w:rsidR="00CB360C" w:rsidRPr="00CB360C">
        <w:rPr>
          <w:noProof/>
          <w:lang w:val="en-GB"/>
        </w:rPr>
        <w:t>5</w:t>
      </w:r>
      <w:r w:rsidR="0057323A" w:rsidRPr="00610088">
        <w:rPr>
          <w:lang w:val="en-GB"/>
        </w:rPr>
        <w:fldChar w:fldCharType="end"/>
      </w:r>
      <w:r w:rsidR="0057323A" w:rsidRPr="00610088">
        <w:rPr>
          <w:lang w:val="en-GB"/>
        </w:rPr>
        <w:t>.</w:t>
      </w:r>
      <w:bookmarkStart w:id="56" w:name="_Ref15417863"/>
      <w:r w:rsidR="0057323A" w:rsidRPr="00610088">
        <w:rPr>
          <w:rStyle w:val="EndnoteReference"/>
          <w:lang w:val="en-GB"/>
        </w:rPr>
        <w:endnoteReference w:id="34"/>
      </w:r>
      <w:bookmarkEnd w:id="56"/>
      <w:r w:rsidR="0057323A" w:rsidRPr="00610088">
        <w:rPr>
          <w:lang w:val="en-GB"/>
        </w:rPr>
        <w:t xml:space="preserve"> PEN </w:t>
      </w:r>
      <w:r w:rsidR="00F81F3F" w:rsidRPr="00610088">
        <w:rPr>
          <w:lang w:val="en-GB"/>
        </w:rPr>
        <w:t xml:space="preserve">is </w:t>
      </w:r>
      <w:r w:rsidR="0057323A" w:rsidRPr="00610088">
        <w:rPr>
          <w:lang w:val="en-GB"/>
        </w:rPr>
        <w:t xml:space="preserve">not supposed to be a stand-alone basic package; it is supposed to be integrated in primary health care. </w:t>
      </w:r>
    </w:p>
    <w:p w14:paraId="64CFD189" w14:textId="75925BC2" w:rsidR="0057323A" w:rsidRPr="00610088" w:rsidRDefault="00C95991" w:rsidP="001B16D1">
      <w:pPr>
        <w:rPr>
          <w:lang w:val="en-GB"/>
        </w:rPr>
      </w:pPr>
      <w:r w:rsidRPr="00610088">
        <w:rPr>
          <w:lang w:val="en-GB"/>
        </w:rPr>
        <w:t xml:space="preserve">A </w:t>
      </w:r>
      <w:r w:rsidRPr="00610088">
        <w:rPr>
          <w:i/>
          <w:iCs/>
          <w:lang w:val="en-GB"/>
        </w:rPr>
        <w:t>‘PEN-</w:t>
      </w:r>
      <w:proofErr w:type="spellStart"/>
      <w:r w:rsidRPr="00610088">
        <w:rPr>
          <w:i/>
          <w:iCs/>
          <w:lang w:val="en-GB"/>
        </w:rPr>
        <w:t>Plus’</w:t>
      </w:r>
      <w:proofErr w:type="spellEnd"/>
      <w:r w:rsidRPr="00610088">
        <w:rPr>
          <w:lang w:val="en-GB"/>
        </w:rPr>
        <w:t xml:space="preserve"> strategy is currently under discussion for first-level hospitals, based on experiences in Rwanda and other countries. </w:t>
      </w:r>
      <w:r w:rsidR="0057323A" w:rsidRPr="00610088">
        <w:rPr>
          <w:lang w:val="en-GB"/>
        </w:rPr>
        <w:t>The aim of PEN-Plus is to alleviate the burden of unaddressed, severe NCDs among rural populations through decentralized, integrated outpatient services at first-level hospitals with as objectives: 1. To support integrated disease surveillance aimed at accurately quantifying the burden of NCDs, including severe diseases, their risk factors and determinants in both urban and rural settings. 2.To strengthen the access to and quality of care for severe NCDs at first-level hospitals through targeted health sector policies that fosters the PEN-Plus approach and 3. To improve the capacity of health care personnel, especially mid-level providers, at first-level hospitals to provide integrated care for severe NCDs</w:t>
      </w:r>
      <w:r w:rsidR="00BB0E24" w:rsidRPr="00610088">
        <w:rPr>
          <w:lang w:val="en-GB"/>
        </w:rPr>
        <w:t>.</w:t>
      </w:r>
      <w:r w:rsidR="00BB0E24" w:rsidRPr="00610088">
        <w:rPr>
          <w:rStyle w:val="EndnoteReference"/>
          <w:lang w:val="en-GB"/>
        </w:rPr>
        <w:endnoteReference w:id="35"/>
      </w:r>
      <w:r w:rsidR="00BB0E24" w:rsidRPr="00610088">
        <w:rPr>
          <w:lang w:val="en-GB"/>
        </w:rPr>
        <w:t xml:space="preserve"> </w:t>
      </w:r>
      <w:r w:rsidR="0057323A" w:rsidRPr="00610088">
        <w:rPr>
          <w:lang w:val="en-GB"/>
        </w:rPr>
        <w:t xml:space="preserve">  </w:t>
      </w:r>
    </w:p>
    <w:p w14:paraId="13A64F70" w14:textId="1D9EBE49" w:rsidR="0057323A" w:rsidRPr="00610088" w:rsidRDefault="0057323A" w:rsidP="0057323A">
      <w:pPr>
        <w:rPr>
          <w:lang w:val="en-GB"/>
        </w:rPr>
      </w:pPr>
    </w:p>
    <w:p w14:paraId="1F248132" w14:textId="77777777" w:rsidR="0057323A" w:rsidRPr="00610088" w:rsidRDefault="0057323A" w:rsidP="00F1043E">
      <w:pPr>
        <w:pStyle w:val="Heading1"/>
        <w:rPr>
          <w:lang w:val="en-GB"/>
        </w:rPr>
      </w:pPr>
      <w:bookmarkStart w:id="57" w:name="_Toc41370543"/>
      <w:r w:rsidRPr="00610088">
        <w:rPr>
          <w:lang w:val="en-GB"/>
        </w:rPr>
        <w:t>Sierra Leone NCD situation</w:t>
      </w:r>
      <w:bookmarkEnd w:id="57"/>
    </w:p>
    <w:p w14:paraId="567D0B44" w14:textId="77777777" w:rsidR="0057323A" w:rsidRPr="00610088" w:rsidRDefault="0057323A" w:rsidP="0057323A">
      <w:pPr>
        <w:rPr>
          <w:lang w:val="en-GB"/>
        </w:rPr>
      </w:pPr>
    </w:p>
    <w:p w14:paraId="16262113" w14:textId="66F758C3" w:rsidR="0057323A" w:rsidRPr="00610088" w:rsidRDefault="0057323A" w:rsidP="00F1043E">
      <w:pPr>
        <w:pStyle w:val="Heading2"/>
        <w:rPr>
          <w:lang w:val="en-GB"/>
        </w:rPr>
      </w:pPr>
      <w:bookmarkStart w:id="58" w:name="_Toc41370544"/>
      <w:r w:rsidRPr="00610088">
        <w:rPr>
          <w:lang w:val="en-GB"/>
        </w:rPr>
        <w:t>NCD status</w:t>
      </w:r>
      <w:r w:rsidR="00FF70EA" w:rsidRPr="00610088">
        <w:rPr>
          <w:lang w:val="en-GB"/>
        </w:rPr>
        <w:t xml:space="preserve"> in Sierra Leone</w:t>
      </w:r>
      <w:r w:rsidR="003D477E" w:rsidRPr="00610088">
        <w:rPr>
          <w:lang w:val="en-GB"/>
        </w:rPr>
        <w:t xml:space="preserve"> - Summary</w:t>
      </w:r>
      <w:bookmarkEnd w:id="58"/>
    </w:p>
    <w:p w14:paraId="2969E36C" w14:textId="5E466E3D" w:rsidR="00FF70EA" w:rsidRPr="00610088" w:rsidRDefault="00FF70EA" w:rsidP="00FF70EA">
      <w:pPr>
        <w:rPr>
          <w:lang w:val="en-GB"/>
        </w:rPr>
      </w:pPr>
    </w:p>
    <w:p w14:paraId="7B8646DC" w14:textId="5D9BEFE9" w:rsidR="00FF70EA" w:rsidRPr="001B16D1" w:rsidRDefault="00FF70EA" w:rsidP="001B16D1">
      <w:pPr>
        <w:rPr>
          <w:i/>
          <w:iCs/>
          <w:lang w:val="en-GB"/>
        </w:rPr>
      </w:pPr>
      <w:r w:rsidRPr="001B16D1">
        <w:rPr>
          <w:i/>
          <w:iCs/>
          <w:lang w:val="en-GB"/>
        </w:rPr>
        <w:t>The NCD status in Sierra Leone is included in Annex 2. This section is a summary.</w:t>
      </w:r>
    </w:p>
    <w:p w14:paraId="79288BBD" w14:textId="69DD3D2D" w:rsidR="00430F09" w:rsidRPr="001B16D1" w:rsidRDefault="00430F09" w:rsidP="001B16D1">
      <w:pPr>
        <w:rPr>
          <w:i/>
          <w:iCs/>
          <w:lang w:val="en-GB"/>
        </w:rPr>
      </w:pPr>
    </w:p>
    <w:p w14:paraId="56964586" w14:textId="18BC5388" w:rsidR="003D477E" w:rsidRPr="00610088" w:rsidRDefault="003D477E" w:rsidP="001B16D1">
      <w:pPr>
        <w:rPr>
          <w:szCs w:val="21"/>
          <w:lang w:val="en-GB"/>
        </w:rPr>
      </w:pPr>
      <w:bookmarkStart w:id="59" w:name="OLE_LINK1"/>
      <w:bookmarkStart w:id="60" w:name="OLE_LINK2"/>
      <w:r w:rsidRPr="00610088">
        <w:rPr>
          <w:szCs w:val="21"/>
          <w:lang w:val="en-GB"/>
        </w:rPr>
        <w:lastRenderedPageBreak/>
        <w:t>Non-Communicable Diseases (NCDs) including injuries contributed to 41% of mortality in Sierra Leone in 2016</w:t>
      </w:r>
      <w:r w:rsidR="001A7A3C" w:rsidRPr="00610088">
        <w:rPr>
          <w:szCs w:val="21"/>
          <w:lang w:val="en-GB"/>
        </w:rPr>
        <w:t xml:space="preserve"> </w:t>
      </w:r>
      <w:r w:rsidR="001A7A3C" w:rsidRPr="00610088">
        <w:rPr>
          <w:szCs w:val="21"/>
          <w:vertAlign w:val="superscript"/>
          <w:lang w:val="en-GB"/>
        </w:rPr>
        <w:fldChar w:fldCharType="begin"/>
      </w:r>
      <w:r w:rsidR="001A7A3C" w:rsidRPr="00610088">
        <w:rPr>
          <w:szCs w:val="21"/>
          <w:vertAlign w:val="superscript"/>
          <w:lang w:val="en-GB"/>
        </w:rPr>
        <w:instrText xml:space="preserve"> NOTEREF _Ref16692559 \h  \* MERGEFORMAT </w:instrText>
      </w:r>
      <w:r w:rsidR="001A7A3C" w:rsidRPr="00610088">
        <w:rPr>
          <w:szCs w:val="21"/>
          <w:vertAlign w:val="superscript"/>
          <w:lang w:val="en-GB"/>
        </w:rPr>
      </w:r>
      <w:r w:rsidR="001A7A3C" w:rsidRPr="00610088">
        <w:rPr>
          <w:szCs w:val="21"/>
          <w:vertAlign w:val="superscript"/>
          <w:lang w:val="en-GB"/>
        </w:rPr>
        <w:fldChar w:fldCharType="separate"/>
      </w:r>
      <w:r w:rsidR="00CB360C">
        <w:rPr>
          <w:szCs w:val="21"/>
          <w:vertAlign w:val="superscript"/>
          <w:lang w:val="en-GB"/>
        </w:rPr>
        <w:t>127</w:t>
      </w:r>
      <w:r w:rsidR="001A7A3C" w:rsidRPr="00610088">
        <w:rPr>
          <w:szCs w:val="21"/>
          <w:vertAlign w:val="superscript"/>
          <w:lang w:val="en-GB"/>
        </w:rPr>
        <w:fldChar w:fldCharType="end"/>
      </w:r>
      <w:r w:rsidRPr="00610088">
        <w:rPr>
          <w:szCs w:val="21"/>
          <w:lang w:val="en-GB"/>
        </w:rPr>
        <w:t>, see</w:t>
      </w:r>
      <w:r w:rsidR="001A7A3C" w:rsidRPr="00610088">
        <w:rPr>
          <w:szCs w:val="21"/>
          <w:lang w:val="en-GB"/>
        </w:rPr>
        <w:t xml:space="preserve"> </w:t>
      </w:r>
      <w:r w:rsidR="001A7A3C" w:rsidRPr="00610088">
        <w:rPr>
          <w:szCs w:val="21"/>
          <w:lang w:val="en-GB"/>
        </w:rPr>
        <w:fldChar w:fldCharType="begin"/>
      </w:r>
      <w:r w:rsidR="001A7A3C" w:rsidRPr="00610088">
        <w:rPr>
          <w:szCs w:val="21"/>
          <w:lang w:val="en-GB"/>
        </w:rPr>
        <w:instrText xml:space="preserve"> REF _Ref32800000 \h </w:instrText>
      </w:r>
      <w:r w:rsidR="001B16D1">
        <w:rPr>
          <w:szCs w:val="21"/>
          <w:lang w:val="en-GB"/>
        </w:rPr>
        <w:instrText xml:space="preserve"> \* MERGEFORMAT </w:instrText>
      </w:r>
      <w:r w:rsidR="001A7A3C" w:rsidRPr="00610088">
        <w:rPr>
          <w:szCs w:val="21"/>
          <w:lang w:val="en-GB"/>
        </w:rPr>
      </w:r>
      <w:r w:rsidR="001A7A3C" w:rsidRPr="00610088">
        <w:rPr>
          <w:szCs w:val="21"/>
          <w:lang w:val="en-GB"/>
        </w:rPr>
        <w:fldChar w:fldCharType="separate"/>
      </w:r>
      <w:r w:rsidR="00CB360C" w:rsidRPr="00610088">
        <w:rPr>
          <w:szCs w:val="21"/>
          <w:lang w:val="en-GB"/>
        </w:rPr>
        <w:t xml:space="preserve">Figure </w:t>
      </w:r>
      <w:r w:rsidR="00CB360C">
        <w:rPr>
          <w:noProof/>
          <w:szCs w:val="21"/>
          <w:lang w:val="en-GB"/>
        </w:rPr>
        <w:t>6</w:t>
      </w:r>
      <w:r w:rsidR="001A7A3C" w:rsidRPr="00610088">
        <w:rPr>
          <w:szCs w:val="21"/>
          <w:lang w:val="en-GB"/>
        </w:rPr>
        <w:fldChar w:fldCharType="end"/>
      </w:r>
      <w:r w:rsidR="001A7A3C" w:rsidRPr="00610088">
        <w:rPr>
          <w:szCs w:val="21"/>
          <w:lang w:val="en-GB"/>
        </w:rPr>
        <w:t>.</w:t>
      </w:r>
      <w:r w:rsidRPr="00610088">
        <w:rPr>
          <w:szCs w:val="21"/>
          <w:lang w:val="en-GB"/>
        </w:rPr>
        <w:t xml:space="preserve"> It is estimated that there are 29,700 deaths every year in Sierra Leone because of NCDs, of which 14,000 males and 15,700 females. Sierra Leone is not on track to reach the 2025 global target (25% reduction of premature death from the 4 main NCDs) for females, se</w:t>
      </w:r>
      <w:r w:rsidR="001A7A3C" w:rsidRPr="00610088">
        <w:rPr>
          <w:szCs w:val="21"/>
          <w:lang w:val="en-GB"/>
        </w:rPr>
        <w:t xml:space="preserve">e </w:t>
      </w:r>
      <w:r w:rsidR="00F0634E">
        <w:rPr>
          <w:szCs w:val="21"/>
          <w:lang w:val="en-GB"/>
        </w:rPr>
        <w:t>Figure 7</w:t>
      </w:r>
      <w:r w:rsidRPr="00610088">
        <w:rPr>
          <w:szCs w:val="21"/>
          <w:lang w:val="en-GB"/>
        </w:rPr>
        <w:t>.  The 2016 premature death risk in Sierra Leone was 30% (male 28%, female 33%).</w:t>
      </w:r>
      <w:r w:rsidR="001A7A3C" w:rsidRPr="00610088">
        <w:rPr>
          <w:szCs w:val="21"/>
          <w:lang w:val="en-GB"/>
        </w:rPr>
        <w:t xml:space="preserve"> </w:t>
      </w:r>
      <w:r w:rsidR="001A7A3C" w:rsidRPr="00610088">
        <w:rPr>
          <w:szCs w:val="21"/>
          <w:vertAlign w:val="superscript"/>
          <w:lang w:val="en-GB"/>
        </w:rPr>
        <w:fldChar w:fldCharType="begin"/>
      </w:r>
      <w:r w:rsidR="001A7A3C" w:rsidRPr="00610088">
        <w:rPr>
          <w:szCs w:val="21"/>
          <w:vertAlign w:val="superscript"/>
          <w:lang w:val="en-GB"/>
        </w:rPr>
        <w:instrText xml:space="preserve"> NOTEREF _Ref16692559 \h  \* MERGEFORMAT </w:instrText>
      </w:r>
      <w:r w:rsidR="001A7A3C" w:rsidRPr="00610088">
        <w:rPr>
          <w:szCs w:val="21"/>
          <w:vertAlign w:val="superscript"/>
          <w:lang w:val="en-GB"/>
        </w:rPr>
      </w:r>
      <w:r w:rsidR="001A7A3C" w:rsidRPr="00610088">
        <w:rPr>
          <w:szCs w:val="21"/>
          <w:vertAlign w:val="superscript"/>
          <w:lang w:val="en-GB"/>
        </w:rPr>
        <w:fldChar w:fldCharType="separate"/>
      </w:r>
      <w:r w:rsidR="00CB360C">
        <w:rPr>
          <w:szCs w:val="21"/>
          <w:vertAlign w:val="superscript"/>
          <w:lang w:val="en-GB"/>
        </w:rPr>
        <w:t>127</w:t>
      </w:r>
      <w:r w:rsidR="001A7A3C" w:rsidRPr="00610088">
        <w:rPr>
          <w:szCs w:val="21"/>
          <w:vertAlign w:val="superscript"/>
          <w:lang w:val="en-GB"/>
        </w:rPr>
        <w:fldChar w:fldCharType="end"/>
      </w:r>
      <w:r w:rsidR="001A7A3C" w:rsidRPr="00610088">
        <w:rPr>
          <w:szCs w:val="21"/>
          <w:vertAlign w:val="superscript"/>
          <w:lang w:val="en-GB"/>
        </w:rPr>
        <w:t>,</w:t>
      </w:r>
      <w:r w:rsidR="001A7A3C" w:rsidRPr="00610088">
        <w:rPr>
          <w:szCs w:val="21"/>
          <w:vertAlign w:val="superscript"/>
          <w:lang w:val="en-GB"/>
        </w:rPr>
        <w:fldChar w:fldCharType="begin"/>
      </w:r>
      <w:r w:rsidR="001A7A3C" w:rsidRPr="00610088">
        <w:rPr>
          <w:szCs w:val="21"/>
          <w:vertAlign w:val="superscript"/>
          <w:lang w:val="en-GB"/>
        </w:rPr>
        <w:instrText xml:space="preserve"> NOTEREF _Ref9330411 \h  \* MERGEFORMAT </w:instrText>
      </w:r>
      <w:r w:rsidR="001A7A3C" w:rsidRPr="00610088">
        <w:rPr>
          <w:szCs w:val="21"/>
          <w:vertAlign w:val="superscript"/>
          <w:lang w:val="en-GB"/>
        </w:rPr>
      </w:r>
      <w:r w:rsidR="001A7A3C" w:rsidRPr="00610088">
        <w:rPr>
          <w:szCs w:val="21"/>
          <w:vertAlign w:val="superscript"/>
          <w:lang w:val="en-GB"/>
        </w:rPr>
        <w:fldChar w:fldCharType="separate"/>
      </w:r>
      <w:r w:rsidR="00CB360C">
        <w:rPr>
          <w:szCs w:val="21"/>
          <w:vertAlign w:val="superscript"/>
          <w:lang w:val="en-GB"/>
        </w:rPr>
        <w:t>128</w:t>
      </w:r>
      <w:r w:rsidR="001A7A3C" w:rsidRPr="00610088">
        <w:rPr>
          <w:szCs w:val="21"/>
          <w:vertAlign w:val="superscript"/>
          <w:lang w:val="en-GB"/>
        </w:rPr>
        <w:fldChar w:fldCharType="end"/>
      </w:r>
      <w:r w:rsidRPr="00610088">
        <w:rPr>
          <w:szCs w:val="21"/>
          <w:lang w:val="en-GB"/>
        </w:rPr>
        <w:t xml:space="preserve"> It is estimated 9700 lives can be saved in Sierra Leone by 2025 by implementing all WHO “best buys”, which are cost-effective evidence-based NCD interventions which are discussed in section </w:t>
      </w:r>
      <w:r w:rsidRPr="00610088">
        <w:rPr>
          <w:szCs w:val="21"/>
          <w:lang w:val="en-GB"/>
        </w:rPr>
        <w:fldChar w:fldCharType="begin"/>
      </w:r>
      <w:r w:rsidRPr="00610088">
        <w:rPr>
          <w:szCs w:val="21"/>
          <w:lang w:val="en-GB"/>
        </w:rPr>
        <w:instrText xml:space="preserve"> REF _Ref16767635 \w \h  \* MERGEFORMAT </w:instrText>
      </w:r>
      <w:r w:rsidRPr="00610088">
        <w:rPr>
          <w:szCs w:val="21"/>
          <w:lang w:val="en-GB"/>
        </w:rPr>
      </w:r>
      <w:r w:rsidRPr="00610088">
        <w:rPr>
          <w:szCs w:val="21"/>
          <w:lang w:val="en-GB"/>
        </w:rPr>
        <w:fldChar w:fldCharType="separate"/>
      </w:r>
      <w:r w:rsidR="00CB360C">
        <w:rPr>
          <w:szCs w:val="21"/>
          <w:lang w:val="en-GB"/>
        </w:rPr>
        <w:t>2.3.1</w:t>
      </w:r>
      <w:r w:rsidRPr="00610088">
        <w:rPr>
          <w:szCs w:val="21"/>
          <w:lang w:val="en-GB"/>
        </w:rPr>
        <w:fldChar w:fldCharType="end"/>
      </w:r>
      <w:r w:rsidRPr="00610088">
        <w:rPr>
          <w:szCs w:val="21"/>
          <w:lang w:val="en-GB"/>
        </w:rPr>
        <w:t xml:space="preserve">. </w:t>
      </w:r>
      <w:r w:rsidR="001A7A3C" w:rsidRPr="00610088">
        <w:rPr>
          <w:szCs w:val="21"/>
          <w:vertAlign w:val="superscript"/>
          <w:lang w:val="en-GB"/>
        </w:rPr>
        <w:fldChar w:fldCharType="begin"/>
      </w:r>
      <w:r w:rsidR="001A7A3C" w:rsidRPr="00610088">
        <w:rPr>
          <w:szCs w:val="21"/>
          <w:vertAlign w:val="superscript"/>
          <w:lang w:val="en-GB"/>
        </w:rPr>
        <w:instrText xml:space="preserve"> NOTEREF _Ref15419966 \h  \* MERGEFORMAT </w:instrText>
      </w:r>
      <w:r w:rsidR="001A7A3C" w:rsidRPr="00610088">
        <w:rPr>
          <w:szCs w:val="21"/>
          <w:vertAlign w:val="superscript"/>
          <w:lang w:val="en-GB"/>
        </w:rPr>
      </w:r>
      <w:r w:rsidR="001A7A3C" w:rsidRPr="00610088">
        <w:rPr>
          <w:szCs w:val="21"/>
          <w:vertAlign w:val="superscript"/>
          <w:lang w:val="en-GB"/>
        </w:rPr>
        <w:fldChar w:fldCharType="separate"/>
      </w:r>
      <w:r w:rsidR="00CB360C">
        <w:rPr>
          <w:szCs w:val="21"/>
          <w:vertAlign w:val="superscript"/>
          <w:lang w:val="en-GB"/>
        </w:rPr>
        <w:t>32</w:t>
      </w:r>
      <w:r w:rsidR="001A7A3C" w:rsidRPr="00610088">
        <w:rPr>
          <w:szCs w:val="21"/>
          <w:vertAlign w:val="superscript"/>
          <w:lang w:val="en-GB"/>
        </w:rPr>
        <w:fldChar w:fldCharType="end"/>
      </w:r>
    </w:p>
    <w:p w14:paraId="5DF60C08" w14:textId="77777777" w:rsidR="003D477E" w:rsidRPr="00610088" w:rsidRDefault="003D477E" w:rsidP="001B16D1">
      <w:pPr>
        <w:rPr>
          <w:szCs w:val="21"/>
          <w:vertAlign w:val="superscript"/>
          <w:lang w:val="en-GB"/>
        </w:rPr>
      </w:pPr>
    </w:p>
    <w:p w14:paraId="43386D64" w14:textId="77777777" w:rsidR="003D477E" w:rsidRPr="00610088" w:rsidRDefault="003D477E" w:rsidP="003D477E">
      <w:pPr>
        <w:pStyle w:val="EndnoteText"/>
        <w:rPr>
          <w:rStyle w:val="EndnoteReference"/>
          <w:sz w:val="21"/>
          <w:szCs w:val="21"/>
          <w:vertAlign w:val="baseline"/>
          <w:lang w:val="en-GB"/>
        </w:rPr>
      </w:pPr>
      <w:r w:rsidRPr="00610088">
        <w:rPr>
          <w:noProof/>
          <w:sz w:val="21"/>
          <w:szCs w:val="21"/>
          <w:lang w:val="en-GB"/>
        </w:rPr>
        <w:drawing>
          <wp:inline distT="0" distB="0" distL="0" distR="0" wp14:anchorId="776532BA" wp14:editId="5D824A73">
            <wp:extent cx="2729653" cy="1604010"/>
            <wp:effectExtent l="0" t="0" r="13970"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10088">
        <w:rPr>
          <w:sz w:val="21"/>
          <w:szCs w:val="21"/>
          <w:lang w:val="en-GB"/>
        </w:rPr>
        <w:t xml:space="preserve">  </w:t>
      </w:r>
      <w:r w:rsidRPr="00610088">
        <w:rPr>
          <w:noProof/>
          <w:sz w:val="21"/>
          <w:szCs w:val="21"/>
          <w:lang w:val="en-GB"/>
        </w:rPr>
        <w:drawing>
          <wp:inline distT="0" distB="0" distL="0" distR="0" wp14:anchorId="4C988162" wp14:editId="11A86A1E">
            <wp:extent cx="2823060" cy="1593003"/>
            <wp:effectExtent l="12700" t="12700" r="9525" b="762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 2019-07-30 at 10.51.10 PM.png"/>
                    <pic:cNvPicPr/>
                  </pic:nvPicPr>
                  <pic:blipFill>
                    <a:blip r:embed="rId23">
                      <a:extLst>
                        <a:ext uri="{28A0092B-C50C-407E-A947-70E740481C1C}">
                          <a14:useLocalDpi xmlns:a14="http://schemas.microsoft.com/office/drawing/2010/main" val="0"/>
                        </a:ext>
                      </a:extLst>
                    </a:blip>
                    <a:stretch>
                      <a:fillRect/>
                    </a:stretch>
                  </pic:blipFill>
                  <pic:spPr>
                    <a:xfrm>
                      <a:off x="0" y="0"/>
                      <a:ext cx="2841100" cy="1603183"/>
                    </a:xfrm>
                    <a:prstGeom prst="rect">
                      <a:avLst/>
                    </a:prstGeom>
                    <a:ln>
                      <a:solidFill>
                        <a:prstClr val="black"/>
                      </a:solidFill>
                    </a:ln>
                  </pic:spPr>
                </pic:pic>
              </a:graphicData>
            </a:graphic>
          </wp:inline>
        </w:drawing>
      </w:r>
    </w:p>
    <w:p w14:paraId="66C9710A" w14:textId="6FCCD779" w:rsidR="003D477E" w:rsidRPr="00610088" w:rsidRDefault="003D477E" w:rsidP="003D477E">
      <w:pPr>
        <w:pStyle w:val="Caption"/>
        <w:rPr>
          <w:sz w:val="21"/>
          <w:szCs w:val="21"/>
          <w:lang w:val="en-GB"/>
        </w:rPr>
      </w:pPr>
      <w:bookmarkStart w:id="61" w:name="_Ref32800000"/>
      <w:bookmarkStart w:id="62" w:name="_Toc34804977"/>
      <w:r w:rsidRPr="00610088">
        <w:rPr>
          <w:sz w:val="21"/>
          <w:szCs w:val="21"/>
          <w:lang w:val="en-GB"/>
        </w:rPr>
        <w:t xml:space="preserve">Figure </w:t>
      </w:r>
      <w:r w:rsidRPr="00610088">
        <w:rPr>
          <w:sz w:val="21"/>
          <w:szCs w:val="21"/>
          <w:lang w:val="en-GB"/>
        </w:rPr>
        <w:fldChar w:fldCharType="begin"/>
      </w:r>
      <w:r w:rsidRPr="00610088">
        <w:rPr>
          <w:sz w:val="21"/>
          <w:szCs w:val="21"/>
          <w:lang w:val="en-GB"/>
        </w:rPr>
        <w:instrText xml:space="preserve"> SEQ Figure \* ARABIC </w:instrText>
      </w:r>
      <w:r w:rsidRPr="00610088">
        <w:rPr>
          <w:sz w:val="21"/>
          <w:szCs w:val="21"/>
          <w:lang w:val="en-GB"/>
        </w:rPr>
        <w:fldChar w:fldCharType="separate"/>
      </w:r>
      <w:r w:rsidR="00CB360C">
        <w:rPr>
          <w:noProof/>
          <w:sz w:val="21"/>
          <w:szCs w:val="21"/>
          <w:lang w:val="en-GB"/>
        </w:rPr>
        <w:t>6</w:t>
      </w:r>
      <w:r w:rsidRPr="00610088">
        <w:rPr>
          <w:sz w:val="21"/>
          <w:szCs w:val="21"/>
          <w:lang w:val="en-GB"/>
        </w:rPr>
        <w:fldChar w:fldCharType="end"/>
      </w:r>
      <w:bookmarkEnd w:id="61"/>
      <w:r w:rsidRPr="00610088">
        <w:rPr>
          <w:sz w:val="21"/>
          <w:szCs w:val="21"/>
          <w:lang w:val="en-GB"/>
        </w:rPr>
        <w:t xml:space="preserve">: Estimated Sierra Leone Mortality contributions – </w:t>
      </w:r>
      <w:proofErr w:type="gramStart"/>
      <w:r w:rsidRPr="00610088">
        <w:rPr>
          <w:sz w:val="21"/>
          <w:szCs w:val="21"/>
          <w:lang w:val="en-GB"/>
        </w:rPr>
        <w:t>2016  Figure</w:t>
      </w:r>
      <w:proofErr w:type="gramEnd"/>
      <w:r w:rsidRPr="00610088">
        <w:rPr>
          <w:sz w:val="21"/>
          <w:szCs w:val="21"/>
          <w:lang w:val="en-GB"/>
        </w:rPr>
        <w:t xml:space="preserve"> </w:t>
      </w:r>
      <w:r w:rsidRPr="00610088">
        <w:rPr>
          <w:sz w:val="21"/>
          <w:szCs w:val="21"/>
          <w:lang w:val="en-GB"/>
        </w:rPr>
        <w:fldChar w:fldCharType="begin"/>
      </w:r>
      <w:r w:rsidRPr="00610088">
        <w:rPr>
          <w:sz w:val="21"/>
          <w:szCs w:val="21"/>
          <w:lang w:val="en-GB"/>
        </w:rPr>
        <w:instrText xml:space="preserve"> SEQ Figure \* ARABIC </w:instrText>
      </w:r>
      <w:r w:rsidRPr="00610088">
        <w:rPr>
          <w:sz w:val="21"/>
          <w:szCs w:val="21"/>
          <w:lang w:val="en-GB"/>
        </w:rPr>
        <w:fldChar w:fldCharType="separate"/>
      </w:r>
      <w:r w:rsidR="00CB360C">
        <w:rPr>
          <w:noProof/>
          <w:sz w:val="21"/>
          <w:szCs w:val="21"/>
          <w:lang w:val="en-GB"/>
        </w:rPr>
        <w:t>7</w:t>
      </w:r>
      <w:r w:rsidRPr="00610088">
        <w:rPr>
          <w:noProof/>
          <w:sz w:val="21"/>
          <w:szCs w:val="21"/>
          <w:lang w:val="en-GB"/>
        </w:rPr>
        <w:fldChar w:fldCharType="end"/>
      </w:r>
      <w:r w:rsidRPr="00610088">
        <w:rPr>
          <w:sz w:val="21"/>
          <w:szCs w:val="21"/>
          <w:lang w:val="en-GB"/>
        </w:rPr>
        <w:t>: Projected premature mortality trends against global voluntary mortality reduction targets, 2016-2025</w:t>
      </w:r>
      <w:bookmarkEnd w:id="62"/>
    </w:p>
    <w:p w14:paraId="5902730F" w14:textId="77777777" w:rsidR="003D477E" w:rsidRPr="00610088" w:rsidRDefault="003D477E" w:rsidP="001B16D1">
      <w:pPr>
        <w:rPr>
          <w:lang w:val="en-GB"/>
        </w:rPr>
      </w:pPr>
      <w:r w:rsidRPr="00610088">
        <w:rPr>
          <w:lang w:val="en-GB"/>
        </w:rPr>
        <w:t>In the top 10 causes of death for 2017 ischemic heart disease and stroke rank 4</w:t>
      </w:r>
      <w:r w:rsidRPr="00610088">
        <w:rPr>
          <w:vertAlign w:val="superscript"/>
          <w:lang w:val="en-GB"/>
        </w:rPr>
        <w:t>th</w:t>
      </w:r>
      <w:r w:rsidRPr="00610088">
        <w:rPr>
          <w:lang w:val="en-GB"/>
        </w:rPr>
        <w:t xml:space="preserve"> and 6</w:t>
      </w:r>
      <w:r w:rsidRPr="00610088">
        <w:rPr>
          <w:vertAlign w:val="superscript"/>
          <w:lang w:val="en-GB"/>
        </w:rPr>
        <w:t>th</w:t>
      </w:r>
      <w:r w:rsidRPr="00610088">
        <w:rPr>
          <w:lang w:val="en-GB"/>
        </w:rPr>
        <w:t xml:space="preserve"> respectively. Ischemic heart disease ranks 10</w:t>
      </w:r>
      <w:r w:rsidRPr="00610088">
        <w:rPr>
          <w:vertAlign w:val="superscript"/>
          <w:lang w:val="en-GB"/>
        </w:rPr>
        <w:t>th</w:t>
      </w:r>
      <w:r w:rsidRPr="00610088">
        <w:rPr>
          <w:lang w:val="en-GB"/>
        </w:rPr>
        <w:t xml:space="preserve"> in the top 10 of premature death causes. </w:t>
      </w:r>
    </w:p>
    <w:p w14:paraId="2DDAD483" w14:textId="7E3AD404" w:rsidR="003D477E" w:rsidRPr="00610088" w:rsidRDefault="003D477E" w:rsidP="001B16D1">
      <w:pPr>
        <w:rPr>
          <w:lang w:val="en-GB"/>
        </w:rPr>
      </w:pPr>
      <w:r w:rsidRPr="00610088">
        <w:rPr>
          <w:lang w:val="en-GB"/>
        </w:rPr>
        <w:t xml:space="preserve">Six NCD conditions (headache disorders, low back pain, depressive disorders, diabetes, blindness and vision impairment and age-related hearing loss) are in the top 10 of disability causes. </w:t>
      </w:r>
      <w:r w:rsidR="00177475" w:rsidRPr="00610088">
        <w:rPr>
          <w:vertAlign w:val="superscript"/>
          <w:lang w:val="en-GB"/>
        </w:rPr>
        <w:fldChar w:fldCharType="begin"/>
      </w:r>
      <w:r w:rsidR="00177475" w:rsidRPr="00610088">
        <w:rPr>
          <w:vertAlign w:val="superscript"/>
          <w:lang w:val="en-GB"/>
        </w:rPr>
        <w:instrText xml:space="preserve"> NOTEREF _Ref16768610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129</w:t>
      </w:r>
      <w:r w:rsidR="00177475" w:rsidRPr="00610088">
        <w:rPr>
          <w:vertAlign w:val="superscript"/>
          <w:lang w:val="en-GB"/>
        </w:rPr>
        <w:fldChar w:fldCharType="end"/>
      </w:r>
    </w:p>
    <w:p w14:paraId="3F176607" w14:textId="77777777" w:rsidR="003D477E" w:rsidRPr="00610088" w:rsidRDefault="003D477E" w:rsidP="001B16D1">
      <w:pPr>
        <w:rPr>
          <w:lang w:val="en-GB"/>
        </w:rPr>
      </w:pPr>
    </w:p>
    <w:p w14:paraId="3ECC7429" w14:textId="06EB2A2C" w:rsidR="003D477E" w:rsidRPr="00610088" w:rsidRDefault="003D477E" w:rsidP="001B16D1">
      <w:pPr>
        <w:rPr>
          <w:lang w:val="en-GB"/>
        </w:rPr>
      </w:pPr>
      <w:r w:rsidRPr="00610088">
        <w:rPr>
          <w:lang w:val="en-GB"/>
        </w:rPr>
        <w:t xml:space="preserve">The most frequent cancers in Sierra Leone are breast, liver, prostate, cervix and colorectum cancers. </w:t>
      </w:r>
      <w:r w:rsidR="00177475" w:rsidRPr="00610088">
        <w:rPr>
          <w:vertAlign w:val="superscript"/>
          <w:lang w:val="en-GB"/>
        </w:rPr>
        <w:fldChar w:fldCharType="begin"/>
      </w:r>
      <w:r w:rsidR="00177475" w:rsidRPr="00610088">
        <w:rPr>
          <w:vertAlign w:val="superscript"/>
          <w:lang w:val="en-GB"/>
        </w:rPr>
        <w:instrText xml:space="preserve"> NOTEREF _Ref32402016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132</w:t>
      </w:r>
      <w:r w:rsidR="00177475" w:rsidRPr="00610088">
        <w:rPr>
          <w:vertAlign w:val="superscript"/>
          <w:lang w:val="en-GB"/>
        </w:rPr>
        <w:fldChar w:fldCharType="end"/>
      </w:r>
      <w:r w:rsidR="00177475" w:rsidRPr="00610088">
        <w:rPr>
          <w:vertAlign w:val="superscript"/>
          <w:lang w:val="en-GB"/>
        </w:rPr>
        <w:t xml:space="preserve"> </w:t>
      </w:r>
      <w:r w:rsidRPr="00610088">
        <w:rPr>
          <w:lang w:val="en-GB"/>
        </w:rPr>
        <w:t>Whilst cancers in children are generally rarer there remain significant numbers of cases with key identifiable tumours including Burkitt’s Lymphoma, Retinoblastoma and Wilms’ (nephroblastoma).</w:t>
      </w:r>
      <w:r w:rsidRPr="00610088">
        <w:rPr>
          <w:vertAlign w:val="superscript"/>
          <w:lang w:val="en-GB"/>
        </w:rPr>
        <w:t xml:space="preserve"> </w:t>
      </w:r>
      <w:r w:rsidR="00177475" w:rsidRPr="00610088">
        <w:rPr>
          <w:vertAlign w:val="superscript"/>
          <w:lang w:val="en-GB"/>
        </w:rPr>
        <w:fldChar w:fldCharType="begin"/>
      </w:r>
      <w:r w:rsidR="00177475" w:rsidRPr="00610088">
        <w:rPr>
          <w:vertAlign w:val="superscript"/>
          <w:lang w:val="en-GB"/>
        </w:rPr>
        <w:instrText xml:space="preserve"> NOTEREF _Ref32574577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133</w:t>
      </w:r>
      <w:r w:rsidR="00177475" w:rsidRPr="00610088">
        <w:rPr>
          <w:vertAlign w:val="superscript"/>
          <w:lang w:val="en-GB"/>
        </w:rPr>
        <w:fldChar w:fldCharType="end"/>
      </w:r>
    </w:p>
    <w:p w14:paraId="44912728" w14:textId="77777777" w:rsidR="003D477E" w:rsidRPr="00610088" w:rsidRDefault="003D477E" w:rsidP="001B16D1">
      <w:pPr>
        <w:rPr>
          <w:lang w:val="en-GB"/>
        </w:rPr>
      </w:pPr>
    </w:p>
    <w:p w14:paraId="0F97F057" w14:textId="613D274C" w:rsidR="003D477E" w:rsidRPr="00610088" w:rsidRDefault="003D477E" w:rsidP="001B16D1">
      <w:pPr>
        <w:rPr>
          <w:lang w:val="en-GB"/>
        </w:rPr>
      </w:pPr>
      <w:r w:rsidRPr="00610088">
        <w:rPr>
          <w:lang w:val="en-GB"/>
        </w:rPr>
        <w:t>Prevalence rates for diabetes in various studies range from 0.0% to 7.0%</w:t>
      </w:r>
      <w:r w:rsidR="00177475" w:rsidRPr="00610088">
        <w:rPr>
          <w:lang w:val="en-GB"/>
        </w:rPr>
        <w:t xml:space="preserve"> </w:t>
      </w:r>
      <w:r w:rsidR="00177475" w:rsidRPr="00610088">
        <w:rPr>
          <w:vertAlign w:val="superscript"/>
          <w:lang w:val="en-GB"/>
        </w:rPr>
        <w:fldChar w:fldCharType="begin"/>
      </w:r>
      <w:r w:rsidR="00177475" w:rsidRPr="00610088">
        <w:rPr>
          <w:vertAlign w:val="superscript"/>
          <w:lang w:val="en-GB"/>
        </w:rPr>
        <w:instrText xml:space="preserve"> NOTEREF _Ref17204703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155</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_Ref32800528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156</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_Ref17030981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157</w:t>
      </w:r>
      <w:r w:rsidR="00177475" w:rsidRPr="00610088">
        <w:rPr>
          <w:vertAlign w:val="superscript"/>
          <w:lang w:val="en-GB"/>
        </w:rPr>
        <w:fldChar w:fldCharType="end"/>
      </w:r>
      <w:r w:rsidRPr="00610088">
        <w:rPr>
          <w:lang w:val="en-GB"/>
        </w:rPr>
        <w:t>, with a recent prevalence of 3.5% in adults over 40 years in Bo district</w:t>
      </w:r>
      <w:r w:rsidR="00177475" w:rsidRPr="00610088">
        <w:rPr>
          <w:lang w:val="en-GB"/>
        </w:rPr>
        <w:t xml:space="preserve"> and a</w:t>
      </w:r>
      <w:r w:rsidR="003561E5">
        <w:rPr>
          <w:lang w:val="en-GB"/>
        </w:rPr>
        <w:t xml:space="preserve"> Global Burden of Disease (</w:t>
      </w:r>
      <w:r w:rsidR="00177475" w:rsidRPr="00610088">
        <w:rPr>
          <w:lang w:val="en-GB"/>
        </w:rPr>
        <w:t>GBD</w:t>
      </w:r>
      <w:r w:rsidR="003561E5">
        <w:rPr>
          <w:lang w:val="en-GB"/>
        </w:rPr>
        <w:t>)</w:t>
      </w:r>
      <w:r w:rsidR="00177475" w:rsidRPr="00610088">
        <w:rPr>
          <w:lang w:val="en-GB"/>
        </w:rPr>
        <w:t xml:space="preserve"> 2017 estimate of 3.3%</w:t>
      </w:r>
      <w:r w:rsidRPr="00610088">
        <w:rPr>
          <w:lang w:val="en-GB"/>
        </w:rPr>
        <w:t>.</w:t>
      </w:r>
      <w:r w:rsidR="00177475" w:rsidRPr="00610088">
        <w:rPr>
          <w:vertAlign w:val="superscript"/>
          <w:lang w:val="en-GB"/>
        </w:rPr>
        <w:fldChar w:fldCharType="begin"/>
      </w:r>
      <w:r w:rsidR="00177475" w:rsidRPr="00610088">
        <w:rPr>
          <w:vertAlign w:val="superscript"/>
          <w:lang w:val="en-GB"/>
        </w:rPr>
        <w:instrText xml:space="preserve"> NOTEREF _Ref17398307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151</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_Ref16838134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154</w:t>
      </w:r>
      <w:r w:rsidR="00177475" w:rsidRPr="00610088">
        <w:rPr>
          <w:vertAlign w:val="superscript"/>
          <w:lang w:val="en-GB"/>
        </w:rPr>
        <w:fldChar w:fldCharType="end"/>
      </w:r>
      <w:r w:rsidRPr="00610088">
        <w:rPr>
          <w:lang w:val="en-GB"/>
        </w:rPr>
        <w:t xml:space="preserve"> </w:t>
      </w:r>
    </w:p>
    <w:p w14:paraId="52EC0608" w14:textId="77777777" w:rsidR="003D477E" w:rsidRPr="00610088" w:rsidRDefault="003D477E" w:rsidP="001B16D1">
      <w:pPr>
        <w:rPr>
          <w:lang w:val="en-GB"/>
        </w:rPr>
      </w:pPr>
    </w:p>
    <w:p w14:paraId="43B0453C" w14:textId="0340107C" w:rsidR="003D477E" w:rsidRPr="00610088" w:rsidRDefault="003D477E" w:rsidP="001B16D1">
      <w:pPr>
        <w:rPr>
          <w:lang w:val="en-GB"/>
        </w:rPr>
      </w:pPr>
      <w:r w:rsidRPr="00610088">
        <w:rPr>
          <w:lang w:val="en-GB"/>
        </w:rPr>
        <w:t>For mental conditions</w:t>
      </w:r>
      <w:r w:rsidR="00F3491B" w:rsidRPr="00610088">
        <w:rPr>
          <w:lang w:val="en-GB"/>
        </w:rPr>
        <w:t>,</w:t>
      </w:r>
      <w:r w:rsidRPr="00610088">
        <w:rPr>
          <w:lang w:val="en-GB"/>
        </w:rPr>
        <w:t xml:space="preserve"> a 2002 </w:t>
      </w:r>
      <w:proofErr w:type="spellStart"/>
      <w:r w:rsidR="00156C15">
        <w:rPr>
          <w:lang w:val="en-GB"/>
        </w:rPr>
        <w:t>M</w:t>
      </w:r>
      <w:r w:rsidR="0031704D">
        <w:rPr>
          <w:lang w:val="en-GB"/>
        </w:rPr>
        <w:t>o</w:t>
      </w:r>
      <w:r w:rsidR="00156C15">
        <w:rPr>
          <w:lang w:val="en-GB"/>
        </w:rPr>
        <w:t>HS</w:t>
      </w:r>
      <w:proofErr w:type="spellEnd"/>
      <w:r w:rsidRPr="00610088">
        <w:rPr>
          <w:lang w:val="en-GB"/>
        </w:rPr>
        <w:t xml:space="preserve"> needs assessment reported prevalence rates of 2 percent for psychosis, 4 percent for severe depression, 4 percent for severe substance abuse, 1 percent for mental disability and 1 percent for epilepsy, while the 2016 WHO NCD country profile for Sierra Leone estimates a suicide mortality rate of 9.7 per 100,000.</w:t>
      </w:r>
      <w:r w:rsidR="00177475" w:rsidRPr="00610088">
        <w:rPr>
          <w:vertAlign w:val="superscript"/>
          <w:lang w:val="en-GB"/>
        </w:rPr>
        <w:fldChar w:fldCharType="begin"/>
      </w:r>
      <w:r w:rsidR="00177475" w:rsidRPr="00610088">
        <w:rPr>
          <w:vertAlign w:val="superscript"/>
          <w:lang w:val="en-GB"/>
        </w:rPr>
        <w:instrText xml:space="preserve"> NOTEREF _Ref32800625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159</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_Ref16692559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127</w:t>
      </w:r>
      <w:r w:rsidR="00177475" w:rsidRPr="00610088">
        <w:rPr>
          <w:vertAlign w:val="superscript"/>
          <w:lang w:val="en-GB"/>
        </w:rPr>
        <w:fldChar w:fldCharType="end"/>
      </w:r>
      <w:r w:rsidRPr="00610088">
        <w:rPr>
          <w:lang w:val="en-GB"/>
        </w:rPr>
        <w:t xml:space="preserve"> </w:t>
      </w:r>
    </w:p>
    <w:p w14:paraId="5C5CF0F4" w14:textId="77777777" w:rsidR="003D477E" w:rsidRPr="00610088" w:rsidRDefault="003D477E" w:rsidP="003D477E">
      <w:pPr>
        <w:rPr>
          <w:szCs w:val="21"/>
          <w:lang w:val="en-GB"/>
        </w:rPr>
      </w:pPr>
    </w:p>
    <w:p w14:paraId="74949887" w14:textId="55ECEEBC" w:rsidR="003D477E" w:rsidRPr="00610088" w:rsidRDefault="003D477E" w:rsidP="001B16D1">
      <w:pPr>
        <w:rPr>
          <w:lang w:val="en-GB"/>
        </w:rPr>
      </w:pPr>
      <w:r w:rsidRPr="00610088">
        <w:rPr>
          <w:lang w:val="en-GB"/>
        </w:rPr>
        <w:t xml:space="preserve">In 2013, 51% and 33% of ever-married 15-49 year women and men had experienced any form (emotional, physical, sexual) of intimate partner violence, with 33.9% of women and 26.0% </w:t>
      </w:r>
      <w:r w:rsidR="00245DE2" w:rsidRPr="00610088">
        <w:rPr>
          <w:lang w:val="en-GB"/>
        </w:rPr>
        <w:t>of men</w:t>
      </w:r>
      <w:r w:rsidRPr="00610088">
        <w:rPr>
          <w:lang w:val="en-GB"/>
        </w:rPr>
        <w:t xml:space="preserve"> experiencing it in the previous 12 months</w:t>
      </w:r>
      <w:r w:rsidR="00F3491B" w:rsidRPr="00610088">
        <w:rPr>
          <w:lang w:val="en-GB"/>
        </w:rPr>
        <w:t>.</w:t>
      </w:r>
      <w:r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_Ref17298289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8</w:t>
      </w:r>
      <w:r w:rsidR="00177475" w:rsidRPr="00610088">
        <w:rPr>
          <w:vertAlign w:val="superscript"/>
          <w:lang w:val="en-GB"/>
        </w:rPr>
        <w:fldChar w:fldCharType="end"/>
      </w:r>
      <w:r w:rsidRPr="00610088">
        <w:rPr>
          <w:lang w:val="en-GB"/>
        </w:rPr>
        <w:t xml:space="preserve"> A 2012 nationwide survey</w:t>
      </w:r>
      <w:r w:rsidRPr="00610088">
        <w:rPr>
          <w:rStyle w:val="EndnoteReference"/>
          <w:szCs w:val="21"/>
          <w:lang w:val="en-GB"/>
        </w:rPr>
        <w:t xml:space="preserve"> </w:t>
      </w:r>
      <w:r w:rsidRPr="00610088">
        <w:rPr>
          <w:lang w:val="en-GB"/>
        </w:rPr>
        <w:t>among 1,843 households showed that 23.95% 3,645 respondents had at least one lifetime traumatic injury, while 12.4% had at least one traumatic injury in the preceding year.</w:t>
      </w:r>
      <w:r w:rsidR="00177475" w:rsidRPr="00610088">
        <w:rPr>
          <w:vertAlign w:val="superscript"/>
          <w:lang w:val="en-GB"/>
        </w:rPr>
        <w:fldChar w:fldCharType="begin"/>
      </w:r>
      <w:r w:rsidR="00177475" w:rsidRPr="00610088">
        <w:rPr>
          <w:vertAlign w:val="superscript"/>
          <w:lang w:val="en-GB"/>
        </w:rPr>
        <w:instrText xml:space="preserve"> NOTEREF _Ref32574726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160</w:t>
      </w:r>
      <w:r w:rsidR="00177475" w:rsidRPr="00610088">
        <w:rPr>
          <w:vertAlign w:val="superscript"/>
          <w:lang w:val="en-GB"/>
        </w:rPr>
        <w:fldChar w:fldCharType="end"/>
      </w:r>
      <w:r w:rsidRPr="00610088">
        <w:rPr>
          <w:vertAlign w:val="superscript"/>
          <w:lang w:val="en-GB"/>
        </w:rPr>
        <w:t xml:space="preserve"> </w:t>
      </w:r>
    </w:p>
    <w:p w14:paraId="03AC75B9" w14:textId="77777777" w:rsidR="003D477E" w:rsidRPr="00610088" w:rsidRDefault="003D477E" w:rsidP="0031704D">
      <w:pPr>
        <w:rPr>
          <w:lang w:val="en-GB"/>
        </w:rPr>
      </w:pPr>
    </w:p>
    <w:p w14:paraId="0A2CE54B" w14:textId="37F573BC" w:rsidR="003D477E" w:rsidRPr="00610088" w:rsidRDefault="003D477E" w:rsidP="001B16D1">
      <w:pPr>
        <w:rPr>
          <w:lang w:val="en-GB"/>
        </w:rPr>
      </w:pPr>
      <w:r w:rsidRPr="00610088">
        <w:rPr>
          <w:lang w:val="en-GB"/>
        </w:rPr>
        <w:t>Beyond the 5 conditions of the 5x5 agenda and injuries there are several other NCD conditions of relevance for Sierra Leone. Most important are hemoglobinopathies and haemolytic anaemias, neurological disorders (mostly headache disorders), digestive diseases (mostly liver cirrhosis), skin and subcutaneous diseases, sense organ diseases and musculoskeletal disorders (mostly low back and neck pain). For the first category, the most common are sickle cell and G6PD deficiency.</w:t>
      </w:r>
      <w:r w:rsidR="00177475" w:rsidRPr="00610088">
        <w:rPr>
          <w:vertAlign w:val="superscript"/>
          <w:lang w:val="en-GB"/>
        </w:rPr>
        <w:fldChar w:fldCharType="begin"/>
      </w:r>
      <w:r w:rsidR="00177475" w:rsidRPr="00610088">
        <w:rPr>
          <w:vertAlign w:val="superscript"/>
          <w:lang w:val="en-GB"/>
        </w:rPr>
        <w:instrText xml:space="preserve"> NOTEREF _Ref16772678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_Ref17398307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151</w:t>
      </w:r>
      <w:r w:rsidR="00177475" w:rsidRPr="00610088">
        <w:rPr>
          <w:vertAlign w:val="superscript"/>
          <w:lang w:val="en-GB"/>
        </w:rPr>
        <w:fldChar w:fldCharType="end"/>
      </w:r>
      <w:r w:rsidR="00177475" w:rsidRPr="00610088">
        <w:rPr>
          <w:vertAlign w:val="superscript"/>
          <w:lang w:val="en-GB"/>
        </w:rPr>
        <w:t>,</w:t>
      </w:r>
      <w:r w:rsidR="00177475" w:rsidRPr="00610088">
        <w:rPr>
          <w:vertAlign w:val="superscript"/>
          <w:lang w:val="en-GB"/>
        </w:rPr>
        <w:fldChar w:fldCharType="begin"/>
      </w:r>
      <w:r w:rsidR="00177475" w:rsidRPr="00610088">
        <w:rPr>
          <w:vertAlign w:val="superscript"/>
          <w:lang w:val="en-GB"/>
        </w:rPr>
        <w:instrText xml:space="preserve"> NOTEREF _Ref16838134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154</w:t>
      </w:r>
      <w:r w:rsidR="00177475" w:rsidRPr="00610088">
        <w:rPr>
          <w:vertAlign w:val="superscript"/>
          <w:lang w:val="en-GB"/>
        </w:rPr>
        <w:fldChar w:fldCharType="end"/>
      </w:r>
    </w:p>
    <w:p w14:paraId="374B5656" w14:textId="5F10648D" w:rsidR="007F58EA" w:rsidRPr="00610088" w:rsidRDefault="007F58EA" w:rsidP="001B16D1">
      <w:pPr>
        <w:rPr>
          <w:lang w:val="en-GB"/>
        </w:rPr>
      </w:pPr>
    </w:p>
    <w:p w14:paraId="5E66BD38" w14:textId="1BDFF08E" w:rsidR="007F58EA" w:rsidRPr="00610088" w:rsidRDefault="007F58EA" w:rsidP="001B16D1">
      <w:pPr>
        <w:rPr>
          <w:lang w:val="en-GB"/>
        </w:rPr>
      </w:pPr>
      <w:r w:rsidRPr="00610088">
        <w:rPr>
          <w:lang w:val="en-GB"/>
        </w:rPr>
        <w:t>Disability prevalence ranges from 1.3% (Census 2015</w:t>
      </w:r>
      <w:r w:rsidR="00177475" w:rsidRPr="00610088">
        <w:rPr>
          <w:vertAlign w:val="superscript"/>
          <w:lang w:val="en-GB"/>
        </w:rPr>
        <w:fldChar w:fldCharType="begin"/>
      </w:r>
      <w:r w:rsidR="00177475" w:rsidRPr="00610088">
        <w:rPr>
          <w:vertAlign w:val="superscript"/>
          <w:lang w:val="en-GB"/>
        </w:rPr>
        <w:instrText xml:space="preserve"> NOTEREF _Ref32569205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164</w:t>
      </w:r>
      <w:r w:rsidR="00177475" w:rsidRPr="00610088">
        <w:rPr>
          <w:vertAlign w:val="superscript"/>
          <w:lang w:val="en-GB"/>
        </w:rPr>
        <w:fldChar w:fldCharType="end"/>
      </w:r>
      <w:r w:rsidRPr="00610088">
        <w:rPr>
          <w:lang w:val="en-GB"/>
        </w:rPr>
        <w:t>) and 2.4% (Census 2004</w:t>
      </w:r>
      <w:r w:rsidR="00177475" w:rsidRPr="00610088">
        <w:rPr>
          <w:vertAlign w:val="superscript"/>
          <w:lang w:val="en-GB"/>
        </w:rPr>
        <w:fldChar w:fldCharType="begin"/>
      </w:r>
      <w:r w:rsidR="00177475" w:rsidRPr="00610088">
        <w:rPr>
          <w:vertAlign w:val="superscript"/>
          <w:lang w:val="en-GB"/>
        </w:rPr>
        <w:instrText xml:space="preserve"> NOTEREF _Ref32800838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165</w:t>
      </w:r>
      <w:r w:rsidR="00177475" w:rsidRPr="00610088">
        <w:rPr>
          <w:vertAlign w:val="superscript"/>
          <w:lang w:val="en-GB"/>
        </w:rPr>
        <w:fldChar w:fldCharType="end"/>
      </w:r>
      <w:r w:rsidRPr="00610088">
        <w:rPr>
          <w:lang w:val="en-GB"/>
        </w:rPr>
        <w:t>) to 9.2% (</w:t>
      </w:r>
      <w:r w:rsidR="0031704D">
        <w:rPr>
          <w:lang w:val="en-GB"/>
        </w:rPr>
        <w:t xml:space="preserve">Multiple Indicator Cluster Survey - </w:t>
      </w:r>
      <w:r w:rsidRPr="00610088">
        <w:rPr>
          <w:lang w:val="en-GB"/>
        </w:rPr>
        <w:t>MICS 2017</w:t>
      </w:r>
      <w:r w:rsidR="00177475" w:rsidRPr="00610088">
        <w:rPr>
          <w:vertAlign w:val="superscript"/>
          <w:lang w:val="en-GB"/>
        </w:rPr>
        <w:fldChar w:fldCharType="begin"/>
      </w:r>
      <w:r w:rsidR="00177475" w:rsidRPr="00610088">
        <w:rPr>
          <w:vertAlign w:val="superscript"/>
          <w:lang w:val="en-GB"/>
        </w:rPr>
        <w:instrText xml:space="preserve"> NOTEREF _Ref17613464 \h  \* MERGEFORMAT </w:instrText>
      </w:r>
      <w:r w:rsidR="00177475" w:rsidRPr="00610088">
        <w:rPr>
          <w:vertAlign w:val="superscript"/>
          <w:lang w:val="en-GB"/>
        </w:rPr>
      </w:r>
      <w:r w:rsidR="00177475" w:rsidRPr="00610088">
        <w:rPr>
          <w:vertAlign w:val="superscript"/>
          <w:lang w:val="en-GB"/>
        </w:rPr>
        <w:fldChar w:fldCharType="separate"/>
      </w:r>
      <w:r w:rsidR="00CB360C">
        <w:rPr>
          <w:vertAlign w:val="superscript"/>
          <w:lang w:val="en-GB"/>
        </w:rPr>
        <w:t>7</w:t>
      </w:r>
      <w:r w:rsidR="00177475" w:rsidRPr="00610088">
        <w:rPr>
          <w:vertAlign w:val="superscript"/>
          <w:lang w:val="en-GB"/>
        </w:rPr>
        <w:fldChar w:fldCharType="end"/>
      </w:r>
      <w:r w:rsidR="00177475" w:rsidRPr="00610088">
        <w:rPr>
          <w:lang w:val="en-GB"/>
        </w:rPr>
        <w:t xml:space="preserve">), </w:t>
      </w:r>
      <w:r w:rsidRPr="00610088">
        <w:rPr>
          <w:lang w:val="en-GB"/>
        </w:rPr>
        <w:t>with differences possibly due to different measurement methods.</w:t>
      </w:r>
      <w:r w:rsidR="00E14B0C" w:rsidRPr="00610088">
        <w:rPr>
          <w:lang w:val="en-GB"/>
        </w:rPr>
        <w:t xml:space="preserve"> </w:t>
      </w:r>
      <w:r w:rsidRPr="00610088">
        <w:rPr>
          <w:lang w:val="en-GB"/>
        </w:rPr>
        <w:t xml:space="preserve">Other estimates based on limited evidence suggest prevalence rates of 7-10% with some as high as 24%. </w:t>
      </w:r>
      <w:r w:rsidR="00E14B0C" w:rsidRPr="00610088">
        <w:rPr>
          <w:vertAlign w:val="superscript"/>
          <w:lang w:val="en-GB"/>
        </w:rPr>
        <w:lastRenderedPageBreak/>
        <w:fldChar w:fldCharType="begin"/>
      </w:r>
      <w:r w:rsidR="00E14B0C" w:rsidRPr="00610088">
        <w:rPr>
          <w:vertAlign w:val="superscript"/>
          <w:lang w:val="en-GB"/>
        </w:rPr>
        <w:instrText xml:space="preserve"> NOTEREF _Ref32800924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166</w:t>
      </w:r>
      <w:r w:rsidR="00E14B0C" w:rsidRPr="00610088">
        <w:rPr>
          <w:vertAlign w:val="superscript"/>
          <w:lang w:val="en-GB"/>
        </w:rPr>
        <w:fldChar w:fldCharType="end"/>
      </w:r>
      <w:r w:rsidR="00E14B0C" w:rsidRPr="00610088">
        <w:rPr>
          <w:vertAlign w:val="superscript"/>
          <w:lang w:val="en-GB"/>
        </w:rPr>
        <w:t>,</w:t>
      </w:r>
      <w:r w:rsidR="00E14B0C" w:rsidRPr="00610088">
        <w:rPr>
          <w:vertAlign w:val="superscript"/>
          <w:lang w:val="en-GB"/>
        </w:rPr>
        <w:fldChar w:fldCharType="begin"/>
      </w:r>
      <w:r w:rsidR="00E14B0C" w:rsidRPr="00610088">
        <w:rPr>
          <w:vertAlign w:val="superscript"/>
          <w:lang w:val="en-GB"/>
        </w:rPr>
        <w:instrText xml:space="preserve"> NOTEREF _Ref32800926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167</w:t>
      </w:r>
      <w:r w:rsidR="00E14B0C" w:rsidRPr="00610088">
        <w:rPr>
          <w:vertAlign w:val="superscript"/>
          <w:lang w:val="en-GB"/>
        </w:rPr>
        <w:fldChar w:fldCharType="end"/>
      </w:r>
      <w:r w:rsidR="00E14B0C" w:rsidRPr="00610088">
        <w:rPr>
          <w:vertAlign w:val="superscript"/>
          <w:lang w:val="en-GB"/>
        </w:rPr>
        <w:t>,</w:t>
      </w:r>
      <w:r w:rsidR="00E14B0C" w:rsidRPr="00610088">
        <w:rPr>
          <w:vertAlign w:val="superscript"/>
          <w:lang w:val="en-GB"/>
        </w:rPr>
        <w:fldChar w:fldCharType="begin"/>
      </w:r>
      <w:r w:rsidR="00E14B0C" w:rsidRPr="00610088">
        <w:rPr>
          <w:vertAlign w:val="superscript"/>
          <w:lang w:val="en-GB"/>
        </w:rPr>
        <w:instrText xml:space="preserve"> NOTEREF _Ref32800928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168</w:t>
      </w:r>
      <w:r w:rsidR="00E14B0C" w:rsidRPr="00610088">
        <w:rPr>
          <w:vertAlign w:val="superscript"/>
          <w:lang w:val="en-GB"/>
        </w:rPr>
        <w:fldChar w:fldCharType="end"/>
      </w:r>
      <w:r w:rsidR="00E14B0C" w:rsidRPr="00610088">
        <w:rPr>
          <w:vertAlign w:val="superscript"/>
          <w:lang w:val="en-GB"/>
        </w:rPr>
        <w:t>,</w:t>
      </w:r>
      <w:r w:rsidR="00E14B0C" w:rsidRPr="00610088">
        <w:rPr>
          <w:vertAlign w:val="superscript"/>
          <w:lang w:val="en-GB"/>
        </w:rPr>
        <w:fldChar w:fldCharType="begin"/>
      </w:r>
      <w:r w:rsidR="00E14B0C" w:rsidRPr="00610088">
        <w:rPr>
          <w:vertAlign w:val="superscript"/>
          <w:lang w:val="en-GB"/>
        </w:rPr>
        <w:instrText xml:space="preserve"> NOTEREF _Ref32800931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169</w:t>
      </w:r>
      <w:r w:rsidR="00E14B0C" w:rsidRPr="00610088">
        <w:rPr>
          <w:vertAlign w:val="superscript"/>
          <w:lang w:val="en-GB"/>
        </w:rPr>
        <w:fldChar w:fldCharType="end"/>
      </w:r>
      <w:r w:rsidR="00E14B0C" w:rsidRPr="00610088">
        <w:rPr>
          <w:lang w:val="en-GB"/>
        </w:rPr>
        <w:t xml:space="preserve"> </w:t>
      </w:r>
      <w:r w:rsidRPr="00610088">
        <w:rPr>
          <w:lang w:val="en-GB"/>
        </w:rPr>
        <w:t>The most common types of disability in 2015 were physical disability caused by polio (21.8%) and partial sightedness (15.2%).</w:t>
      </w:r>
      <w:r w:rsidR="00E14B0C" w:rsidRPr="00610088">
        <w:rPr>
          <w:vertAlign w:val="superscript"/>
          <w:lang w:val="en-GB"/>
        </w:rPr>
        <w:fldChar w:fldCharType="begin"/>
      </w:r>
      <w:r w:rsidR="00E14B0C" w:rsidRPr="00610088">
        <w:rPr>
          <w:vertAlign w:val="superscript"/>
          <w:lang w:val="en-GB"/>
        </w:rPr>
        <w:instrText xml:space="preserve"> NOTEREF _Ref32569205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164</w:t>
      </w:r>
      <w:r w:rsidR="00E14B0C" w:rsidRPr="00610088">
        <w:rPr>
          <w:vertAlign w:val="superscript"/>
          <w:lang w:val="en-GB"/>
        </w:rPr>
        <w:fldChar w:fldCharType="end"/>
      </w:r>
      <w:r w:rsidRPr="00610088">
        <w:rPr>
          <w:lang w:val="en-GB"/>
        </w:rPr>
        <w:t xml:space="preserve"> The estimated main causes of years lived with disability (YLD</w:t>
      </w:r>
      <w:r w:rsidR="0031704D">
        <w:rPr>
          <w:lang w:val="en-GB"/>
        </w:rPr>
        <w:t>s</w:t>
      </w:r>
      <w:r w:rsidRPr="00610088">
        <w:rPr>
          <w:lang w:val="en-GB"/>
        </w:rPr>
        <w:t>) in Sierra Leone for 2017 were dietary iron deficiency, headache disorders, low back pain, depressive disorders and onchocerciasis.</w:t>
      </w:r>
      <w:r w:rsidR="00E14B0C" w:rsidRPr="00610088">
        <w:rPr>
          <w:lang w:val="en-GB"/>
        </w:rPr>
        <w:t xml:space="preserve"> </w:t>
      </w:r>
      <w:r w:rsidR="00E14B0C" w:rsidRPr="00610088">
        <w:rPr>
          <w:vertAlign w:val="superscript"/>
          <w:lang w:val="en-GB"/>
        </w:rPr>
        <w:fldChar w:fldCharType="begin"/>
      </w:r>
      <w:r w:rsidR="00E14B0C" w:rsidRPr="00610088">
        <w:rPr>
          <w:vertAlign w:val="superscript"/>
          <w:lang w:val="en-GB"/>
        </w:rPr>
        <w:instrText xml:space="preserve"> NOTEREF _Ref32801038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170</w:t>
      </w:r>
      <w:r w:rsidR="00E14B0C" w:rsidRPr="00610088">
        <w:rPr>
          <w:vertAlign w:val="superscript"/>
          <w:lang w:val="en-GB"/>
        </w:rPr>
        <w:fldChar w:fldCharType="end"/>
      </w:r>
    </w:p>
    <w:p w14:paraId="2675F44C" w14:textId="1017F599" w:rsidR="007F58EA" w:rsidRPr="00610088" w:rsidRDefault="007F58EA" w:rsidP="001B16D1">
      <w:pPr>
        <w:rPr>
          <w:lang w:val="en-GB"/>
        </w:rPr>
      </w:pPr>
      <w:r w:rsidRPr="00610088">
        <w:rPr>
          <w:lang w:val="en-GB"/>
        </w:rPr>
        <w:t xml:space="preserve">The main impairments according to their estimated population prevalence based on the 2017 GBD study are anaemia (53%), vision loss (14%) and hearing loss (12%). </w:t>
      </w:r>
      <w:r w:rsidR="00E14B0C" w:rsidRPr="00610088">
        <w:rPr>
          <w:vertAlign w:val="superscript"/>
          <w:lang w:val="en-GB"/>
        </w:rPr>
        <w:fldChar w:fldCharType="begin"/>
      </w:r>
      <w:r w:rsidR="00E14B0C" w:rsidRPr="00610088">
        <w:rPr>
          <w:vertAlign w:val="superscript"/>
          <w:lang w:val="en-GB"/>
        </w:rPr>
        <w:instrText xml:space="preserve"> NOTEREF _Ref16772678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w:t>
      </w:r>
      <w:r w:rsidR="00E14B0C" w:rsidRPr="00610088">
        <w:rPr>
          <w:vertAlign w:val="superscript"/>
          <w:lang w:val="en-GB"/>
        </w:rPr>
        <w:fldChar w:fldCharType="end"/>
      </w:r>
      <w:r w:rsidR="00E14B0C" w:rsidRPr="00610088">
        <w:rPr>
          <w:vertAlign w:val="superscript"/>
          <w:lang w:val="en-GB"/>
        </w:rPr>
        <w:t>,</w:t>
      </w:r>
      <w:r w:rsidR="00E14B0C" w:rsidRPr="00610088">
        <w:rPr>
          <w:vertAlign w:val="superscript"/>
          <w:lang w:val="en-GB"/>
        </w:rPr>
        <w:fldChar w:fldCharType="begin"/>
      </w:r>
      <w:r w:rsidR="00E14B0C" w:rsidRPr="00610088">
        <w:rPr>
          <w:vertAlign w:val="superscript"/>
          <w:lang w:val="en-GB"/>
        </w:rPr>
        <w:instrText xml:space="preserve"> NOTEREF _Ref17398307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151</w:t>
      </w:r>
      <w:r w:rsidR="00E14B0C" w:rsidRPr="00610088">
        <w:rPr>
          <w:vertAlign w:val="superscript"/>
          <w:lang w:val="en-GB"/>
        </w:rPr>
        <w:fldChar w:fldCharType="end"/>
      </w:r>
      <w:r w:rsidR="00E14B0C" w:rsidRPr="00610088">
        <w:rPr>
          <w:vertAlign w:val="superscript"/>
          <w:lang w:val="en-GB"/>
        </w:rPr>
        <w:t>,</w:t>
      </w:r>
      <w:r w:rsidR="00E14B0C" w:rsidRPr="00610088">
        <w:rPr>
          <w:vertAlign w:val="superscript"/>
          <w:lang w:val="en-GB"/>
        </w:rPr>
        <w:fldChar w:fldCharType="begin"/>
      </w:r>
      <w:r w:rsidR="00E14B0C" w:rsidRPr="00610088">
        <w:rPr>
          <w:vertAlign w:val="superscript"/>
          <w:lang w:val="en-GB"/>
        </w:rPr>
        <w:instrText xml:space="preserve"> NOTEREF _Ref16838134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154</w:t>
      </w:r>
      <w:r w:rsidR="00E14B0C" w:rsidRPr="00610088">
        <w:rPr>
          <w:vertAlign w:val="superscript"/>
          <w:lang w:val="en-GB"/>
        </w:rPr>
        <w:fldChar w:fldCharType="end"/>
      </w:r>
    </w:p>
    <w:p w14:paraId="1629D11E" w14:textId="77777777" w:rsidR="007F58EA" w:rsidRPr="00610088" w:rsidRDefault="007F58EA" w:rsidP="007F58EA">
      <w:pPr>
        <w:pStyle w:val="Subtitle"/>
        <w:rPr>
          <w:rFonts w:eastAsiaTheme="minorHAnsi"/>
          <w:color w:val="auto"/>
          <w:spacing w:val="0"/>
          <w:sz w:val="21"/>
          <w:szCs w:val="21"/>
          <w:lang w:val="en-GB"/>
        </w:rPr>
      </w:pPr>
    </w:p>
    <w:p w14:paraId="3FA8C5B2" w14:textId="050DE3CF" w:rsidR="002E6D67" w:rsidRPr="00610088" w:rsidRDefault="007A5E46" w:rsidP="002E6D67">
      <w:pPr>
        <w:pStyle w:val="Heading2"/>
        <w:rPr>
          <w:lang w:val="en-GB"/>
        </w:rPr>
      </w:pPr>
      <w:bookmarkStart w:id="63" w:name="_Toc41370545"/>
      <w:bookmarkEnd w:id="59"/>
      <w:bookmarkEnd w:id="60"/>
      <w:r w:rsidRPr="00610088">
        <w:rPr>
          <w:lang w:val="en-GB"/>
        </w:rPr>
        <w:t>NCD r</w:t>
      </w:r>
      <w:r w:rsidR="002E6D67" w:rsidRPr="00610088">
        <w:rPr>
          <w:lang w:val="en-GB"/>
        </w:rPr>
        <w:t xml:space="preserve">isk factors </w:t>
      </w:r>
      <w:r w:rsidRPr="00610088">
        <w:rPr>
          <w:lang w:val="en-GB"/>
        </w:rPr>
        <w:t>in Sierra Leone</w:t>
      </w:r>
      <w:r w:rsidR="003D477E" w:rsidRPr="00610088">
        <w:rPr>
          <w:lang w:val="en-GB"/>
        </w:rPr>
        <w:t xml:space="preserve"> - Summary</w:t>
      </w:r>
      <w:bookmarkEnd w:id="63"/>
    </w:p>
    <w:p w14:paraId="0765AAB0" w14:textId="6251C3E1" w:rsidR="007A5E46" w:rsidRPr="00610088" w:rsidRDefault="007A5E46" w:rsidP="007A5E46">
      <w:pPr>
        <w:rPr>
          <w:lang w:val="en-GB"/>
        </w:rPr>
      </w:pPr>
    </w:p>
    <w:p w14:paraId="153F33D7" w14:textId="5D32B0C5" w:rsidR="007A5E46" w:rsidRPr="001B16D1" w:rsidRDefault="007A5E46" w:rsidP="001B16D1">
      <w:pPr>
        <w:rPr>
          <w:i/>
          <w:iCs/>
          <w:lang w:val="en-GB"/>
        </w:rPr>
      </w:pPr>
      <w:r w:rsidRPr="001B16D1">
        <w:rPr>
          <w:i/>
          <w:iCs/>
          <w:lang w:val="en-GB"/>
        </w:rPr>
        <w:t>The NCD risk factors in Sierra Leone are described in detail in Annex 3. This section is a summary.</w:t>
      </w:r>
    </w:p>
    <w:p w14:paraId="0A5B8E1B" w14:textId="77777777" w:rsidR="003D477E" w:rsidRPr="00610088" w:rsidRDefault="003D477E" w:rsidP="001B16D1">
      <w:pPr>
        <w:rPr>
          <w:highlight w:val="yellow"/>
          <w:lang w:val="en-GB"/>
        </w:rPr>
      </w:pPr>
    </w:p>
    <w:p w14:paraId="77F3B1D9" w14:textId="7C59D236" w:rsidR="007F58EA" w:rsidRPr="00610088" w:rsidRDefault="00C90299" w:rsidP="001B16D1">
      <w:pPr>
        <w:rPr>
          <w:szCs w:val="21"/>
          <w:lang w:val="en-GB"/>
        </w:rPr>
      </w:pPr>
      <w:r w:rsidRPr="00610088">
        <w:rPr>
          <w:szCs w:val="21"/>
          <w:lang w:val="en-GB"/>
        </w:rPr>
        <w:t xml:space="preserve">Key </w:t>
      </w:r>
      <w:r w:rsidR="007F58EA" w:rsidRPr="00610088">
        <w:rPr>
          <w:szCs w:val="21"/>
          <w:lang w:val="en-GB"/>
        </w:rPr>
        <w:t xml:space="preserve">NCD Risk factors consist of both modifiable behaviours and metabolic risks. Key modifiable behaviours include tobacco use, physical inactivity, harmful use of alcohol, unhealthy diets and air pollution. Key metabolic risk factors include raised or elevated blood pressure (hypertension), overweight/obesity, hyperglycaemia and hyperlipidaemia. </w:t>
      </w:r>
    </w:p>
    <w:p w14:paraId="5AFAB842" w14:textId="77777777" w:rsidR="007F58EA" w:rsidRPr="00610088" w:rsidRDefault="007F58EA" w:rsidP="001B16D1">
      <w:pPr>
        <w:rPr>
          <w:szCs w:val="21"/>
          <w:lang w:val="en-GB"/>
        </w:rPr>
      </w:pPr>
    </w:p>
    <w:p w14:paraId="5F7BA181" w14:textId="5F96BF9C" w:rsidR="007F58EA" w:rsidRPr="00610088" w:rsidRDefault="007F58EA" w:rsidP="001B16D1">
      <w:pPr>
        <w:rPr>
          <w:szCs w:val="21"/>
          <w:lang w:val="en-GB"/>
        </w:rPr>
      </w:pPr>
      <w:r w:rsidRPr="00610088">
        <w:rPr>
          <w:color w:val="000000" w:themeColor="text1"/>
          <w:szCs w:val="21"/>
          <w:lang w:val="en-GB"/>
        </w:rPr>
        <w:t>The top-10 of risk factors for death and disability combined in Sierra Leone contain 7 NCD risk factors (</w:t>
      </w:r>
      <w:r w:rsidRPr="00610088">
        <w:rPr>
          <w:szCs w:val="21"/>
          <w:lang w:val="en-GB"/>
        </w:rPr>
        <w:t>(air pollution, high blood pressure, dietary risks, alcohol use, tobacco, high fasting plasma blood glucose and high body mass index).</w:t>
      </w:r>
      <w:r w:rsidRPr="00610088">
        <w:rPr>
          <w:szCs w:val="21"/>
          <w:vertAlign w:val="superscript"/>
          <w:lang w:val="en-GB"/>
        </w:rPr>
        <w:t xml:space="preserve"> </w:t>
      </w:r>
      <w:r w:rsidR="00E14B0C" w:rsidRPr="00610088">
        <w:rPr>
          <w:szCs w:val="21"/>
          <w:vertAlign w:val="superscript"/>
          <w:lang w:val="en-GB"/>
        </w:rPr>
        <w:fldChar w:fldCharType="begin"/>
      </w:r>
      <w:r w:rsidR="00E14B0C" w:rsidRPr="00610088">
        <w:rPr>
          <w:szCs w:val="21"/>
          <w:vertAlign w:val="superscript"/>
          <w:lang w:val="en-GB"/>
        </w:rPr>
        <w:instrText xml:space="preserve"> NOTEREF _Ref16768610 \h  \* MERGEFORMAT </w:instrText>
      </w:r>
      <w:r w:rsidR="00E14B0C" w:rsidRPr="00610088">
        <w:rPr>
          <w:szCs w:val="21"/>
          <w:vertAlign w:val="superscript"/>
          <w:lang w:val="en-GB"/>
        </w:rPr>
      </w:r>
      <w:r w:rsidR="00E14B0C" w:rsidRPr="00610088">
        <w:rPr>
          <w:szCs w:val="21"/>
          <w:vertAlign w:val="superscript"/>
          <w:lang w:val="en-GB"/>
        </w:rPr>
        <w:fldChar w:fldCharType="separate"/>
      </w:r>
      <w:r w:rsidR="00CB360C">
        <w:rPr>
          <w:szCs w:val="21"/>
          <w:vertAlign w:val="superscript"/>
          <w:lang w:val="en-GB"/>
        </w:rPr>
        <w:t>129</w:t>
      </w:r>
      <w:r w:rsidR="00E14B0C" w:rsidRPr="00610088">
        <w:rPr>
          <w:szCs w:val="21"/>
          <w:vertAlign w:val="superscript"/>
          <w:lang w:val="en-GB"/>
        </w:rPr>
        <w:fldChar w:fldCharType="end"/>
      </w:r>
    </w:p>
    <w:p w14:paraId="24EFB06D" w14:textId="77777777" w:rsidR="007F58EA" w:rsidRPr="00610088" w:rsidRDefault="007F58EA" w:rsidP="001B16D1">
      <w:pPr>
        <w:rPr>
          <w:szCs w:val="21"/>
          <w:lang w:val="en-GB"/>
        </w:rPr>
      </w:pPr>
    </w:p>
    <w:p w14:paraId="1A5001EB" w14:textId="0F2E7E14" w:rsidR="007F58EA" w:rsidRPr="00610088" w:rsidRDefault="007F58EA" w:rsidP="001B16D1">
      <w:pPr>
        <w:rPr>
          <w:lang w:val="en-GB"/>
        </w:rPr>
      </w:pPr>
      <w:r w:rsidRPr="00610088">
        <w:rPr>
          <w:lang w:val="en-GB"/>
        </w:rPr>
        <w:t>Sierra Leone has high levels of NCD risk factors. The 2009 STEPS survey</w:t>
      </w:r>
      <w:r w:rsidR="00E14B0C" w:rsidRPr="00610088">
        <w:rPr>
          <w:lang w:val="en-GB"/>
        </w:rPr>
        <w:t xml:space="preserve"> </w:t>
      </w:r>
      <w:r w:rsidR="00E14B0C" w:rsidRPr="00610088">
        <w:rPr>
          <w:lang w:val="en-GB"/>
        </w:rPr>
        <w:fldChar w:fldCharType="begin"/>
      </w:r>
      <w:r w:rsidR="00E14B0C" w:rsidRPr="00610088">
        <w:rPr>
          <w:lang w:val="en-GB"/>
        </w:rPr>
        <w:instrText xml:space="preserve"> NOTEREF _Ref17032158 \f \h </w:instrText>
      </w:r>
      <w:r w:rsidR="001B16D1">
        <w:rPr>
          <w:lang w:val="en-GB"/>
        </w:rPr>
        <w:instrText xml:space="preserve"> \* MERGEFORMAT </w:instrText>
      </w:r>
      <w:r w:rsidR="00E14B0C" w:rsidRPr="00610088">
        <w:rPr>
          <w:lang w:val="en-GB"/>
        </w:rPr>
      </w:r>
      <w:r w:rsidR="00E14B0C" w:rsidRPr="00610088">
        <w:rPr>
          <w:lang w:val="en-GB"/>
        </w:rPr>
        <w:fldChar w:fldCharType="separate"/>
      </w:r>
      <w:r w:rsidR="00CB360C" w:rsidRPr="00CB360C">
        <w:rPr>
          <w:rStyle w:val="EndnoteReference"/>
        </w:rPr>
        <w:t>174</w:t>
      </w:r>
      <w:r w:rsidR="00E14B0C" w:rsidRPr="00610088">
        <w:rPr>
          <w:lang w:val="en-GB"/>
        </w:rPr>
        <w:fldChar w:fldCharType="end"/>
      </w:r>
      <w:r w:rsidR="00E14B0C" w:rsidRPr="00610088">
        <w:rPr>
          <w:vertAlign w:val="superscript"/>
          <w:lang w:val="en-GB"/>
        </w:rPr>
        <w:t xml:space="preserve">, </w:t>
      </w:r>
      <w:r w:rsidR="00E14B0C" w:rsidRPr="00610088">
        <w:rPr>
          <w:lang w:val="en-GB"/>
        </w:rPr>
        <w:fldChar w:fldCharType="begin"/>
      </w:r>
      <w:r w:rsidR="00E14B0C" w:rsidRPr="00610088">
        <w:rPr>
          <w:lang w:val="en-GB"/>
        </w:rPr>
        <w:instrText xml:space="preserve"> NOTEREF _Ref17040725 \f \h </w:instrText>
      </w:r>
      <w:r w:rsidR="001B16D1">
        <w:rPr>
          <w:lang w:val="en-GB"/>
        </w:rPr>
        <w:instrText xml:space="preserve"> \* MERGEFORMAT </w:instrText>
      </w:r>
      <w:r w:rsidR="00E14B0C" w:rsidRPr="00610088">
        <w:rPr>
          <w:lang w:val="en-GB"/>
        </w:rPr>
      </w:r>
      <w:r w:rsidR="00E14B0C" w:rsidRPr="00610088">
        <w:rPr>
          <w:lang w:val="en-GB"/>
        </w:rPr>
        <w:fldChar w:fldCharType="separate"/>
      </w:r>
      <w:r w:rsidR="00CB360C" w:rsidRPr="00CB360C">
        <w:rPr>
          <w:rStyle w:val="EndnoteReference"/>
        </w:rPr>
        <w:t>175</w:t>
      </w:r>
      <w:r w:rsidR="00E14B0C" w:rsidRPr="00610088">
        <w:rPr>
          <w:lang w:val="en-GB"/>
        </w:rPr>
        <w:fldChar w:fldCharType="end"/>
      </w:r>
      <w:r w:rsidRPr="00610088">
        <w:rPr>
          <w:lang w:val="en-GB"/>
        </w:rPr>
        <w:t xml:space="preserve"> found that 70-75% of the population had 1-2 NCD risk factors, while 27.0% (M 31.5%, F 22.6%) had 3 or more NCD risk factors.</w:t>
      </w:r>
      <w:r w:rsidR="00E14B0C" w:rsidRPr="00610088">
        <w:rPr>
          <w:lang w:val="en-GB"/>
        </w:rPr>
        <w:t xml:space="preserve"> </w:t>
      </w:r>
      <w:r w:rsidRPr="00610088">
        <w:rPr>
          <w:lang w:val="en-GB"/>
        </w:rPr>
        <w:t xml:space="preserve"> 77% of &gt; 40 years Bo</w:t>
      </w:r>
      <w:r w:rsidR="0031704D">
        <w:rPr>
          <w:lang w:val="en-GB"/>
        </w:rPr>
        <w:t xml:space="preserve"> District</w:t>
      </w:r>
      <w:r w:rsidRPr="00610088">
        <w:rPr>
          <w:lang w:val="en-GB"/>
        </w:rPr>
        <w:t xml:space="preserve"> adults (2018) had at least 1 NCD risk factor. </w:t>
      </w:r>
      <w:r w:rsidR="00E14B0C" w:rsidRPr="00610088">
        <w:rPr>
          <w:vertAlign w:val="superscript"/>
          <w:lang w:val="en-GB"/>
        </w:rPr>
        <w:fldChar w:fldCharType="begin"/>
      </w:r>
      <w:r w:rsidR="00E14B0C" w:rsidRPr="00610088">
        <w:rPr>
          <w:vertAlign w:val="superscript"/>
          <w:lang w:val="en-GB"/>
        </w:rPr>
        <w:instrText xml:space="preserve"> NOTEREF _Ref17030981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157</w:t>
      </w:r>
      <w:r w:rsidR="00E14B0C" w:rsidRPr="00610088">
        <w:rPr>
          <w:vertAlign w:val="superscript"/>
          <w:lang w:val="en-GB"/>
        </w:rPr>
        <w:fldChar w:fldCharType="end"/>
      </w:r>
    </w:p>
    <w:p w14:paraId="0A665051" w14:textId="77777777" w:rsidR="007F58EA" w:rsidRPr="00610088" w:rsidRDefault="007F58EA" w:rsidP="001B16D1">
      <w:pPr>
        <w:rPr>
          <w:lang w:val="en-GB"/>
        </w:rPr>
      </w:pPr>
    </w:p>
    <w:p w14:paraId="1223F2E5" w14:textId="4E60B5B8" w:rsidR="007F58EA" w:rsidRPr="00610088" w:rsidRDefault="007F58EA" w:rsidP="001B16D1">
      <w:pPr>
        <w:rPr>
          <w:lang w:val="en-GB"/>
        </w:rPr>
      </w:pPr>
      <w:r w:rsidRPr="00610088">
        <w:rPr>
          <w:lang w:val="en-GB"/>
        </w:rPr>
        <w:t>Tobacco use is high, especially in males, with 25.8% (M 43.1%, F 10.5%) in STEPS 2009 study</w:t>
      </w:r>
      <w:r w:rsidR="00E14B0C" w:rsidRPr="00610088">
        <w:rPr>
          <w:lang w:val="en-GB"/>
        </w:rPr>
        <w:t xml:space="preserve"> </w:t>
      </w:r>
      <w:r w:rsidR="00E14B0C" w:rsidRPr="00610088">
        <w:rPr>
          <w:lang w:val="en-GB"/>
        </w:rPr>
        <w:fldChar w:fldCharType="begin"/>
      </w:r>
      <w:r w:rsidR="00E14B0C" w:rsidRPr="00610088">
        <w:rPr>
          <w:lang w:val="en-GB"/>
        </w:rPr>
        <w:instrText xml:space="preserve"> NOTEREF _Ref17032158 \f \h </w:instrText>
      </w:r>
      <w:r w:rsidR="001B16D1">
        <w:rPr>
          <w:lang w:val="en-GB"/>
        </w:rPr>
        <w:instrText xml:space="preserve"> \* MERGEFORMAT </w:instrText>
      </w:r>
      <w:r w:rsidR="00E14B0C" w:rsidRPr="00610088">
        <w:rPr>
          <w:lang w:val="en-GB"/>
        </w:rPr>
      </w:r>
      <w:r w:rsidR="00E14B0C" w:rsidRPr="00610088">
        <w:rPr>
          <w:lang w:val="en-GB"/>
        </w:rPr>
        <w:fldChar w:fldCharType="separate"/>
      </w:r>
      <w:r w:rsidR="00CB360C" w:rsidRPr="00CB360C">
        <w:rPr>
          <w:rStyle w:val="EndnoteReference"/>
        </w:rPr>
        <w:t>174</w:t>
      </w:r>
      <w:r w:rsidR="00E14B0C" w:rsidRPr="00610088">
        <w:rPr>
          <w:lang w:val="en-GB"/>
        </w:rPr>
        <w:fldChar w:fldCharType="end"/>
      </w:r>
      <w:r w:rsidR="00E14B0C" w:rsidRPr="00610088">
        <w:rPr>
          <w:vertAlign w:val="superscript"/>
          <w:lang w:val="en-GB"/>
        </w:rPr>
        <w:t xml:space="preserve">, </w:t>
      </w:r>
      <w:r w:rsidR="00E14B0C" w:rsidRPr="00610088">
        <w:rPr>
          <w:lang w:val="en-GB"/>
        </w:rPr>
        <w:fldChar w:fldCharType="begin"/>
      </w:r>
      <w:r w:rsidR="00E14B0C" w:rsidRPr="00610088">
        <w:rPr>
          <w:lang w:val="en-GB"/>
        </w:rPr>
        <w:instrText xml:space="preserve"> NOTEREF _Ref17040725 \f \h </w:instrText>
      </w:r>
      <w:r w:rsidR="001B16D1">
        <w:rPr>
          <w:lang w:val="en-GB"/>
        </w:rPr>
        <w:instrText xml:space="preserve"> \* MERGEFORMAT </w:instrText>
      </w:r>
      <w:r w:rsidR="00E14B0C" w:rsidRPr="00610088">
        <w:rPr>
          <w:lang w:val="en-GB"/>
        </w:rPr>
      </w:r>
      <w:r w:rsidR="00E14B0C" w:rsidRPr="00610088">
        <w:rPr>
          <w:lang w:val="en-GB"/>
        </w:rPr>
        <w:fldChar w:fldCharType="separate"/>
      </w:r>
      <w:r w:rsidR="00CB360C" w:rsidRPr="00CB360C">
        <w:rPr>
          <w:rStyle w:val="EndnoteReference"/>
        </w:rPr>
        <w:t>175</w:t>
      </w:r>
      <w:r w:rsidR="00E14B0C" w:rsidRPr="00610088">
        <w:rPr>
          <w:lang w:val="en-GB"/>
        </w:rPr>
        <w:fldChar w:fldCharType="end"/>
      </w:r>
      <w:r w:rsidRPr="00610088">
        <w:rPr>
          <w:lang w:val="en-GB"/>
        </w:rPr>
        <w:t>, 26% (M) and 4% (F) in DHS 2013</w:t>
      </w:r>
      <w:r w:rsidR="00E14B0C" w:rsidRPr="00610088">
        <w:rPr>
          <w:vertAlign w:val="superscript"/>
          <w:lang w:val="en-GB"/>
        </w:rPr>
        <w:fldChar w:fldCharType="begin"/>
      </w:r>
      <w:r w:rsidR="00E14B0C" w:rsidRPr="00610088">
        <w:rPr>
          <w:vertAlign w:val="superscript"/>
          <w:lang w:val="en-GB"/>
        </w:rPr>
        <w:instrText xml:space="preserve"> NOTEREF _Ref17298289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8</w:t>
      </w:r>
      <w:r w:rsidR="00E14B0C" w:rsidRPr="00610088">
        <w:rPr>
          <w:vertAlign w:val="superscript"/>
          <w:lang w:val="en-GB"/>
        </w:rPr>
        <w:fldChar w:fldCharType="end"/>
      </w:r>
      <w:r w:rsidRPr="00610088">
        <w:rPr>
          <w:vertAlign w:val="superscript"/>
          <w:lang w:val="en-GB"/>
        </w:rPr>
        <w:t xml:space="preserve"> </w:t>
      </w:r>
      <w:r w:rsidRPr="00610088">
        <w:rPr>
          <w:lang w:val="en-GB"/>
        </w:rPr>
        <w:t>and 25% in adults over 40 years in Bo</w:t>
      </w:r>
      <w:r w:rsidR="0031704D">
        <w:rPr>
          <w:lang w:val="en-GB"/>
        </w:rPr>
        <w:t xml:space="preserve"> District</w:t>
      </w:r>
      <w:r w:rsidRPr="00610088">
        <w:rPr>
          <w:lang w:val="en-GB"/>
        </w:rPr>
        <w:t xml:space="preserve"> in 2018</w:t>
      </w:r>
      <w:r w:rsidR="00E14B0C" w:rsidRPr="00610088">
        <w:rPr>
          <w:lang w:val="en-GB"/>
        </w:rPr>
        <w:t xml:space="preserve"> </w:t>
      </w:r>
      <w:r w:rsidR="00E14B0C" w:rsidRPr="00610088">
        <w:rPr>
          <w:vertAlign w:val="superscript"/>
          <w:lang w:val="en-GB"/>
        </w:rPr>
        <w:fldChar w:fldCharType="begin"/>
      </w:r>
      <w:r w:rsidR="00E14B0C" w:rsidRPr="00610088">
        <w:rPr>
          <w:vertAlign w:val="superscript"/>
          <w:lang w:val="en-GB"/>
        </w:rPr>
        <w:instrText xml:space="preserve"> NOTEREF _Ref17030981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157</w:t>
      </w:r>
      <w:r w:rsidR="00E14B0C" w:rsidRPr="00610088">
        <w:rPr>
          <w:vertAlign w:val="superscript"/>
          <w:lang w:val="en-GB"/>
        </w:rPr>
        <w:fldChar w:fldCharType="end"/>
      </w:r>
      <w:r w:rsidRPr="00610088">
        <w:rPr>
          <w:lang w:val="en-GB"/>
        </w:rPr>
        <w:t xml:space="preserve">. 3,330 deaths per year in Sierra Leone are attributable to tobacco, resulting in 1.5% of GDP loss.  6 priority FCTC interventions (Raising cigarette taxes, protecting people from tobacco smoke, warning labels, plain packaging, mass media campaigns and bans on advertising) can avert 19,900 deaths over 15 years and thus avoid </w:t>
      </w:r>
      <w:r w:rsidR="00F47941">
        <w:rPr>
          <w:lang w:val="en-GB"/>
        </w:rPr>
        <w:t xml:space="preserve">Sierra Leone </w:t>
      </w:r>
      <w:proofErr w:type="spellStart"/>
      <w:r w:rsidR="00F47941">
        <w:rPr>
          <w:lang w:val="en-GB"/>
        </w:rPr>
        <w:t>Leone</w:t>
      </w:r>
      <w:proofErr w:type="spellEnd"/>
      <w:r w:rsidR="00F47941">
        <w:rPr>
          <w:lang w:val="en-GB"/>
        </w:rPr>
        <w:t xml:space="preserve"> (S</w:t>
      </w:r>
      <w:r w:rsidRPr="00610088">
        <w:rPr>
          <w:lang w:val="en-GB"/>
        </w:rPr>
        <w:t>LL</w:t>
      </w:r>
      <w:r w:rsidR="00F47941">
        <w:rPr>
          <w:lang w:val="en-GB"/>
        </w:rPr>
        <w:t>)</w:t>
      </w:r>
      <w:r w:rsidRPr="00610088">
        <w:rPr>
          <w:lang w:val="en-GB"/>
        </w:rPr>
        <w:t xml:space="preserve"> 1.9 billion economic losses.</w:t>
      </w:r>
      <w:r w:rsidR="00E14B0C" w:rsidRPr="00610088">
        <w:rPr>
          <w:vertAlign w:val="superscript"/>
          <w:lang w:val="en-GB"/>
        </w:rPr>
        <w:fldChar w:fldCharType="begin"/>
      </w:r>
      <w:r w:rsidR="00E14B0C" w:rsidRPr="00610088">
        <w:rPr>
          <w:vertAlign w:val="superscript"/>
          <w:lang w:val="en-GB"/>
        </w:rPr>
        <w:instrText xml:space="preserve"> NOTEREF _Ref32612442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176</w:t>
      </w:r>
      <w:r w:rsidR="00E14B0C" w:rsidRPr="00610088">
        <w:rPr>
          <w:vertAlign w:val="superscript"/>
          <w:lang w:val="en-GB"/>
        </w:rPr>
        <w:fldChar w:fldCharType="end"/>
      </w:r>
    </w:p>
    <w:p w14:paraId="0829E8E7" w14:textId="77777777" w:rsidR="007F58EA" w:rsidRPr="00610088" w:rsidRDefault="007F58EA" w:rsidP="001B16D1">
      <w:pPr>
        <w:rPr>
          <w:lang w:val="en-GB"/>
        </w:rPr>
      </w:pPr>
    </w:p>
    <w:p w14:paraId="4AD891C0" w14:textId="59122089" w:rsidR="007F58EA" w:rsidRPr="00610088" w:rsidRDefault="007F58EA" w:rsidP="001B16D1">
      <w:pPr>
        <w:rPr>
          <w:lang w:val="en-GB"/>
        </w:rPr>
      </w:pPr>
      <w:r w:rsidRPr="00610088">
        <w:rPr>
          <w:lang w:val="en-GB"/>
        </w:rPr>
        <w:t>16.4% of the population had a low level of activity in 2009 (STEPS)</w:t>
      </w:r>
      <w:r w:rsidR="00E14B0C" w:rsidRPr="00610088">
        <w:rPr>
          <w:lang w:val="en-GB"/>
        </w:rPr>
        <w:t xml:space="preserve"> </w:t>
      </w:r>
      <w:r w:rsidR="00E14B0C" w:rsidRPr="00610088">
        <w:rPr>
          <w:lang w:val="en-GB"/>
        </w:rPr>
        <w:fldChar w:fldCharType="begin"/>
      </w:r>
      <w:r w:rsidR="00E14B0C" w:rsidRPr="00610088">
        <w:rPr>
          <w:lang w:val="en-GB"/>
        </w:rPr>
        <w:instrText xml:space="preserve"> NOTEREF _Ref17032158 \f \h </w:instrText>
      </w:r>
      <w:r w:rsidR="001B16D1">
        <w:rPr>
          <w:lang w:val="en-GB"/>
        </w:rPr>
        <w:instrText xml:space="preserve"> \* MERGEFORMAT </w:instrText>
      </w:r>
      <w:r w:rsidR="00E14B0C" w:rsidRPr="00610088">
        <w:rPr>
          <w:lang w:val="en-GB"/>
        </w:rPr>
      </w:r>
      <w:r w:rsidR="00E14B0C" w:rsidRPr="00610088">
        <w:rPr>
          <w:lang w:val="en-GB"/>
        </w:rPr>
        <w:fldChar w:fldCharType="separate"/>
      </w:r>
      <w:r w:rsidR="00CB360C" w:rsidRPr="00CB360C">
        <w:rPr>
          <w:rStyle w:val="EndnoteReference"/>
        </w:rPr>
        <w:t>174</w:t>
      </w:r>
      <w:r w:rsidR="00E14B0C" w:rsidRPr="00610088">
        <w:rPr>
          <w:lang w:val="en-GB"/>
        </w:rPr>
        <w:fldChar w:fldCharType="end"/>
      </w:r>
      <w:r w:rsidRPr="00610088">
        <w:rPr>
          <w:lang w:val="en-GB"/>
        </w:rPr>
        <w:t xml:space="preserve">, while </w:t>
      </w:r>
      <w:r w:rsidR="00E14B0C" w:rsidRPr="00610088">
        <w:rPr>
          <w:lang w:val="en-GB"/>
        </w:rPr>
        <w:t xml:space="preserve">less than </w:t>
      </w:r>
      <w:r w:rsidRPr="00610088">
        <w:rPr>
          <w:lang w:val="en-GB"/>
        </w:rPr>
        <w:t>10% of over 40 years adults in Bo in 2018 had a low level of activity</w:t>
      </w:r>
      <w:r w:rsidR="00E14B0C" w:rsidRPr="00610088">
        <w:rPr>
          <w:lang w:val="en-GB"/>
        </w:rPr>
        <w:t xml:space="preserve"> (preliminary analysis). </w:t>
      </w:r>
      <w:r w:rsidR="00E14B0C" w:rsidRPr="00610088">
        <w:rPr>
          <w:vertAlign w:val="superscript"/>
          <w:lang w:val="en-GB"/>
        </w:rPr>
        <w:fldChar w:fldCharType="begin"/>
      </w:r>
      <w:r w:rsidR="00E14B0C" w:rsidRPr="00610088">
        <w:rPr>
          <w:vertAlign w:val="superscript"/>
          <w:lang w:val="en-GB"/>
        </w:rPr>
        <w:instrText xml:space="preserve"> NOTEREF _Ref17030981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157</w:t>
      </w:r>
      <w:r w:rsidR="00E14B0C" w:rsidRPr="00610088">
        <w:rPr>
          <w:vertAlign w:val="superscript"/>
          <w:lang w:val="en-GB"/>
        </w:rPr>
        <w:fldChar w:fldCharType="end"/>
      </w:r>
    </w:p>
    <w:p w14:paraId="715C568D" w14:textId="77777777" w:rsidR="007F58EA" w:rsidRPr="00610088" w:rsidRDefault="007F58EA" w:rsidP="001B16D1">
      <w:pPr>
        <w:rPr>
          <w:lang w:val="en-GB"/>
        </w:rPr>
      </w:pPr>
    </w:p>
    <w:p w14:paraId="7E715D53" w14:textId="23BDD37E" w:rsidR="007F58EA" w:rsidRPr="00610088" w:rsidRDefault="007F58EA" w:rsidP="001B16D1">
      <w:pPr>
        <w:rPr>
          <w:lang w:val="en-GB"/>
        </w:rPr>
      </w:pPr>
      <w:r w:rsidRPr="00610088">
        <w:rPr>
          <w:lang w:val="en-GB"/>
        </w:rPr>
        <w:t>Current alcohol use was 17.2% (M 24.4%, F 10.9%) in 2009 (STEPS)</w:t>
      </w:r>
      <w:r w:rsidR="00CA2EAC" w:rsidRPr="00610088">
        <w:rPr>
          <w:lang w:val="en-GB"/>
        </w:rPr>
        <w:t xml:space="preserve"> </w:t>
      </w:r>
      <w:r w:rsidR="00CA2EAC" w:rsidRPr="00610088">
        <w:rPr>
          <w:lang w:val="en-GB"/>
        </w:rPr>
        <w:fldChar w:fldCharType="begin"/>
      </w:r>
      <w:r w:rsidR="00CA2EAC" w:rsidRPr="00610088">
        <w:rPr>
          <w:lang w:val="en-GB"/>
        </w:rPr>
        <w:instrText xml:space="preserve"> NOTEREF _Ref17032158 \f \h </w:instrText>
      </w:r>
      <w:r w:rsidR="001B16D1">
        <w:rPr>
          <w:lang w:val="en-GB"/>
        </w:rPr>
        <w:instrText xml:space="preserve"> \* MERGEFORMAT </w:instrText>
      </w:r>
      <w:r w:rsidR="00CA2EAC" w:rsidRPr="00610088">
        <w:rPr>
          <w:lang w:val="en-GB"/>
        </w:rPr>
      </w:r>
      <w:r w:rsidR="00CA2EAC" w:rsidRPr="00610088">
        <w:rPr>
          <w:lang w:val="en-GB"/>
        </w:rPr>
        <w:fldChar w:fldCharType="separate"/>
      </w:r>
      <w:r w:rsidR="00CB360C" w:rsidRPr="00CB360C">
        <w:rPr>
          <w:rStyle w:val="EndnoteReference"/>
        </w:rPr>
        <w:t>174</w:t>
      </w:r>
      <w:r w:rsidR="00CA2EAC" w:rsidRPr="00610088">
        <w:rPr>
          <w:lang w:val="en-GB"/>
        </w:rPr>
        <w:fldChar w:fldCharType="end"/>
      </w:r>
      <w:r w:rsidR="00CA2EAC" w:rsidRPr="00610088">
        <w:rPr>
          <w:lang w:val="en-GB"/>
        </w:rPr>
        <w:t>,</w:t>
      </w:r>
      <w:r w:rsidRPr="00610088">
        <w:rPr>
          <w:lang w:val="en-GB"/>
        </w:rPr>
        <w:t xml:space="preserve"> and 11.3% for males and 2.0% for females in 2017 (MICS)</w:t>
      </w:r>
      <w:r w:rsidR="00CA2EAC" w:rsidRPr="00610088">
        <w:rPr>
          <w:vertAlign w:val="superscript"/>
          <w:lang w:val="en-GB"/>
        </w:rPr>
        <w:fldChar w:fldCharType="begin"/>
      </w:r>
      <w:r w:rsidR="00CA2EAC" w:rsidRPr="00610088">
        <w:rPr>
          <w:vertAlign w:val="superscript"/>
          <w:lang w:val="en-GB"/>
        </w:rPr>
        <w:instrText xml:space="preserve"> NOTEREF _Ref17613464 \h  \* MERGEFORMAT </w:instrText>
      </w:r>
      <w:r w:rsidR="00CA2EAC" w:rsidRPr="00610088">
        <w:rPr>
          <w:vertAlign w:val="superscript"/>
          <w:lang w:val="en-GB"/>
        </w:rPr>
      </w:r>
      <w:r w:rsidR="00CA2EAC" w:rsidRPr="00610088">
        <w:rPr>
          <w:vertAlign w:val="superscript"/>
          <w:lang w:val="en-GB"/>
        </w:rPr>
        <w:fldChar w:fldCharType="separate"/>
      </w:r>
      <w:r w:rsidR="00CB360C">
        <w:rPr>
          <w:vertAlign w:val="superscript"/>
          <w:lang w:val="en-GB"/>
        </w:rPr>
        <w:t>7</w:t>
      </w:r>
      <w:r w:rsidR="00CA2EAC" w:rsidRPr="00610088">
        <w:rPr>
          <w:vertAlign w:val="superscript"/>
          <w:lang w:val="en-GB"/>
        </w:rPr>
        <w:fldChar w:fldCharType="end"/>
      </w:r>
      <w:r w:rsidRPr="00610088">
        <w:rPr>
          <w:lang w:val="en-GB"/>
        </w:rPr>
        <w:t>. Women whose husbands are often drunk are more likely (67%) to experience any form of violence (emotional, physical or sexual) than women whose husbands do not drink alcohol (48%) (DHS 2013)</w:t>
      </w:r>
      <w:r w:rsidR="00CA2EAC" w:rsidRPr="00610088">
        <w:rPr>
          <w:lang w:val="en-GB"/>
        </w:rPr>
        <w:t>.</w:t>
      </w:r>
      <w:r w:rsidR="00CA2EAC" w:rsidRPr="00610088">
        <w:rPr>
          <w:vertAlign w:val="superscript"/>
          <w:lang w:val="en-GB"/>
        </w:rPr>
        <w:fldChar w:fldCharType="begin"/>
      </w:r>
      <w:r w:rsidR="00CA2EAC" w:rsidRPr="00610088">
        <w:rPr>
          <w:vertAlign w:val="superscript"/>
          <w:lang w:val="en-GB"/>
        </w:rPr>
        <w:instrText xml:space="preserve"> NOTEREF _Ref17298289 \h  \* MERGEFORMAT </w:instrText>
      </w:r>
      <w:r w:rsidR="00CA2EAC" w:rsidRPr="00610088">
        <w:rPr>
          <w:vertAlign w:val="superscript"/>
          <w:lang w:val="en-GB"/>
        </w:rPr>
      </w:r>
      <w:r w:rsidR="00CA2EAC" w:rsidRPr="00610088">
        <w:rPr>
          <w:vertAlign w:val="superscript"/>
          <w:lang w:val="en-GB"/>
        </w:rPr>
        <w:fldChar w:fldCharType="separate"/>
      </w:r>
      <w:r w:rsidR="00CB360C">
        <w:rPr>
          <w:vertAlign w:val="superscript"/>
          <w:lang w:val="en-GB"/>
        </w:rPr>
        <w:t>8</w:t>
      </w:r>
      <w:r w:rsidR="00CA2EAC" w:rsidRPr="00610088">
        <w:rPr>
          <w:vertAlign w:val="superscript"/>
          <w:lang w:val="en-GB"/>
        </w:rPr>
        <w:fldChar w:fldCharType="end"/>
      </w:r>
      <w:r w:rsidRPr="00610088">
        <w:rPr>
          <w:lang w:val="en-GB"/>
        </w:rPr>
        <w:t xml:space="preserve"> </w:t>
      </w:r>
    </w:p>
    <w:p w14:paraId="5E162DF7" w14:textId="77777777" w:rsidR="007F58EA" w:rsidRPr="00610088" w:rsidRDefault="007F58EA" w:rsidP="001B16D1">
      <w:pPr>
        <w:rPr>
          <w:lang w:val="en-GB"/>
        </w:rPr>
      </w:pPr>
    </w:p>
    <w:p w14:paraId="13EE3D77" w14:textId="3ACFD440" w:rsidR="007F58EA" w:rsidRPr="00610088" w:rsidRDefault="007F58EA" w:rsidP="001B16D1">
      <w:pPr>
        <w:rPr>
          <w:rFonts w:eastAsiaTheme="minorEastAsia"/>
          <w:lang w:val="en-GB"/>
        </w:rPr>
      </w:pPr>
      <w:r w:rsidRPr="00610088">
        <w:rPr>
          <w:lang w:val="en-GB"/>
        </w:rPr>
        <w:t xml:space="preserve">Unhealthy diets remain a problem in Sierra Leone with </w:t>
      </w:r>
      <w:r w:rsidRPr="00610088">
        <w:rPr>
          <w:rFonts w:eastAsiaTheme="minorEastAsia"/>
          <w:lang w:val="en-GB"/>
        </w:rPr>
        <w:t>in</w:t>
      </w:r>
      <w:r w:rsidR="006B3511" w:rsidRPr="00610088">
        <w:rPr>
          <w:rFonts w:eastAsiaTheme="minorEastAsia"/>
          <w:lang w:val="en-GB"/>
        </w:rPr>
        <w:t xml:space="preserve"> the</w:t>
      </w:r>
      <w:r w:rsidRPr="00610088">
        <w:rPr>
          <w:rFonts w:eastAsiaTheme="minorEastAsia"/>
          <w:lang w:val="en-GB"/>
        </w:rPr>
        <w:t xml:space="preserve"> 2009 STEPS </w:t>
      </w:r>
      <w:r w:rsidR="00CA2EAC" w:rsidRPr="00610088">
        <w:rPr>
          <w:lang w:val="en-GB"/>
        </w:rPr>
        <w:fldChar w:fldCharType="begin"/>
      </w:r>
      <w:r w:rsidR="00CA2EAC" w:rsidRPr="00610088">
        <w:rPr>
          <w:lang w:val="en-GB"/>
        </w:rPr>
        <w:instrText xml:space="preserve"> NOTEREF _Ref17032158 \f \h </w:instrText>
      </w:r>
      <w:r w:rsidR="001B16D1">
        <w:rPr>
          <w:lang w:val="en-GB"/>
        </w:rPr>
        <w:instrText xml:space="preserve"> \* MERGEFORMAT </w:instrText>
      </w:r>
      <w:r w:rsidR="00CA2EAC" w:rsidRPr="00610088">
        <w:rPr>
          <w:lang w:val="en-GB"/>
        </w:rPr>
      </w:r>
      <w:r w:rsidR="00CA2EAC" w:rsidRPr="00610088">
        <w:rPr>
          <w:lang w:val="en-GB"/>
        </w:rPr>
        <w:fldChar w:fldCharType="separate"/>
      </w:r>
      <w:r w:rsidR="00CB360C" w:rsidRPr="00CB360C">
        <w:rPr>
          <w:rStyle w:val="EndnoteReference"/>
        </w:rPr>
        <w:t>174</w:t>
      </w:r>
      <w:r w:rsidR="00CA2EAC" w:rsidRPr="00610088">
        <w:rPr>
          <w:lang w:val="en-GB"/>
        </w:rPr>
        <w:fldChar w:fldCharType="end"/>
      </w:r>
      <w:r w:rsidR="00CA2EAC" w:rsidRPr="00610088">
        <w:rPr>
          <w:vertAlign w:val="superscript"/>
          <w:lang w:val="en-GB"/>
        </w:rPr>
        <w:t xml:space="preserve">, </w:t>
      </w:r>
      <w:r w:rsidR="00CA2EAC" w:rsidRPr="00610088">
        <w:rPr>
          <w:lang w:val="en-GB"/>
        </w:rPr>
        <w:fldChar w:fldCharType="begin"/>
      </w:r>
      <w:r w:rsidR="00CA2EAC" w:rsidRPr="00610088">
        <w:rPr>
          <w:lang w:val="en-GB"/>
        </w:rPr>
        <w:instrText xml:space="preserve"> NOTEREF _Ref17040725 \f \h </w:instrText>
      </w:r>
      <w:r w:rsidR="001B16D1">
        <w:rPr>
          <w:lang w:val="en-GB"/>
        </w:rPr>
        <w:instrText xml:space="preserve"> \* MERGEFORMAT </w:instrText>
      </w:r>
      <w:r w:rsidR="00CA2EAC" w:rsidRPr="00610088">
        <w:rPr>
          <w:lang w:val="en-GB"/>
        </w:rPr>
      </w:r>
      <w:r w:rsidR="00CA2EAC" w:rsidRPr="00610088">
        <w:rPr>
          <w:lang w:val="en-GB"/>
        </w:rPr>
        <w:fldChar w:fldCharType="separate"/>
      </w:r>
      <w:r w:rsidR="00CB360C" w:rsidRPr="00CB360C">
        <w:rPr>
          <w:rStyle w:val="EndnoteReference"/>
        </w:rPr>
        <w:t>175</w:t>
      </w:r>
      <w:r w:rsidR="00CA2EAC" w:rsidRPr="00610088">
        <w:rPr>
          <w:lang w:val="en-GB"/>
        </w:rPr>
        <w:fldChar w:fldCharType="end"/>
      </w:r>
      <w:r w:rsidRPr="00610088">
        <w:rPr>
          <w:rFonts w:eastAsiaTheme="minorEastAsia"/>
          <w:lang w:val="en-GB"/>
        </w:rPr>
        <w:t xml:space="preserve"> </w:t>
      </w:r>
      <w:r w:rsidRPr="00610088">
        <w:rPr>
          <w:lang w:val="en-GB"/>
        </w:rPr>
        <w:t>91% and in</w:t>
      </w:r>
      <w:r w:rsidR="006B3511" w:rsidRPr="00610088">
        <w:rPr>
          <w:lang w:val="en-GB"/>
        </w:rPr>
        <w:t xml:space="preserve"> an</w:t>
      </w:r>
      <w:r w:rsidRPr="00610088">
        <w:rPr>
          <w:lang w:val="en-GB"/>
        </w:rPr>
        <w:t xml:space="preserve"> 2018 </w:t>
      </w:r>
      <w:r w:rsidR="006B3511" w:rsidRPr="00610088">
        <w:rPr>
          <w:lang w:val="en-GB"/>
        </w:rPr>
        <w:t xml:space="preserve">study </w:t>
      </w:r>
      <w:r w:rsidRPr="00610088">
        <w:rPr>
          <w:lang w:val="en-GB"/>
        </w:rPr>
        <w:t>around 80% (over 40 year adults Bo</w:t>
      </w:r>
      <w:r w:rsidR="006B3511" w:rsidRPr="00610088">
        <w:rPr>
          <w:lang w:val="en-GB"/>
        </w:rPr>
        <w:t xml:space="preserve"> District</w:t>
      </w:r>
      <w:r w:rsidRPr="00610088">
        <w:rPr>
          <w:lang w:val="en-GB"/>
        </w:rPr>
        <w:t xml:space="preserve"> study</w:t>
      </w:r>
      <w:r w:rsidR="00CA2EAC" w:rsidRPr="00610088">
        <w:rPr>
          <w:lang w:val="en-GB"/>
        </w:rPr>
        <w:t xml:space="preserve"> preliminary analysis </w:t>
      </w:r>
      <w:r w:rsidR="00CA2EAC" w:rsidRPr="00610088">
        <w:rPr>
          <w:vertAlign w:val="superscript"/>
          <w:lang w:val="en-GB"/>
        </w:rPr>
        <w:fldChar w:fldCharType="begin"/>
      </w:r>
      <w:r w:rsidR="00CA2EAC" w:rsidRPr="00610088">
        <w:rPr>
          <w:vertAlign w:val="superscript"/>
          <w:lang w:val="en-GB"/>
        </w:rPr>
        <w:instrText xml:space="preserve"> NOTEREF _Ref17030981 \h  \* MERGEFORMAT </w:instrText>
      </w:r>
      <w:r w:rsidR="00CA2EAC" w:rsidRPr="00610088">
        <w:rPr>
          <w:vertAlign w:val="superscript"/>
          <w:lang w:val="en-GB"/>
        </w:rPr>
      </w:r>
      <w:r w:rsidR="00CA2EAC" w:rsidRPr="00610088">
        <w:rPr>
          <w:vertAlign w:val="superscript"/>
          <w:lang w:val="en-GB"/>
        </w:rPr>
        <w:fldChar w:fldCharType="separate"/>
      </w:r>
      <w:r w:rsidR="00CB360C">
        <w:rPr>
          <w:vertAlign w:val="superscript"/>
          <w:lang w:val="en-GB"/>
        </w:rPr>
        <w:t>157</w:t>
      </w:r>
      <w:r w:rsidR="00CA2EAC" w:rsidRPr="00610088">
        <w:rPr>
          <w:vertAlign w:val="superscript"/>
          <w:lang w:val="en-GB"/>
        </w:rPr>
        <w:fldChar w:fldCharType="end"/>
      </w:r>
      <w:r w:rsidRPr="00610088">
        <w:rPr>
          <w:lang w:val="en-GB"/>
        </w:rPr>
        <w:t xml:space="preserve">) </w:t>
      </w:r>
      <w:r w:rsidR="006B3511" w:rsidRPr="00610088">
        <w:rPr>
          <w:lang w:val="en-GB"/>
        </w:rPr>
        <w:t xml:space="preserve">of adults </w:t>
      </w:r>
      <w:r w:rsidRPr="00610088">
        <w:rPr>
          <w:lang w:val="en-GB"/>
        </w:rPr>
        <w:t xml:space="preserve">eating less than </w:t>
      </w:r>
      <w:r w:rsidRPr="00610088">
        <w:rPr>
          <w:rFonts w:eastAsiaTheme="minorEastAsia"/>
          <w:lang w:val="en-GB"/>
        </w:rPr>
        <w:t>5 servings of fruits/vegetables per day. Problems start at a young age with only 54.1% exclusive breastfeeding at 6 months (DHS 2019</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_Ref32406910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9</w:t>
      </w:r>
      <w:r w:rsidR="00CA2EAC" w:rsidRPr="00610088">
        <w:rPr>
          <w:rFonts w:eastAsiaTheme="minorEastAsia"/>
          <w:vertAlign w:val="superscript"/>
          <w:lang w:val="en-GB"/>
        </w:rPr>
        <w:fldChar w:fldCharType="end"/>
      </w:r>
      <w:r w:rsidRPr="00610088">
        <w:rPr>
          <w:rFonts w:eastAsiaTheme="minorEastAsia"/>
          <w:lang w:val="en-GB"/>
        </w:rPr>
        <w:t>) and a low (24.2%) dietary diversity for 6-23 months children (MICS 2017)</w:t>
      </w:r>
      <w:r w:rsidR="00CA2EAC" w:rsidRPr="00610088">
        <w:rPr>
          <w:vertAlign w:val="superscript"/>
          <w:lang w:val="en-GB"/>
        </w:rPr>
        <w:t xml:space="preserve"> </w:t>
      </w:r>
      <w:r w:rsidR="00CA2EAC" w:rsidRPr="00610088">
        <w:rPr>
          <w:vertAlign w:val="superscript"/>
          <w:lang w:val="en-GB"/>
        </w:rPr>
        <w:fldChar w:fldCharType="begin"/>
      </w:r>
      <w:r w:rsidR="00CA2EAC" w:rsidRPr="00610088">
        <w:rPr>
          <w:vertAlign w:val="superscript"/>
          <w:lang w:val="en-GB"/>
        </w:rPr>
        <w:instrText xml:space="preserve"> NOTEREF _Ref17613464 \h  \* MERGEFORMAT </w:instrText>
      </w:r>
      <w:r w:rsidR="00CA2EAC" w:rsidRPr="00610088">
        <w:rPr>
          <w:vertAlign w:val="superscript"/>
          <w:lang w:val="en-GB"/>
        </w:rPr>
      </w:r>
      <w:r w:rsidR="00CA2EAC" w:rsidRPr="00610088">
        <w:rPr>
          <w:vertAlign w:val="superscript"/>
          <w:lang w:val="en-GB"/>
        </w:rPr>
        <w:fldChar w:fldCharType="separate"/>
      </w:r>
      <w:r w:rsidR="00CB360C">
        <w:rPr>
          <w:vertAlign w:val="superscript"/>
          <w:lang w:val="en-GB"/>
        </w:rPr>
        <w:t>7</w:t>
      </w:r>
      <w:r w:rsidR="00CA2EAC" w:rsidRPr="00610088">
        <w:rPr>
          <w:vertAlign w:val="superscript"/>
          <w:lang w:val="en-GB"/>
        </w:rPr>
        <w:fldChar w:fldCharType="end"/>
      </w:r>
      <w:r w:rsidRPr="00610088">
        <w:rPr>
          <w:rFonts w:eastAsiaTheme="minorEastAsia"/>
          <w:lang w:val="en-GB"/>
        </w:rPr>
        <w:t>. Over 90% of over 40 year adults add salt to food during preparation in 2018.</w:t>
      </w:r>
      <w:r w:rsidR="00CA2EAC" w:rsidRPr="00610088">
        <w:rPr>
          <w:vertAlign w:val="superscript"/>
          <w:lang w:val="en-GB"/>
        </w:rPr>
        <w:fldChar w:fldCharType="begin"/>
      </w:r>
      <w:r w:rsidR="00CA2EAC" w:rsidRPr="00610088">
        <w:rPr>
          <w:vertAlign w:val="superscript"/>
          <w:lang w:val="en-GB"/>
        </w:rPr>
        <w:instrText xml:space="preserve"> NOTEREF _Ref17030981 \h  \* MERGEFORMAT </w:instrText>
      </w:r>
      <w:r w:rsidR="00CA2EAC" w:rsidRPr="00610088">
        <w:rPr>
          <w:vertAlign w:val="superscript"/>
          <w:lang w:val="en-GB"/>
        </w:rPr>
      </w:r>
      <w:r w:rsidR="00CA2EAC" w:rsidRPr="00610088">
        <w:rPr>
          <w:vertAlign w:val="superscript"/>
          <w:lang w:val="en-GB"/>
        </w:rPr>
        <w:fldChar w:fldCharType="separate"/>
      </w:r>
      <w:r w:rsidR="00CB360C">
        <w:rPr>
          <w:vertAlign w:val="superscript"/>
          <w:lang w:val="en-GB"/>
        </w:rPr>
        <w:t>157</w:t>
      </w:r>
      <w:r w:rsidR="00CA2EAC" w:rsidRPr="00610088">
        <w:rPr>
          <w:vertAlign w:val="superscript"/>
          <w:lang w:val="en-GB"/>
        </w:rPr>
        <w:fldChar w:fldCharType="end"/>
      </w:r>
      <w:r w:rsidRPr="00610088">
        <w:rPr>
          <w:rFonts w:eastAsiaTheme="minorEastAsia"/>
          <w:lang w:val="en-GB"/>
        </w:rPr>
        <w:t xml:space="preserve"> Anaemia prevalence remains high among 6-59 months (67.8%) and 15-49 years women (46.5%) (DHS 2019</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_Ref32406910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9</w:t>
      </w:r>
      <w:r w:rsidR="00CA2EAC" w:rsidRPr="00610088">
        <w:rPr>
          <w:rFonts w:eastAsiaTheme="minorEastAsia"/>
          <w:vertAlign w:val="superscript"/>
          <w:lang w:val="en-GB"/>
        </w:rPr>
        <w:fldChar w:fldCharType="end"/>
      </w:r>
      <w:r w:rsidRPr="00610088">
        <w:rPr>
          <w:rFonts w:eastAsiaTheme="minorEastAsia"/>
          <w:lang w:val="en-GB"/>
        </w:rPr>
        <w:t xml:space="preserve">), not only thought due to worm infestations and malaria but also due to low intake of iron rich foods. </w:t>
      </w:r>
    </w:p>
    <w:p w14:paraId="35B8C4D0" w14:textId="77777777" w:rsidR="007F58EA" w:rsidRPr="00610088" w:rsidRDefault="007F58EA" w:rsidP="001B16D1">
      <w:pPr>
        <w:rPr>
          <w:rFonts w:eastAsiaTheme="minorEastAsia"/>
          <w:lang w:val="en-GB"/>
        </w:rPr>
      </w:pPr>
    </w:p>
    <w:p w14:paraId="0C633D73" w14:textId="504933C3" w:rsidR="007F58EA" w:rsidRPr="00610088" w:rsidRDefault="007F58EA" w:rsidP="001B16D1">
      <w:pPr>
        <w:rPr>
          <w:rFonts w:eastAsiaTheme="minorEastAsia"/>
          <w:lang w:val="en-GB"/>
        </w:rPr>
      </w:pPr>
      <w:r w:rsidRPr="00610088">
        <w:rPr>
          <w:rFonts w:eastAsiaTheme="minorEastAsia"/>
          <w:lang w:val="en-GB"/>
        </w:rPr>
        <w:t>98.3% of household members lives in household that primarily relied on polluting fuels and technology for cooking, although only 2.6% cooked in poorly ventilated conditions (MICS 2017</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_Ref17613464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7</w:t>
      </w:r>
      <w:r w:rsidR="00CA2EAC" w:rsidRPr="00610088">
        <w:rPr>
          <w:rFonts w:eastAsiaTheme="minorEastAsia"/>
          <w:vertAlign w:val="superscript"/>
          <w:lang w:val="en-GB"/>
        </w:rPr>
        <w:fldChar w:fldCharType="end"/>
      </w:r>
      <w:r w:rsidRPr="00610088">
        <w:rPr>
          <w:rFonts w:eastAsiaTheme="minorEastAsia"/>
          <w:lang w:val="en-GB"/>
        </w:rPr>
        <w:t>). 12,441 air pollution attributable deaths (3405 ambient, 9036 household air pollution) in 2016.</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_Ref32801893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186</w:t>
      </w:r>
      <w:r w:rsidR="00CA2EAC" w:rsidRPr="00610088">
        <w:rPr>
          <w:rFonts w:eastAsiaTheme="minorEastAsia"/>
          <w:vertAlign w:val="superscript"/>
          <w:lang w:val="en-GB"/>
        </w:rPr>
        <w:fldChar w:fldCharType="end"/>
      </w:r>
      <w:r w:rsidRPr="00610088">
        <w:rPr>
          <w:rFonts w:eastAsiaTheme="minorEastAsia"/>
          <w:vertAlign w:val="superscript"/>
          <w:lang w:val="en-GB"/>
        </w:rPr>
        <w:t xml:space="preserve"> </w:t>
      </w:r>
      <w:r w:rsidRPr="00610088">
        <w:rPr>
          <w:rFonts w:eastAsiaTheme="minorEastAsia"/>
          <w:lang w:val="en-GB"/>
        </w:rPr>
        <w:t>Studies</w:t>
      </w:r>
      <w:r w:rsidR="00CA2EAC" w:rsidRPr="00610088">
        <w:rPr>
          <w:rFonts w:eastAsiaTheme="minorEastAsia"/>
          <w:lang w:val="en-GB"/>
        </w:rPr>
        <w:t xml:space="preserve"> in 2010/2011 </w:t>
      </w:r>
      <w:r w:rsidRPr="00610088">
        <w:rPr>
          <w:rFonts w:eastAsiaTheme="minorEastAsia"/>
          <w:lang w:val="en-GB"/>
        </w:rPr>
        <w:t>found a poor ambient air quality in Freetown</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_Ref32801990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190</w:t>
      </w:r>
      <w:r w:rsidR="00CA2EAC" w:rsidRPr="00610088">
        <w:rPr>
          <w:rFonts w:eastAsiaTheme="minorEastAsia"/>
          <w:vertAlign w:val="superscript"/>
          <w:lang w:val="en-GB"/>
        </w:rPr>
        <w:fldChar w:fldCharType="end"/>
      </w:r>
      <w:r w:rsidRPr="00610088">
        <w:rPr>
          <w:rFonts w:eastAsiaTheme="minorEastAsia"/>
          <w:vertAlign w:val="superscript"/>
          <w:lang w:val="en-GB"/>
        </w:rPr>
        <w:t xml:space="preserve"> </w:t>
      </w:r>
      <w:r w:rsidR="002E6DF3">
        <w:rPr>
          <w:rFonts w:eastAsiaTheme="minorEastAsia"/>
          <w:lang w:val="en-GB"/>
        </w:rPr>
        <w:t xml:space="preserve">and </w:t>
      </w:r>
      <w:r w:rsidRPr="00610088">
        <w:rPr>
          <w:rFonts w:eastAsiaTheme="minorEastAsia"/>
          <w:lang w:val="en-GB"/>
        </w:rPr>
        <w:t xml:space="preserve">more </w:t>
      </w:r>
      <w:r w:rsidR="002E6DF3">
        <w:rPr>
          <w:rFonts w:eastAsiaTheme="minorEastAsia"/>
          <w:lang w:val="en-GB"/>
        </w:rPr>
        <w:t>acute respiratory tract infections</w:t>
      </w:r>
      <w:r w:rsidRPr="00610088">
        <w:rPr>
          <w:rFonts w:eastAsiaTheme="minorEastAsia"/>
          <w:lang w:val="en-GB"/>
        </w:rPr>
        <w:t xml:space="preserve"> in children in wood stove than in charcoal stove households and dangerous levels of air pollutants in wood/charcoal stove households.</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_Ref32802063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191</w:t>
      </w:r>
      <w:r w:rsidR="00CA2EAC" w:rsidRPr="00610088">
        <w:rPr>
          <w:rFonts w:eastAsiaTheme="minorEastAsia"/>
          <w:vertAlign w:val="superscript"/>
          <w:lang w:val="en-GB"/>
        </w:rPr>
        <w:fldChar w:fldCharType="end"/>
      </w:r>
      <w:r w:rsidR="00CA2EAC" w:rsidRPr="00610088">
        <w:rPr>
          <w:rFonts w:eastAsiaTheme="minorEastAsia"/>
          <w:vertAlign w:val="superscript"/>
          <w:lang w:val="en-GB"/>
        </w:rPr>
        <w:t>,</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_Ref32802065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192</w:t>
      </w:r>
      <w:r w:rsidR="00CA2EAC" w:rsidRPr="00610088">
        <w:rPr>
          <w:rFonts w:eastAsiaTheme="minorEastAsia"/>
          <w:vertAlign w:val="superscript"/>
          <w:lang w:val="en-GB"/>
        </w:rPr>
        <w:fldChar w:fldCharType="end"/>
      </w:r>
      <w:r w:rsidR="00CA2EAC" w:rsidRPr="00610088">
        <w:rPr>
          <w:rFonts w:eastAsiaTheme="minorEastAsia"/>
          <w:vertAlign w:val="superscript"/>
          <w:lang w:val="en-GB"/>
        </w:rPr>
        <w:t>,</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_Ref32802067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193</w:t>
      </w:r>
      <w:r w:rsidR="00CA2EAC" w:rsidRPr="00610088">
        <w:rPr>
          <w:rFonts w:eastAsiaTheme="minorEastAsia"/>
          <w:vertAlign w:val="superscript"/>
          <w:lang w:val="en-GB"/>
        </w:rPr>
        <w:fldChar w:fldCharType="end"/>
      </w:r>
      <w:r w:rsidR="00CA2EAC" w:rsidRPr="00610088">
        <w:rPr>
          <w:rFonts w:eastAsiaTheme="minorEastAsia"/>
          <w:vertAlign w:val="superscript"/>
          <w:lang w:val="en-GB"/>
        </w:rPr>
        <w:t>,</w:t>
      </w:r>
      <w:r w:rsidR="00CA2EAC" w:rsidRPr="00610088">
        <w:rPr>
          <w:rFonts w:eastAsiaTheme="minorEastAsia"/>
          <w:vertAlign w:val="superscript"/>
          <w:lang w:val="en-GB"/>
        </w:rPr>
        <w:fldChar w:fldCharType="begin"/>
      </w:r>
      <w:r w:rsidR="00CA2EAC" w:rsidRPr="00610088">
        <w:rPr>
          <w:rFonts w:eastAsiaTheme="minorEastAsia"/>
          <w:vertAlign w:val="superscript"/>
          <w:lang w:val="en-GB"/>
        </w:rPr>
        <w:instrText xml:space="preserve"> NOTEREF _Ref32802069 \h  \* MERGEFORMAT </w:instrText>
      </w:r>
      <w:r w:rsidR="00CA2EAC" w:rsidRPr="00610088">
        <w:rPr>
          <w:rFonts w:eastAsiaTheme="minorEastAsia"/>
          <w:vertAlign w:val="superscript"/>
          <w:lang w:val="en-GB"/>
        </w:rPr>
      </w:r>
      <w:r w:rsidR="00CA2EAC" w:rsidRPr="00610088">
        <w:rPr>
          <w:rFonts w:eastAsiaTheme="minorEastAsia"/>
          <w:vertAlign w:val="superscript"/>
          <w:lang w:val="en-GB"/>
        </w:rPr>
        <w:fldChar w:fldCharType="separate"/>
      </w:r>
      <w:r w:rsidR="00CB360C">
        <w:rPr>
          <w:rFonts w:eastAsiaTheme="minorEastAsia"/>
          <w:vertAlign w:val="superscript"/>
          <w:lang w:val="en-GB"/>
        </w:rPr>
        <w:t>194</w:t>
      </w:r>
      <w:r w:rsidR="00CA2EAC" w:rsidRPr="00610088">
        <w:rPr>
          <w:rFonts w:eastAsiaTheme="minorEastAsia"/>
          <w:vertAlign w:val="superscript"/>
          <w:lang w:val="en-GB"/>
        </w:rPr>
        <w:fldChar w:fldCharType="end"/>
      </w:r>
      <w:r w:rsidRPr="00610088">
        <w:rPr>
          <w:rFonts w:eastAsiaTheme="minorEastAsia"/>
          <w:lang w:val="en-GB"/>
        </w:rPr>
        <w:t xml:space="preserve"> </w:t>
      </w:r>
    </w:p>
    <w:p w14:paraId="56392F1B" w14:textId="77777777" w:rsidR="007F58EA" w:rsidRPr="00610088" w:rsidRDefault="007F58EA" w:rsidP="007F58EA">
      <w:pPr>
        <w:rPr>
          <w:rFonts w:eastAsiaTheme="minorEastAsia"/>
          <w:szCs w:val="21"/>
          <w:lang w:val="en-GB"/>
        </w:rPr>
      </w:pPr>
    </w:p>
    <w:p w14:paraId="6AD0FFD7" w14:textId="25D25E43" w:rsidR="007F58EA" w:rsidRPr="00610088" w:rsidRDefault="007F58EA" w:rsidP="001B16D1">
      <w:pPr>
        <w:rPr>
          <w:lang w:val="en-GB"/>
        </w:rPr>
      </w:pPr>
      <w:r w:rsidRPr="00610088">
        <w:rPr>
          <w:lang w:val="en-GB"/>
        </w:rPr>
        <w:t xml:space="preserve">The 2009 STEPS survey </w:t>
      </w:r>
      <w:r w:rsidR="00CA2EAC" w:rsidRPr="00610088">
        <w:rPr>
          <w:lang w:val="en-GB"/>
        </w:rPr>
        <w:fldChar w:fldCharType="begin"/>
      </w:r>
      <w:r w:rsidR="00CA2EAC" w:rsidRPr="00610088">
        <w:rPr>
          <w:lang w:val="en-GB"/>
        </w:rPr>
        <w:instrText xml:space="preserve"> NOTEREF _Ref17032158 \f \h </w:instrText>
      </w:r>
      <w:r w:rsidR="001B16D1">
        <w:rPr>
          <w:lang w:val="en-GB"/>
        </w:rPr>
        <w:instrText xml:space="preserve"> \* MERGEFORMAT </w:instrText>
      </w:r>
      <w:r w:rsidR="00CA2EAC" w:rsidRPr="00610088">
        <w:rPr>
          <w:lang w:val="en-GB"/>
        </w:rPr>
      </w:r>
      <w:r w:rsidR="00CA2EAC" w:rsidRPr="00610088">
        <w:rPr>
          <w:lang w:val="en-GB"/>
        </w:rPr>
        <w:fldChar w:fldCharType="separate"/>
      </w:r>
      <w:r w:rsidR="00CB360C" w:rsidRPr="00CB360C">
        <w:rPr>
          <w:rStyle w:val="EndnoteReference"/>
        </w:rPr>
        <w:t>174</w:t>
      </w:r>
      <w:r w:rsidR="00CA2EAC" w:rsidRPr="00610088">
        <w:rPr>
          <w:lang w:val="en-GB"/>
        </w:rPr>
        <w:fldChar w:fldCharType="end"/>
      </w:r>
      <w:r w:rsidR="00CA2EAC" w:rsidRPr="00610088">
        <w:rPr>
          <w:vertAlign w:val="superscript"/>
          <w:lang w:val="en-GB"/>
        </w:rPr>
        <w:t xml:space="preserve">, </w:t>
      </w:r>
      <w:r w:rsidR="00CA2EAC" w:rsidRPr="00610088">
        <w:rPr>
          <w:lang w:val="en-GB"/>
        </w:rPr>
        <w:fldChar w:fldCharType="begin"/>
      </w:r>
      <w:r w:rsidR="00CA2EAC" w:rsidRPr="00610088">
        <w:rPr>
          <w:lang w:val="en-GB"/>
        </w:rPr>
        <w:instrText xml:space="preserve"> NOTEREF _Ref17040725 \f \h </w:instrText>
      </w:r>
      <w:r w:rsidR="001B16D1">
        <w:rPr>
          <w:lang w:val="en-GB"/>
        </w:rPr>
        <w:instrText xml:space="preserve"> \* MERGEFORMAT </w:instrText>
      </w:r>
      <w:r w:rsidR="00CA2EAC" w:rsidRPr="00610088">
        <w:rPr>
          <w:lang w:val="en-GB"/>
        </w:rPr>
      </w:r>
      <w:r w:rsidR="00CA2EAC" w:rsidRPr="00610088">
        <w:rPr>
          <w:lang w:val="en-GB"/>
        </w:rPr>
        <w:fldChar w:fldCharType="separate"/>
      </w:r>
      <w:r w:rsidR="00CB360C" w:rsidRPr="00CB360C">
        <w:rPr>
          <w:rStyle w:val="EndnoteReference"/>
        </w:rPr>
        <w:t>175</w:t>
      </w:r>
      <w:r w:rsidR="00CA2EAC" w:rsidRPr="00610088">
        <w:rPr>
          <w:lang w:val="en-GB"/>
        </w:rPr>
        <w:fldChar w:fldCharType="end"/>
      </w:r>
      <w:r w:rsidR="00CA2EAC" w:rsidRPr="00610088">
        <w:rPr>
          <w:lang w:val="en-GB"/>
        </w:rPr>
        <w:t xml:space="preserve"> </w:t>
      </w:r>
      <w:r w:rsidRPr="00610088">
        <w:rPr>
          <w:lang w:val="en-GB"/>
        </w:rPr>
        <w:t>found that 34.8% (M 36.6%, F 33.1%) of the respondents had a raised blood pressure or were currently on medication for raised blood pressure. The hypertension prevalence in non-national studies of the general population in Sierra Leone ranges from 12% to 50%</w:t>
      </w:r>
      <w:r w:rsidR="0086719C" w:rsidRPr="00610088">
        <w:rPr>
          <w:lang w:val="en-GB"/>
        </w:rPr>
        <w:t xml:space="preserve"> </w:t>
      </w:r>
      <w:r w:rsidR="0086719C" w:rsidRPr="00610088">
        <w:rPr>
          <w:vertAlign w:val="superscript"/>
          <w:lang w:val="en-GB"/>
        </w:rPr>
        <w:fldChar w:fldCharType="begin"/>
      </w:r>
      <w:r w:rsidR="0086719C" w:rsidRPr="00610088">
        <w:rPr>
          <w:vertAlign w:val="superscript"/>
          <w:lang w:val="en-GB"/>
        </w:rPr>
        <w:instrText xml:space="preserve"> NOTEREF _Ref17030981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157</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_Ref32802285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196</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_Ref32802287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197</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_Ref32802292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198</w:t>
      </w:r>
      <w:r w:rsidR="0086719C" w:rsidRPr="00610088">
        <w:rPr>
          <w:vertAlign w:val="superscript"/>
          <w:lang w:val="en-GB"/>
        </w:rPr>
        <w:fldChar w:fldCharType="end"/>
      </w:r>
      <w:r w:rsidRPr="00610088">
        <w:rPr>
          <w:lang w:val="en-GB"/>
        </w:rPr>
        <w:t>, while it ranges from 11% to 68% in patient populations</w:t>
      </w:r>
      <w:r w:rsidR="0086719C" w:rsidRPr="00610088">
        <w:rPr>
          <w:vertAlign w:val="superscript"/>
          <w:lang w:val="en-GB"/>
        </w:rPr>
        <w:fldChar w:fldCharType="begin"/>
      </w:r>
      <w:r w:rsidR="0086719C" w:rsidRPr="00610088">
        <w:rPr>
          <w:vertAlign w:val="superscript"/>
          <w:lang w:val="en-GB"/>
        </w:rPr>
        <w:instrText xml:space="preserve"> NOTEREF _Ref32802332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199</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_Ref17028401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200</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_Ref32802335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201</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_Ref32802336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202</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_Ref17258554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203</w:t>
      </w:r>
      <w:r w:rsidR="0086719C" w:rsidRPr="00610088">
        <w:rPr>
          <w:vertAlign w:val="superscript"/>
          <w:lang w:val="en-GB"/>
        </w:rPr>
        <w:fldChar w:fldCharType="end"/>
      </w:r>
      <w:r w:rsidR="0086719C" w:rsidRPr="00610088">
        <w:rPr>
          <w:vertAlign w:val="superscript"/>
          <w:lang w:val="en-GB"/>
        </w:rPr>
        <w:t>,</w:t>
      </w:r>
      <w:r w:rsidR="0086719C" w:rsidRPr="00610088">
        <w:rPr>
          <w:vertAlign w:val="superscript"/>
          <w:lang w:val="en-GB"/>
        </w:rPr>
        <w:fldChar w:fldCharType="begin"/>
      </w:r>
      <w:r w:rsidR="0086719C" w:rsidRPr="00610088">
        <w:rPr>
          <w:vertAlign w:val="superscript"/>
          <w:lang w:val="en-GB"/>
        </w:rPr>
        <w:instrText xml:space="preserve"> NOTEREF _Ref17258556 \h  \* MERGEFORMAT </w:instrText>
      </w:r>
      <w:r w:rsidR="0086719C" w:rsidRPr="00610088">
        <w:rPr>
          <w:vertAlign w:val="superscript"/>
          <w:lang w:val="en-GB"/>
        </w:rPr>
      </w:r>
      <w:r w:rsidR="0086719C" w:rsidRPr="00610088">
        <w:rPr>
          <w:vertAlign w:val="superscript"/>
          <w:lang w:val="en-GB"/>
        </w:rPr>
        <w:fldChar w:fldCharType="separate"/>
      </w:r>
      <w:r w:rsidR="00CB360C">
        <w:rPr>
          <w:vertAlign w:val="superscript"/>
          <w:lang w:val="en-GB"/>
        </w:rPr>
        <w:t>204</w:t>
      </w:r>
      <w:r w:rsidR="0086719C" w:rsidRPr="00610088">
        <w:rPr>
          <w:vertAlign w:val="superscript"/>
          <w:lang w:val="en-GB"/>
        </w:rPr>
        <w:fldChar w:fldCharType="end"/>
      </w:r>
      <w:r w:rsidRPr="00610088">
        <w:rPr>
          <w:lang w:val="en-GB"/>
        </w:rPr>
        <w:t xml:space="preserve">. </w:t>
      </w:r>
    </w:p>
    <w:p w14:paraId="6EF3BD8F" w14:textId="77777777" w:rsidR="007F58EA" w:rsidRPr="00610088" w:rsidRDefault="007F58EA" w:rsidP="001B16D1">
      <w:pPr>
        <w:rPr>
          <w:lang w:val="en-GB"/>
        </w:rPr>
      </w:pPr>
    </w:p>
    <w:p w14:paraId="20F9F60D" w14:textId="67E17309" w:rsidR="00B6673E" w:rsidRPr="00610088" w:rsidRDefault="00B6673E" w:rsidP="001B16D1">
      <w:pPr>
        <w:rPr>
          <w:rFonts w:eastAsia="MS PGothic"/>
          <w:lang w:val="en-GB"/>
        </w:rPr>
      </w:pPr>
      <w:r w:rsidRPr="00610088">
        <w:rPr>
          <w:rFonts w:eastAsia="MS PGothic"/>
          <w:lang w:val="en-GB"/>
        </w:rPr>
        <w:t xml:space="preserve">Overweight prevalence in national surveys </w:t>
      </w:r>
      <w:proofErr w:type="gramStart"/>
      <w:r w:rsidRPr="00610088">
        <w:rPr>
          <w:rFonts w:eastAsia="MS PGothic"/>
          <w:lang w:val="en-GB"/>
        </w:rPr>
        <w:t>are</w:t>
      </w:r>
      <w:proofErr w:type="gramEnd"/>
      <w:r w:rsidRPr="00610088">
        <w:rPr>
          <w:rFonts w:eastAsia="MS PGothic"/>
          <w:lang w:val="en-GB"/>
        </w:rPr>
        <w:t xml:space="preserve"> higher for females (13.4% to 28.7%</w:t>
      </w:r>
      <w:r w:rsidR="00364591" w:rsidRPr="00610088">
        <w:rPr>
          <w:rFonts w:eastAsia="MS PGothic"/>
          <w:lang w:val="en-GB"/>
        </w:rPr>
        <w:t>,</w:t>
      </w:r>
      <w:r w:rsidRPr="00610088">
        <w:rPr>
          <w:rFonts w:eastAsia="MS PGothic"/>
          <w:lang w:val="en-GB"/>
        </w:rPr>
        <w:t xml:space="preserve"> 2008-2017) than for males (6.7% 2013, 16.2% 2009). Obesity prevalence in females (5.0 to 10.8% 2008-2017) are also higher than in males (1.5% 2013, 4.8% 2009). Overweight or obesity</w:t>
      </w:r>
      <w:r w:rsidR="0086719C" w:rsidRPr="00610088">
        <w:rPr>
          <w:rFonts w:eastAsia="MS PGothic"/>
          <w:lang w:val="en-GB"/>
        </w:rPr>
        <w:t xml:space="preserve"> prevalence</w:t>
      </w:r>
      <w:r w:rsidRPr="00610088">
        <w:rPr>
          <w:rFonts w:eastAsia="MS PGothic"/>
          <w:lang w:val="en-GB"/>
        </w:rPr>
        <w:t xml:space="preserve"> among pre-school children ranges from 2.6% to 16.9% (2010-2017). </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_Ref17613464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7</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_Ref17298289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8</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_Ref17032158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174</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_Ref17040725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175</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_Ref32802576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207</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_Ref17613310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208</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_Ref17613474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209</w:t>
      </w:r>
      <w:r w:rsidR="0086719C" w:rsidRPr="00610088">
        <w:rPr>
          <w:rFonts w:eastAsia="MS PGothic"/>
          <w:vertAlign w:val="superscript"/>
          <w:lang w:val="en-GB"/>
        </w:rPr>
        <w:fldChar w:fldCharType="end"/>
      </w:r>
      <w:r w:rsidR="0086719C" w:rsidRPr="00610088">
        <w:rPr>
          <w:rFonts w:eastAsia="MS PGothic"/>
          <w:vertAlign w:val="superscript"/>
          <w:lang w:val="en-GB"/>
        </w:rPr>
        <w:t>,</w:t>
      </w:r>
      <w:r w:rsidR="0086719C" w:rsidRPr="00610088">
        <w:rPr>
          <w:rFonts w:eastAsia="MS PGothic"/>
          <w:vertAlign w:val="superscript"/>
          <w:lang w:val="en-GB"/>
        </w:rPr>
        <w:fldChar w:fldCharType="begin"/>
      </w:r>
      <w:r w:rsidR="0086719C" w:rsidRPr="00610088">
        <w:rPr>
          <w:rFonts w:eastAsia="MS PGothic"/>
          <w:vertAlign w:val="superscript"/>
          <w:lang w:val="en-GB"/>
        </w:rPr>
        <w:instrText xml:space="preserve"> NOTEREF _Ref17307293 \h  \* MERGEFORMAT </w:instrText>
      </w:r>
      <w:r w:rsidR="0086719C" w:rsidRPr="00610088">
        <w:rPr>
          <w:rFonts w:eastAsia="MS PGothic"/>
          <w:vertAlign w:val="superscript"/>
          <w:lang w:val="en-GB"/>
        </w:rPr>
      </w:r>
      <w:r w:rsidR="0086719C" w:rsidRPr="00610088">
        <w:rPr>
          <w:rFonts w:eastAsia="MS PGothic"/>
          <w:vertAlign w:val="superscript"/>
          <w:lang w:val="en-GB"/>
        </w:rPr>
        <w:fldChar w:fldCharType="separate"/>
      </w:r>
      <w:r w:rsidR="00CB360C">
        <w:rPr>
          <w:rFonts w:eastAsia="MS PGothic"/>
          <w:vertAlign w:val="superscript"/>
          <w:lang w:val="en-GB"/>
        </w:rPr>
        <w:t>210</w:t>
      </w:r>
      <w:r w:rsidR="0086719C" w:rsidRPr="00610088">
        <w:rPr>
          <w:rFonts w:eastAsia="MS PGothic"/>
          <w:vertAlign w:val="superscript"/>
          <w:lang w:val="en-GB"/>
        </w:rPr>
        <w:fldChar w:fldCharType="end"/>
      </w:r>
    </w:p>
    <w:p w14:paraId="03F9B209" w14:textId="5F251740" w:rsidR="007F58EA" w:rsidRPr="00610088" w:rsidRDefault="007F58EA" w:rsidP="001B16D1">
      <w:pPr>
        <w:rPr>
          <w:sz w:val="18"/>
          <w:szCs w:val="18"/>
          <w:lang w:val="en-GB"/>
        </w:rPr>
      </w:pPr>
      <w:r w:rsidRPr="00610088">
        <w:rPr>
          <w:lang w:val="en-GB"/>
        </w:rPr>
        <w:t xml:space="preserve">A recent Bo </w:t>
      </w:r>
      <w:r w:rsidR="002F142B" w:rsidRPr="00610088">
        <w:rPr>
          <w:lang w:val="en-GB"/>
        </w:rPr>
        <w:t xml:space="preserve">District </w:t>
      </w:r>
      <w:r w:rsidR="004E4D3B">
        <w:rPr>
          <w:lang w:val="en-GB"/>
        </w:rPr>
        <w:t>Cardiovascular Disease (</w:t>
      </w:r>
      <w:r w:rsidRPr="00610088">
        <w:rPr>
          <w:lang w:val="en-GB"/>
        </w:rPr>
        <w:t>CVD</w:t>
      </w:r>
      <w:r w:rsidR="004E4D3B">
        <w:rPr>
          <w:lang w:val="en-GB"/>
        </w:rPr>
        <w:t>)</w:t>
      </w:r>
      <w:r w:rsidRPr="00610088">
        <w:rPr>
          <w:lang w:val="en-GB"/>
        </w:rPr>
        <w:t xml:space="preserve"> risk factor study in Bo District in 2071 adults aged over 40 years found that 27% was overweight or had obesity</w:t>
      </w:r>
      <w:r w:rsidR="00B6673E" w:rsidRPr="00610088">
        <w:rPr>
          <w:lang w:val="en-GB"/>
        </w:rPr>
        <w:t xml:space="preserve">. The same study </w:t>
      </w:r>
      <w:r w:rsidRPr="00610088">
        <w:rPr>
          <w:lang w:val="en-GB"/>
        </w:rPr>
        <w:t>found hypercholesterolaemia in 6.7% o</w:t>
      </w:r>
      <w:r w:rsidR="00B6673E" w:rsidRPr="00610088">
        <w:rPr>
          <w:lang w:val="en-GB"/>
        </w:rPr>
        <w:t>f these adults</w:t>
      </w:r>
      <w:r w:rsidRPr="00610088">
        <w:rPr>
          <w:lang w:val="en-GB"/>
        </w:rPr>
        <w:t xml:space="preserve">. </w:t>
      </w:r>
      <w:r w:rsidR="00E14B0C" w:rsidRPr="00610088">
        <w:rPr>
          <w:vertAlign w:val="superscript"/>
          <w:lang w:val="en-GB"/>
        </w:rPr>
        <w:fldChar w:fldCharType="begin"/>
      </w:r>
      <w:r w:rsidR="00E14B0C" w:rsidRPr="00610088">
        <w:rPr>
          <w:vertAlign w:val="superscript"/>
          <w:lang w:val="en-GB"/>
        </w:rPr>
        <w:instrText xml:space="preserve"> NOTEREF _Ref17030981 \h  \* MERGEFORMAT </w:instrText>
      </w:r>
      <w:r w:rsidR="00E14B0C" w:rsidRPr="00610088">
        <w:rPr>
          <w:vertAlign w:val="superscript"/>
          <w:lang w:val="en-GB"/>
        </w:rPr>
      </w:r>
      <w:r w:rsidR="00E14B0C" w:rsidRPr="00610088">
        <w:rPr>
          <w:vertAlign w:val="superscript"/>
          <w:lang w:val="en-GB"/>
        </w:rPr>
        <w:fldChar w:fldCharType="separate"/>
      </w:r>
      <w:r w:rsidR="00CB360C">
        <w:rPr>
          <w:vertAlign w:val="superscript"/>
          <w:lang w:val="en-GB"/>
        </w:rPr>
        <w:t>157</w:t>
      </w:r>
      <w:r w:rsidR="00E14B0C" w:rsidRPr="00610088">
        <w:rPr>
          <w:vertAlign w:val="superscript"/>
          <w:lang w:val="en-GB"/>
        </w:rPr>
        <w:fldChar w:fldCharType="end"/>
      </w:r>
      <w:r w:rsidRPr="00610088">
        <w:rPr>
          <w:lang w:val="en-GB"/>
        </w:rPr>
        <w:t xml:space="preserve"> </w:t>
      </w:r>
    </w:p>
    <w:p w14:paraId="75D47370" w14:textId="77777777" w:rsidR="007A5E46" w:rsidRPr="00610088" w:rsidRDefault="007A5E46" w:rsidP="007A5E46">
      <w:pPr>
        <w:rPr>
          <w:lang w:val="en-GB"/>
        </w:rPr>
      </w:pPr>
    </w:p>
    <w:p w14:paraId="12B4DA19" w14:textId="77777777" w:rsidR="0057323A" w:rsidRPr="00610088" w:rsidRDefault="0057323A" w:rsidP="00F1043E">
      <w:pPr>
        <w:pStyle w:val="Heading2"/>
        <w:rPr>
          <w:lang w:val="en-GB"/>
        </w:rPr>
      </w:pPr>
      <w:bookmarkStart w:id="64" w:name="_Toc41370546"/>
      <w:r w:rsidRPr="00610088">
        <w:rPr>
          <w:lang w:val="en-GB"/>
        </w:rPr>
        <w:t>NCDs in the Sierra Leone health system</w:t>
      </w:r>
      <w:bookmarkEnd w:id="64"/>
    </w:p>
    <w:p w14:paraId="734C375E" w14:textId="154EAC64" w:rsidR="0057323A" w:rsidRPr="00610088" w:rsidRDefault="0057323A" w:rsidP="0057323A">
      <w:pPr>
        <w:rPr>
          <w:lang w:val="en-GB"/>
        </w:rPr>
      </w:pPr>
    </w:p>
    <w:p w14:paraId="06382D02" w14:textId="4F4D2481" w:rsidR="00461778" w:rsidRPr="00610088" w:rsidRDefault="00461778" w:rsidP="001B16D1">
      <w:pPr>
        <w:rPr>
          <w:lang w:val="en-GB"/>
        </w:rPr>
      </w:pPr>
      <w:r w:rsidRPr="00610088">
        <w:rPr>
          <w:lang w:val="en-GB"/>
        </w:rPr>
        <w:t>The status of NCDs in the Sierra Leone health systems is discussed in the following sections on Leadership and Governance; NCD financing; HRH for NCD; Service delivery; Drugs, supplies, equipment; M&amp;E including surveillance and research; Partnerships; Communities and Recent and ongoing NCD interventions and initiatives.</w:t>
      </w:r>
    </w:p>
    <w:p w14:paraId="5D7E3789" w14:textId="77777777" w:rsidR="00461778" w:rsidRPr="00610088" w:rsidRDefault="00461778" w:rsidP="0057323A">
      <w:pPr>
        <w:rPr>
          <w:lang w:val="en-GB"/>
        </w:rPr>
      </w:pPr>
    </w:p>
    <w:p w14:paraId="4DF5080F" w14:textId="5C7E1BC7" w:rsidR="0057323A" w:rsidRPr="00610088" w:rsidRDefault="0057323A" w:rsidP="00F1043E">
      <w:pPr>
        <w:pStyle w:val="Heading3"/>
        <w:rPr>
          <w:lang w:val="en-GB"/>
        </w:rPr>
      </w:pPr>
      <w:bookmarkStart w:id="65" w:name="_Toc41370547"/>
      <w:r w:rsidRPr="00610088">
        <w:rPr>
          <w:lang w:val="en-GB"/>
        </w:rPr>
        <w:t>Leadership and Governance</w:t>
      </w:r>
      <w:bookmarkEnd w:id="65"/>
    </w:p>
    <w:p w14:paraId="7166F268" w14:textId="57B30072" w:rsidR="0012740C" w:rsidRPr="00610088" w:rsidRDefault="0012740C" w:rsidP="001B16D1">
      <w:pPr>
        <w:pStyle w:val="Heading4"/>
        <w:rPr>
          <w:rFonts w:eastAsiaTheme="minorHAnsi"/>
          <w:lang w:val="en-GB"/>
        </w:rPr>
      </w:pPr>
      <w:r w:rsidRPr="00610088">
        <w:rPr>
          <w:rFonts w:eastAsiaTheme="minorHAnsi"/>
          <w:lang w:val="en-GB"/>
        </w:rPr>
        <w:t>International treaties and national legislation</w:t>
      </w:r>
    </w:p>
    <w:p w14:paraId="2A6FD749" w14:textId="705A0439" w:rsidR="00B11228" w:rsidRPr="00610088" w:rsidRDefault="00B11228" w:rsidP="001B16D1">
      <w:pPr>
        <w:rPr>
          <w:lang w:val="en-GB"/>
        </w:rPr>
      </w:pPr>
      <w:r w:rsidRPr="00610088">
        <w:rPr>
          <w:lang w:val="en-GB"/>
        </w:rPr>
        <w:t xml:space="preserve">While Sierra Leone is a signatory to various global commitments regarding NCDs including the UN Sustainable Development Goals (SDGs) 2030 </w:t>
      </w:r>
      <w:r w:rsidRPr="00610088">
        <w:rPr>
          <w:vertAlign w:val="superscript"/>
          <w:lang w:val="en-GB"/>
        </w:rPr>
        <w:fldChar w:fldCharType="begin"/>
      </w:r>
      <w:r w:rsidRPr="00610088">
        <w:rPr>
          <w:vertAlign w:val="superscript"/>
          <w:lang w:val="en-GB"/>
        </w:rPr>
        <w:instrText xml:space="preserve"> NOTEREF _Ref17358921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19</w:t>
      </w:r>
      <w:r w:rsidRPr="00610088">
        <w:rPr>
          <w:vertAlign w:val="superscript"/>
          <w:lang w:val="en-GB"/>
        </w:rPr>
        <w:fldChar w:fldCharType="end"/>
      </w:r>
      <w:r w:rsidRPr="00610088">
        <w:rPr>
          <w:vertAlign w:val="superscript"/>
          <w:lang w:val="en-GB"/>
        </w:rPr>
        <w:t xml:space="preserve">, </w:t>
      </w:r>
      <w:r w:rsidRPr="00610088">
        <w:rPr>
          <w:vertAlign w:val="superscript"/>
          <w:lang w:val="en-GB"/>
        </w:rPr>
        <w:fldChar w:fldCharType="begin"/>
      </w:r>
      <w:r w:rsidRPr="00610088">
        <w:rPr>
          <w:vertAlign w:val="superscript"/>
          <w:lang w:val="en-GB"/>
        </w:rPr>
        <w:instrText xml:space="preserve"> NOTEREF _Ref9330411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128</w:t>
      </w:r>
      <w:r w:rsidRPr="00610088">
        <w:rPr>
          <w:vertAlign w:val="superscript"/>
          <w:lang w:val="en-GB"/>
        </w:rPr>
        <w:fldChar w:fldCharType="end"/>
      </w:r>
      <w:r w:rsidRPr="00610088">
        <w:rPr>
          <w:lang w:val="en-GB"/>
        </w:rPr>
        <w:t xml:space="preserve">, the </w:t>
      </w:r>
      <w:r w:rsidR="003561E5">
        <w:rPr>
          <w:lang w:val="en-GB"/>
        </w:rPr>
        <w:t xml:space="preserve">WHO </w:t>
      </w:r>
      <w:r w:rsidRPr="00610088">
        <w:rPr>
          <w:lang w:val="en-GB"/>
        </w:rPr>
        <w:t xml:space="preserve">Framework Convention on Tobacco Control (FCTC, 2009) </w:t>
      </w:r>
      <w:r w:rsidRPr="00610088">
        <w:rPr>
          <w:vertAlign w:val="superscript"/>
          <w:lang w:val="en-GB"/>
        </w:rPr>
        <w:fldChar w:fldCharType="begin"/>
      </w:r>
      <w:r w:rsidRPr="00610088">
        <w:rPr>
          <w:vertAlign w:val="superscript"/>
          <w:lang w:val="en-GB"/>
        </w:rPr>
        <w:instrText xml:space="preserve"> NOTEREF _Ref17358585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27</w:t>
      </w:r>
      <w:r w:rsidRPr="00610088">
        <w:rPr>
          <w:vertAlign w:val="superscript"/>
          <w:lang w:val="en-GB"/>
        </w:rPr>
        <w:fldChar w:fldCharType="end"/>
      </w:r>
      <w:r w:rsidRPr="00610088">
        <w:rPr>
          <w:lang w:val="en-GB"/>
        </w:rPr>
        <w:t xml:space="preserve"> and the African Union’s Africa Health Strategy (2016-2030) </w:t>
      </w:r>
      <w:r w:rsidRPr="00610088">
        <w:rPr>
          <w:rStyle w:val="EndnoteReference"/>
          <w:lang w:val="en-GB"/>
        </w:rPr>
        <w:endnoteReference w:id="36"/>
      </w:r>
      <w:r w:rsidRPr="00610088">
        <w:rPr>
          <w:lang w:val="en-GB"/>
        </w:rPr>
        <w:t xml:space="preserve"> , there has been limited attention to NCDs inside Sierra Leone also due to competing RMNCAH and Communicable Disease priorities including a recent Ebola outbreak and limited integration with other health activities.</w:t>
      </w:r>
    </w:p>
    <w:p w14:paraId="45BD4AF5" w14:textId="0A93D74A" w:rsidR="00BE103F" w:rsidRPr="00610088" w:rsidRDefault="00BE103F" w:rsidP="001B16D1">
      <w:pPr>
        <w:rPr>
          <w:lang w:val="en-GB"/>
        </w:rPr>
      </w:pPr>
      <w:r w:rsidRPr="00610088">
        <w:rPr>
          <w:lang w:val="en-GB"/>
        </w:rPr>
        <w:t>The Finance (amendment) act of 2018</w:t>
      </w:r>
      <w:r w:rsidR="00DE38A9" w:rsidRPr="00610088">
        <w:rPr>
          <w:rStyle w:val="EndnoteReference"/>
          <w:lang w:val="en-GB"/>
        </w:rPr>
        <w:endnoteReference w:id="37"/>
      </w:r>
      <w:r w:rsidRPr="00610088">
        <w:rPr>
          <w:lang w:val="en-GB"/>
        </w:rPr>
        <w:t xml:space="preserve"> provides the legal background for an increase of Tobacco and Alcohol taxes; important in reducing access to these NCD risk factors.  </w:t>
      </w:r>
    </w:p>
    <w:p w14:paraId="335AFD94" w14:textId="77777777" w:rsidR="00BE103F" w:rsidRPr="00610088" w:rsidRDefault="00BE103F" w:rsidP="001B16D1">
      <w:pPr>
        <w:rPr>
          <w:lang w:val="en-GB"/>
        </w:rPr>
      </w:pPr>
    </w:p>
    <w:p w14:paraId="61F9C23B" w14:textId="432F69E9" w:rsidR="009C5739" w:rsidRPr="00610088" w:rsidRDefault="00777E5F" w:rsidP="001B16D1">
      <w:pPr>
        <w:rPr>
          <w:lang w:val="en-GB"/>
        </w:rPr>
      </w:pPr>
      <w:r w:rsidRPr="00610088">
        <w:rPr>
          <w:lang w:val="en-GB"/>
        </w:rPr>
        <w:t>Sierra Leone is a signatory to the United Nations Convention on the rights of persons with disabilities (UNCRPD)</w:t>
      </w:r>
      <w:r w:rsidR="00DE38A9" w:rsidRPr="00610088">
        <w:rPr>
          <w:rStyle w:val="EndnoteReference"/>
          <w:lang w:val="en-GB"/>
        </w:rPr>
        <w:endnoteReference w:id="38"/>
      </w:r>
      <w:r w:rsidRPr="00610088">
        <w:rPr>
          <w:lang w:val="en-GB"/>
        </w:rPr>
        <w:t xml:space="preserve">. </w:t>
      </w:r>
      <w:r w:rsidR="00BE103F" w:rsidRPr="00610088">
        <w:rPr>
          <w:lang w:val="en-GB"/>
        </w:rPr>
        <w:t xml:space="preserve">The </w:t>
      </w:r>
      <w:r w:rsidR="001154F3" w:rsidRPr="00610088">
        <w:rPr>
          <w:lang w:val="en-GB"/>
        </w:rPr>
        <w:t>Constitution of Sierra Leone</w:t>
      </w:r>
      <w:r w:rsidR="00DE38A9" w:rsidRPr="00610088">
        <w:rPr>
          <w:rStyle w:val="EndnoteReference"/>
          <w:lang w:val="en-GB"/>
        </w:rPr>
        <w:endnoteReference w:id="39"/>
      </w:r>
      <w:r w:rsidR="00BE103F" w:rsidRPr="00610088">
        <w:rPr>
          <w:lang w:val="en-GB"/>
        </w:rPr>
        <w:t xml:space="preserve"> protects </w:t>
      </w:r>
      <w:r w:rsidR="009C5739" w:rsidRPr="00610088">
        <w:rPr>
          <w:lang w:val="en-GB"/>
        </w:rPr>
        <w:t>people living with disability (PWD)</w:t>
      </w:r>
      <w:r w:rsidR="00BE103F" w:rsidRPr="00610088">
        <w:rPr>
          <w:lang w:val="en-GB"/>
        </w:rPr>
        <w:t xml:space="preserve"> from d</w:t>
      </w:r>
      <w:r w:rsidR="001154F3" w:rsidRPr="00610088">
        <w:rPr>
          <w:lang w:val="en-GB"/>
        </w:rPr>
        <w:t xml:space="preserve">iscrimination </w:t>
      </w:r>
      <w:r w:rsidR="00BE103F" w:rsidRPr="00610088">
        <w:rPr>
          <w:lang w:val="en-GB"/>
        </w:rPr>
        <w:t xml:space="preserve">and </w:t>
      </w:r>
      <w:r w:rsidR="009C5739" w:rsidRPr="00610088">
        <w:rPr>
          <w:lang w:val="en-GB"/>
        </w:rPr>
        <w:t xml:space="preserve">contains the </w:t>
      </w:r>
      <w:r w:rsidR="001154F3" w:rsidRPr="00610088">
        <w:rPr>
          <w:lang w:val="en-GB"/>
        </w:rPr>
        <w:t>obligation to actively promote and safeguard the care and welfare of PWD.  The</w:t>
      </w:r>
      <w:r w:rsidR="009C5739" w:rsidRPr="00610088">
        <w:rPr>
          <w:lang w:val="en-GB"/>
        </w:rPr>
        <w:t xml:space="preserve"> 2007</w:t>
      </w:r>
      <w:r w:rsidR="001154F3" w:rsidRPr="00610088">
        <w:rPr>
          <w:lang w:val="en-GB"/>
        </w:rPr>
        <w:t xml:space="preserve"> Child Right Act</w:t>
      </w:r>
      <w:r w:rsidR="00DE38A9" w:rsidRPr="00610088">
        <w:rPr>
          <w:rStyle w:val="EndnoteReference"/>
          <w:lang w:val="en-GB"/>
        </w:rPr>
        <w:endnoteReference w:id="40"/>
      </w:r>
      <w:r w:rsidR="009C5739" w:rsidRPr="00610088">
        <w:rPr>
          <w:lang w:val="en-GB"/>
        </w:rPr>
        <w:t xml:space="preserve"> </w:t>
      </w:r>
      <w:r w:rsidR="001154F3" w:rsidRPr="00610088">
        <w:rPr>
          <w:lang w:val="en-GB"/>
        </w:rPr>
        <w:t xml:space="preserve">contains the right of a disable child to be treated in a dignified manner and the right to special care, education and training wherever possible to develop his </w:t>
      </w:r>
      <w:r w:rsidR="009C5739" w:rsidRPr="00610088">
        <w:rPr>
          <w:lang w:val="en-GB"/>
        </w:rPr>
        <w:t xml:space="preserve">or her </w:t>
      </w:r>
      <w:r w:rsidR="001154F3" w:rsidRPr="00610088">
        <w:rPr>
          <w:lang w:val="en-GB"/>
        </w:rPr>
        <w:t xml:space="preserve">maximum potential and be self-reliant. </w:t>
      </w:r>
      <w:r w:rsidR="009C5739" w:rsidRPr="00610088">
        <w:rPr>
          <w:lang w:val="en-GB"/>
        </w:rPr>
        <w:t xml:space="preserve">The </w:t>
      </w:r>
      <w:r w:rsidR="001154F3" w:rsidRPr="00610088">
        <w:rPr>
          <w:lang w:val="en-GB"/>
        </w:rPr>
        <w:t>2011 Persons with Disability Act</w:t>
      </w:r>
      <w:r w:rsidR="00DE38A9" w:rsidRPr="00610088">
        <w:rPr>
          <w:rStyle w:val="EndnoteReference"/>
          <w:lang w:val="en-GB"/>
        </w:rPr>
        <w:endnoteReference w:id="41"/>
      </w:r>
      <w:r w:rsidR="001154F3" w:rsidRPr="00610088">
        <w:rPr>
          <w:lang w:val="en-GB"/>
        </w:rPr>
        <w:t xml:space="preserve"> commits to free medical services in public health facilities for all PWD, the establishment of the </w:t>
      </w:r>
      <w:r w:rsidR="004E4D3B">
        <w:rPr>
          <w:lang w:val="en-GB"/>
        </w:rPr>
        <w:t>National Commission for Persons with Disabilities (NCPD)</w:t>
      </w:r>
      <w:r w:rsidR="001154F3" w:rsidRPr="00610088">
        <w:rPr>
          <w:lang w:val="en-GB"/>
        </w:rPr>
        <w:t xml:space="preserve"> with a </w:t>
      </w:r>
      <w:proofErr w:type="spellStart"/>
      <w:r w:rsidR="00156C15">
        <w:rPr>
          <w:lang w:val="en-GB"/>
        </w:rPr>
        <w:t>MoHS</w:t>
      </w:r>
      <w:proofErr w:type="spellEnd"/>
      <w:r w:rsidR="001154F3" w:rsidRPr="00610088">
        <w:rPr>
          <w:lang w:val="en-GB"/>
        </w:rPr>
        <w:t xml:space="preserve"> representative member, the set-up of a health board for issuing Permanent Disability Certificates and compulsory screening for early signs of disability for any child that visits a health centre for medical treatment. In addition, it provides for the establishment of a ‘National Development Fund’ for PWD, a component which should support the cost of assistive devices and related services</w:t>
      </w:r>
      <w:r w:rsidR="00DE38A9" w:rsidRPr="00610088">
        <w:rPr>
          <w:lang w:val="en-GB"/>
        </w:rPr>
        <w:t>.</w:t>
      </w:r>
      <w:r w:rsidR="00DE38A9" w:rsidRPr="00610088">
        <w:rPr>
          <w:rStyle w:val="EndnoteReference"/>
          <w:lang w:val="en-GB"/>
        </w:rPr>
        <w:endnoteReference w:id="42"/>
      </w:r>
      <w:r w:rsidR="00DE38A9" w:rsidRPr="00610088">
        <w:rPr>
          <w:vertAlign w:val="superscript"/>
          <w:lang w:val="en-GB"/>
        </w:rPr>
        <w:t>,</w:t>
      </w:r>
      <w:r w:rsidR="00DE38A9" w:rsidRPr="00610088">
        <w:rPr>
          <w:rStyle w:val="EndnoteReference"/>
          <w:lang w:val="en-GB"/>
        </w:rPr>
        <w:endnoteReference w:id="43"/>
      </w:r>
    </w:p>
    <w:p w14:paraId="4350B140" w14:textId="3DCC4ED9" w:rsidR="001154F3" w:rsidRPr="00610088" w:rsidRDefault="001154F3" w:rsidP="001154F3">
      <w:pPr>
        <w:rPr>
          <w:lang w:val="en-GB"/>
        </w:rPr>
      </w:pPr>
    </w:p>
    <w:p w14:paraId="44331C73" w14:textId="2846A51D" w:rsidR="001154F3" w:rsidRPr="00610088" w:rsidRDefault="001154F3" w:rsidP="001B16D1">
      <w:pPr>
        <w:rPr>
          <w:lang w:val="en-GB"/>
        </w:rPr>
      </w:pPr>
      <w:r w:rsidRPr="00610088">
        <w:rPr>
          <w:lang w:val="en-GB"/>
        </w:rPr>
        <w:t xml:space="preserve">The Public Health </w:t>
      </w:r>
      <w:r w:rsidR="00837997" w:rsidRPr="00610088">
        <w:rPr>
          <w:lang w:val="en-GB"/>
        </w:rPr>
        <w:t>Ordinance</w:t>
      </w:r>
      <w:r w:rsidRPr="00610088">
        <w:rPr>
          <w:lang w:val="en-GB"/>
        </w:rPr>
        <w:t xml:space="preserve"> (1960)</w:t>
      </w:r>
      <w:r w:rsidR="00DE38A9" w:rsidRPr="00610088">
        <w:rPr>
          <w:rStyle w:val="EndnoteReference"/>
          <w:lang w:val="en-GB"/>
        </w:rPr>
        <w:endnoteReference w:id="44"/>
      </w:r>
      <w:r w:rsidRPr="00610088">
        <w:rPr>
          <w:lang w:val="en-GB"/>
        </w:rPr>
        <w:t xml:space="preserve"> and its amendment (2004)</w:t>
      </w:r>
      <w:r w:rsidR="00DE38A9" w:rsidRPr="00610088">
        <w:rPr>
          <w:rStyle w:val="EndnoteReference"/>
          <w:lang w:val="en-GB"/>
        </w:rPr>
        <w:endnoteReference w:id="45"/>
      </w:r>
      <w:r w:rsidRPr="00610088">
        <w:rPr>
          <w:lang w:val="en-GB"/>
        </w:rPr>
        <w:t xml:space="preserve"> do not mention mental health or disability</w:t>
      </w:r>
      <w:r w:rsidR="009C5739" w:rsidRPr="00610088">
        <w:rPr>
          <w:lang w:val="en-GB"/>
        </w:rPr>
        <w:t xml:space="preserve"> or NCDs</w:t>
      </w:r>
      <w:r w:rsidR="00DE38A9" w:rsidRPr="00610088">
        <w:rPr>
          <w:lang w:val="en-GB"/>
        </w:rPr>
        <w:t>.</w:t>
      </w:r>
    </w:p>
    <w:p w14:paraId="07490CBA" w14:textId="3AA70765" w:rsidR="001154F3" w:rsidRPr="00610088" w:rsidRDefault="001154F3" w:rsidP="001B16D1">
      <w:pPr>
        <w:rPr>
          <w:lang w:val="en-GB"/>
        </w:rPr>
      </w:pPr>
      <w:r w:rsidRPr="00610088">
        <w:rPr>
          <w:lang w:val="en-GB"/>
        </w:rPr>
        <w:t xml:space="preserve">Mental Health legislation in Sierra Leone </w:t>
      </w:r>
      <w:r w:rsidR="00030D1A" w:rsidRPr="00610088">
        <w:rPr>
          <w:lang w:val="en-GB"/>
        </w:rPr>
        <w:t>is</w:t>
      </w:r>
      <w:r w:rsidRPr="00610088">
        <w:rPr>
          <w:lang w:val="en-GB"/>
        </w:rPr>
        <w:t xml:space="preserve"> limited to the outdated and inadequate Lunacy Act</w:t>
      </w:r>
      <w:r w:rsidR="00030D1A" w:rsidRPr="00610088">
        <w:rPr>
          <w:lang w:val="en-GB"/>
        </w:rPr>
        <w:t>,</w:t>
      </w:r>
      <w:r w:rsidRPr="00610088">
        <w:rPr>
          <w:lang w:val="en-GB"/>
        </w:rPr>
        <w:t xml:space="preserve"> first passed in 1902</w:t>
      </w:r>
      <w:r w:rsidR="00DE38A9" w:rsidRPr="00610088">
        <w:rPr>
          <w:rStyle w:val="EndnoteReference"/>
          <w:lang w:val="en-GB"/>
        </w:rPr>
        <w:endnoteReference w:id="46"/>
      </w:r>
      <w:r w:rsidR="00030D1A" w:rsidRPr="00610088">
        <w:rPr>
          <w:lang w:val="en-GB"/>
        </w:rPr>
        <w:t xml:space="preserve"> </w:t>
      </w:r>
      <w:r w:rsidRPr="00610088">
        <w:rPr>
          <w:lang w:val="en-GB"/>
        </w:rPr>
        <w:t>and the Dangerous Drugs Ordinance of 1926</w:t>
      </w:r>
      <w:r w:rsidR="00DE38A9" w:rsidRPr="00610088">
        <w:rPr>
          <w:rStyle w:val="EndnoteReference"/>
          <w:lang w:val="en-GB"/>
        </w:rPr>
        <w:endnoteReference w:id="47"/>
      </w:r>
      <w:r w:rsidRPr="00610088">
        <w:rPr>
          <w:lang w:val="en-GB"/>
        </w:rPr>
        <w:t>, relevant for substance use disorders</w:t>
      </w:r>
      <w:r w:rsidR="00DE38A9" w:rsidRPr="00610088">
        <w:rPr>
          <w:lang w:val="en-GB"/>
        </w:rPr>
        <w:t>.</w:t>
      </w:r>
    </w:p>
    <w:p w14:paraId="0D22B716" w14:textId="77777777" w:rsidR="00762F59" w:rsidRPr="00610088" w:rsidRDefault="00762F59" w:rsidP="001B16D1">
      <w:pPr>
        <w:rPr>
          <w:lang w:val="en-GB"/>
        </w:rPr>
      </w:pPr>
    </w:p>
    <w:p w14:paraId="1F6E3B10" w14:textId="5C6BE29E" w:rsidR="00762F59" w:rsidRPr="00610088" w:rsidRDefault="00762F59" w:rsidP="001B16D1">
      <w:pPr>
        <w:rPr>
          <w:lang w:val="en-GB"/>
        </w:rPr>
      </w:pPr>
      <w:r w:rsidRPr="00610088">
        <w:rPr>
          <w:lang w:val="en-GB"/>
        </w:rPr>
        <w:t xml:space="preserve">The </w:t>
      </w:r>
      <w:r w:rsidR="00837997" w:rsidRPr="00610088">
        <w:rPr>
          <w:lang w:val="en-GB"/>
        </w:rPr>
        <w:t>Liquor</w:t>
      </w:r>
      <w:r w:rsidRPr="00610088">
        <w:rPr>
          <w:lang w:val="en-GB"/>
        </w:rPr>
        <w:t xml:space="preserve"> Act (1924)</w:t>
      </w:r>
      <w:r w:rsidR="00A349A1" w:rsidRPr="00610088">
        <w:rPr>
          <w:rStyle w:val="EndnoteReference"/>
          <w:lang w:val="en-GB"/>
        </w:rPr>
        <w:endnoteReference w:id="48"/>
      </w:r>
      <w:r w:rsidRPr="00610088">
        <w:rPr>
          <w:lang w:val="en-GB"/>
        </w:rPr>
        <w:t xml:space="preserve">, Palm Wine </w:t>
      </w:r>
      <w:r w:rsidR="00837997" w:rsidRPr="00610088">
        <w:rPr>
          <w:lang w:val="en-GB"/>
        </w:rPr>
        <w:t>Ordinance</w:t>
      </w:r>
      <w:r w:rsidRPr="00610088">
        <w:rPr>
          <w:lang w:val="en-GB"/>
        </w:rPr>
        <w:t xml:space="preserve"> (1927</w:t>
      </w:r>
      <w:r w:rsidR="00837997" w:rsidRPr="00610088">
        <w:rPr>
          <w:lang w:val="en-GB"/>
        </w:rPr>
        <w:t>)</w:t>
      </w:r>
      <w:r w:rsidR="00837997" w:rsidRPr="00610088">
        <w:rPr>
          <w:rStyle w:val="EndnoteReference"/>
          <w:lang w:val="en-GB"/>
        </w:rPr>
        <w:endnoteReference w:id="49"/>
      </w:r>
      <w:r w:rsidRPr="00610088">
        <w:rPr>
          <w:lang w:val="en-GB"/>
        </w:rPr>
        <w:t xml:space="preserve">, and </w:t>
      </w:r>
      <w:r w:rsidR="00837997" w:rsidRPr="00610088">
        <w:rPr>
          <w:lang w:val="en-GB"/>
        </w:rPr>
        <w:t>Liquor</w:t>
      </w:r>
      <w:r w:rsidRPr="00610088">
        <w:rPr>
          <w:lang w:val="en-GB"/>
        </w:rPr>
        <w:t xml:space="preserve"> Licensing </w:t>
      </w:r>
      <w:r w:rsidR="00837997" w:rsidRPr="00610088">
        <w:rPr>
          <w:lang w:val="en-GB"/>
        </w:rPr>
        <w:t>Ordinance</w:t>
      </w:r>
      <w:r w:rsidRPr="00610088">
        <w:rPr>
          <w:lang w:val="en-GB"/>
        </w:rPr>
        <w:t xml:space="preserve"> (1960)</w:t>
      </w:r>
      <w:r w:rsidR="00837997" w:rsidRPr="00610088">
        <w:rPr>
          <w:rStyle w:val="EndnoteReference"/>
          <w:lang w:val="en-GB"/>
        </w:rPr>
        <w:endnoteReference w:id="50"/>
      </w:r>
      <w:r w:rsidRPr="00610088">
        <w:rPr>
          <w:lang w:val="en-GB"/>
        </w:rPr>
        <w:t xml:space="preserve"> provide very limited restrictions for alcohol control and do not address the current realities of harmful use of alcohol.</w:t>
      </w:r>
    </w:p>
    <w:p w14:paraId="15802B66" w14:textId="710D9A1B" w:rsidR="0012740C" w:rsidRPr="00610088" w:rsidRDefault="0012740C" w:rsidP="001B16D1">
      <w:pPr>
        <w:rPr>
          <w:lang w:val="en-GB"/>
        </w:rPr>
      </w:pPr>
    </w:p>
    <w:p w14:paraId="289536CF" w14:textId="4B6261DB" w:rsidR="0012740C" w:rsidRPr="00610088" w:rsidRDefault="0012740C" w:rsidP="001B16D1">
      <w:pPr>
        <w:rPr>
          <w:lang w:val="en-GB"/>
        </w:rPr>
      </w:pPr>
      <w:r w:rsidRPr="00610088">
        <w:rPr>
          <w:lang w:val="en-GB"/>
        </w:rPr>
        <w:lastRenderedPageBreak/>
        <w:t xml:space="preserve">The Medium-Term National Development Plan (2019-2023) </w:t>
      </w:r>
      <w:r w:rsidRPr="00610088">
        <w:rPr>
          <w:vertAlign w:val="superscript"/>
          <w:lang w:val="en-GB"/>
        </w:rPr>
        <w:fldChar w:fldCharType="begin"/>
      </w:r>
      <w:r w:rsidRPr="00610088">
        <w:rPr>
          <w:vertAlign w:val="superscript"/>
          <w:lang w:val="en-GB"/>
        </w:rPr>
        <w:instrText xml:space="preserve"> NOTEREF _Ref17359290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101</w:t>
      </w:r>
      <w:r w:rsidRPr="00610088">
        <w:rPr>
          <w:vertAlign w:val="superscript"/>
          <w:lang w:val="en-GB"/>
        </w:rPr>
        <w:fldChar w:fldCharType="end"/>
      </w:r>
      <w:r w:rsidRPr="00610088">
        <w:rPr>
          <w:vertAlign w:val="superscript"/>
          <w:lang w:val="en-GB"/>
        </w:rPr>
        <w:t xml:space="preserve">  </w:t>
      </w:r>
      <w:r w:rsidRPr="00610088">
        <w:rPr>
          <w:lang w:val="en-GB"/>
        </w:rPr>
        <w:t xml:space="preserve">aims to have, by 2023, a system to strengthen screening and management of non-communicable diseases and mental health. </w:t>
      </w:r>
    </w:p>
    <w:p w14:paraId="31DDE489" w14:textId="77777777" w:rsidR="0012740C" w:rsidRPr="00610088" w:rsidRDefault="0012740C" w:rsidP="001B16D1">
      <w:pPr>
        <w:rPr>
          <w:highlight w:val="yellow"/>
          <w:lang w:val="en-GB"/>
        </w:rPr>
      </w:pPr>
    </w:p>
    <w:p w14:paraId="05D681EE" w14:textId="1EBC48AC" w:rsidR="0012740C" w:rsidRPr="00610088" w:rsidRDefault="0012740C" w:rsidP="0012740C">
      <w:pPr>
        <w:pStyle w:val="Heading4"/>
        <w:rPr>
          <w:lang w:val="en-GB"/>
        </w:rPr>
      </w:pPr>
      <w:r w:rsidRPr="00610088">
        <w:rPr>
          <w:lang w:val="en-GB"/>
        </w:rPr>
        <w:t xml:space="preserve">NCDs in </w:t>
      </w:r>
      <w:proofErr w:type="spellStart"/>
      <w:r w:rsidR="00156C15">
        <w:rPr>
          <w:lang w:val="en-GB"/>
        </w:rPr>
        <w:t>MoHS</w:t>
      </w:r>
      <w:proofErr w:type="spellEnd"/>
      <w:r w:rsidRPr="00610088">
        <w:rPr>
          <w:lang w:val="en-GB"/>
        </w:rPr>
        <w:t xml:space="preserve"> policy and strategy documents </w:t>
      </w:r>
    </w:p>
    <w:p w14:paraId="4389F1C1" w14:textId="30595215" w:rsidR="00FA411C" w:rsidRPr="00610088" w:rsidRDefault="0012740C" w:rsidP="001B16D1">
      <w:pPr>
        <w:rPr>
          <w:vertAlign w:val="superscript"/>
          <w:lang w:val="en-GB"/>
        </w:rPr>
      </w:pPr>
      <w:r w:rsidRPr="00610088">
        <w:rPr>
          <w:lang w:val="en-GB"/>
        </w:rPr>
        <w:t xml:space="preserve">The first ever </w:t>
      </w:r>
      <w:r w:rsidR="006B3511" w:rsidRPr="00610088">
        <w:rPr>
          <w:b/>
          <w:bCs/>
          <w:lang w:val="en-GB"/>
        </w:rPr>
        <w:t>N</w:t>
      </w:r>
      <w:r w:rsidRPr="00610088">
        <w:rPr>
          <w:b/>
          <w:bCs/>
          <w:lang w:val="en-GB"/>
        </w:rPr>
        <w:t>ational NCD policy and National NCD Strategic Plan</w:t>
      </w:r>
      <w:r w:rsidRPr="00610088">
        <w:rPr>
          <w:lang w:val="en-GB"/>
        </w:rPr>
        <w:t xml:space="preserve"> (2013-2017)</w:t>
      </w:r>
      <w:r w:rsidR="00995974" w:rsidRPr="00610088">
        <w:rPr>
          <w:rStyle w:val="EndnoteReference"/>
          <w:lang w:val="en-GB"/>
        </w:rPr>
        <w:endnoteReference w:id="51"/>
      </w:r>
      <w:r w:rsidR="00995974" w:rsidRPr="00610088">
        <w:rPr>
          <w:vertAlign w:val="superscript"/>
          <w:lang w:val="en-GB"/>
        </w:rPr>
        <w:t>,</w:t>
      </w:r>
      <w:r w:rsidR="00995974" w:rsidRPr="00610088">
        <w:rPr>
          <w:rStyle w:val="EndnoteReference"/>
          <w:lang w:val="en-GB"/>
        </w:rPr>
        <w:endnoteReference w:id="52"/>
      </w:r>
      <w:r w:rsidRPr="00610088">
        <w:rPr>
          <w:lang w:val="en-GB"/>
        </w:rPr>
        <w:t xml:space="preserve"> were launched in 2013. The old Mental Health Policy and Plan (2017-2021) were recently replaced by a </w:t>
      </w:r>
      <w:r w:rsidRPr="00610088">
        <w:rPr>
          <w:b/>
          <w:bCs/>
          <w:lang w:val="en-GB"/>
        </w:rPr>
        <w:t xml:space="preserve">new Mental Policy and Plan </w:t>
      </w:r>
      <w:r w:rsidRPr="00610088">
        <w:rPr>
          <w:lang w:val="en-GB"/>
        </w:rPr>
        <w:t>for the period 2019-2023.</w:t>
      </w:r>
      <w:bookmarkStart w:id="66" w:name="_Ref32573545"/>
      <w:r w:rsidR="00995974" w:rsidRPr="00610088">
        <w:rPr>
          <w:rStyle w:val="EndnoteReference"/>
          <w:lang w:val="en-GB"/>
        </w:rPr>
        <w:endnoteReference w:id="53"/>
      </w:r>
      <w:bookmarkEnd w:id="66"/>
      <w:r w:rsidR="003F2988" w:rsidRPr="00610088">
        <w:rPr>
          <w:vertAlign w:val="superscript"/>
          <w:lang w:val="en-GB"/>
        </w:rPr>
        <w:t>,</w:t>
      </w:r>
      <w:bookmarkStart w:id="67" w:name="_Ref32573547"/>
      <w:r w:rsidR="003F2988" w:rsidRPr="00610088">
        <w:rPr>
          <w:rStyle w:val="EndnoteReference"/>
          <w:lang w:val="en-GB"/>
        </w:rPr>
        <w:endnoteReference w:id="54"/>
      </w:r>
      <w:bookmarkEnd w:id="67"/>
      <w:r w:rsidR="00FA411C" w:rsidRPr="00610088">
        <w:rPr>
          <w:vertAlign w:val="superscript"/>
          <w:lang w:val="en-GB"/>
        </w:rPr>
        <w:t xml:space="preserve">  </w:t>
      </w:r>
    </w:p>
    <w:p w14:paraId="5ED79C36" w14:textId="77777777" w:rsidR="005D0E96" w:rsidRPr="00610088" w:rsidRDefault="005D0E96" w:rsidP="001B16D1">
      <w:pPr>
        <w:rPr>
          <w:vertAlign w:val="superscript"/>
          <w:lang w:val="en-GB"/>
        </w:rPr>
      </w:pPr>
    </w:p>
    <w:p w14:paraId="0CA8C893" w14:textId="72078D33" w:rsidR="00FA411C" w:rsidRPr="00610088" w:rsidRDefault="00FA411C" w:rsidP="001B16D1">
      <w:pPr>
        <w:rPr>
          <w:lang w:val="en-GB"/>
        </w:rPr>
      </w:pPr>
      <w:r w:rsidRPr="00610088">
        <w:rPr>
          <w:lang w:val="en-GB"/>
        </w:rPr>
        <w:t xml:space="preserve">The outdated </w:t>
      </w:r>
      <w:r w:rsidRPr="00610088">
        <w:rPr>
          <w:b/>
          <w:bCs/>
          <w:lang w:val="en-GB"/>
        </w:rPr>
        <w:t>National Tobacco control strategy</w:t>
      </w:r>
      <w:r w:rsidRPr="00610088">
        <w:rPr>
          <w:lang w:val="en-GB"/>
        </w:rPr>
        <w:t xml:space="preserve"> (2012-2016) is now captured in this strategic plan document, and in the newly developed </w:t>
      </w:r>
      <w:r w:rsidRPr="00610088">
        <w:rPr>
          <w:b/>
          <w:bCs/>
          <w:lang w:val="en-GB"/>
        </w:rPr>
        <w:t>Investment case for Tobacco control</w:t>
      </w:r>
      <w:r w:rsidRPr="00610088">
        <w:rPr>
          <w:lang w:val="en-GB"/>
        </w:rPr>
        <w:t xml:space="preserve"> </w:t>
      </w:r>
      <w:r w:rsidRPr="00610088">
        <w:rPr>
          <w:vertAlign w:val="superscript"/>
          <w:lang w:val="en-GB"/>
        </w:rPr>
        <w:fldChar w:fldCharType="begin"/>
      </w:r>
      <w:r w:rsidRPr="00610088">
        <w:rPr>
          <w:vertAlign w:val="superscript"/>
          <w:lang w:val="en-GB"/>
        </w:rPr>
        <w:instrText xml:space="preserve"> NOTEREF _Ref32612442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176</w:t>
      </w:r>
      <w:r w:rsidRPr="00610088">
        <w:rPr>
          <w:vertAlign w:val="superscript"/>
          <w:lang w:val="en-GB"/>
        </w:rPr>
        <w:fldChar w:fldCharType="end"/>
      </w:r>
      <w:r w:rsidRPr="00610088">
        <w:rPr>
          <w:lang w:val="en-GB"/>
        </w:rPr>
        <w:t xml:space="preserve">, with plans to develop a detailed Tobacco control implementation plan. </w:t>
      </w:r>
    </w:p>
    <w:p w14:paraId="16B34627" w14:textId="77777777" w:rsidR="005D0E96" w:rsidRPr="00610088" w:rsidRDefault="005D0E96" w:rsidP="00FA411C">
      <w:pPr>
        <w:rPr>
          <w:lang w:val="en-GB"/>
        </w:rPr>
      </w:pPr>
    </w:p>
    <w:p w14:paraId="73FB1EDF" w14:textId="351093B8" w:rsidR="006B2038" w:rsidRPr="00610088" w:rsidRDefault="00FA411C" w:rsidP="001B16D1">
      <w:pPr>
        <w:rPr>
          <w:lang w:val="en-GB"/>
        </w:rPr>
      </w:pPr>
      <w:r w:rsidRPr="00610088">
        <w:rPr>
          <w:lang w:val="en-GB"/>
        </w:rPr>
        <w:t xml:space="preserve">The </w:t>
      </w:r>
      <w:r w:rsidR="005D0E96" w:rsidRPr="00610088">
        <w:rPr>
          <w:b/>
          <w:bCs/>
          <w:lang w:val="en-GB"/>
        </w:rPr>
        <w:t>Annual Work Plan of the National Rehabilitation Programme</w:t>
      </w:r>
      <w:bookmarkStart w:id="68" w:name="_Ref32682013"/>
      <w:r w:rsidR="006B2038" w:rsidRPr="00610088">
        <w:rPr>
          <w:rStyle w:val="EndnoteReference"/>
          <w:b/>
          <w:bCs/>
          <w:lang w:val="en-GB"/>
        </w:rPr>
        <w:endnoteReference w:id="55"/>
      </w:r>
      <w:bookmarkEnd w:id="68"/>
      <w:r w:rsidR="005D0E96" w:rsidRPr="00610088">
        <w:rPr>
          <w:b/>
          <w:bCs/>
          <w:lang w:val="en-GB"/>
        </w:rPr>
        <w:t xml:space="preserve"> </w:t>
      </w:r>
      <w:r w:rsidR="005D0E96" w:rsidRPr="00610088">
        <w:rPr>
          <w:lang w:val="en-GB"/>
        </w:rPr>
        <w:t>for 201</w:t>
      </w:r>
      <w:r w:rsidR="006B2038" w:rsidRPr="00610088">
        <w:rPr>
          <w:lang w:val="en-GB"/>
        </w:rPr>
        <w:t xml:space="preserve">9 has 3 goals: strengthening existing rehabilitation services, increasing the number of physiotherapy and rehabilitation departments across the country (from 6 centres to 10 centres) and raising the profile of physiotherapy and rehabilitation. The outdated </w:t>
      </w:r>
      <w:r w:rsidR="006B2038" w:rsidRPr="00610088">
        <w:rPr>
          <w:b/>
          <w:bCs/>
          <w:lang w:val="en-GB"/>
        </w:rPr>
        <w:t>Physical and Rehabilitation Medicine Policy</w:t>
      </w:r>
      <w:r w:rsidR="006B2038" w:rsidRPr="00610088">
        <w:rPr>
          <w:lang w:val="en-GB"/>
        </w:rPr>
        <w:t xml:space="preserve"> (2012)</w:t>
      </w:r>
      <w:r w:rsidR="006B2038" w:rsidRPr="00610088">
        <w:rPr>
          <w:rStyle w:val="EndnoteReference"/>
          <w:lang w:val="en-GB"/>
        </w:rPr>
        <w:endnoteReference w:id="56"/>
      </w:r>
      <w:r w:rsidR="006B2038" w:rsidRPr="00610088">
        <w:rPr>
          <w:lang w:val="en-GB"/>
        </w:rPr>
        <w:t xml:space="preserve"> is now captured in this strategic plan document.</w:t>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r w:rsidR="006B2038" w:rsidRPr="00610088">
        <w:rPr>
          <w:lang w:val="en-GB"/>
        </w:rPr>
        <w:tab/>
      </w:r>
    </w:p>
    <w:p w14:paraId="69C98367" w14:textId="19550101" w:rsidR="009C5739" w:rsidRPr="00610088" w:rsidRDefault="007C5AEA" w:rsidP="001B16D1">
      <w:pPr>
        <w:rPr>
          <w:lang w:val="en-GB"/>
        </w:rPr>
      </w:pPr>
      <w:r w:rsidRPr="00610088">
        <w:rPr>
          <w:lang w:val="en-GB"/>
        </w:rPr>
        <w:t xml:space="preserve">NCDs are not mentioned in the current </w:t>
      </w:r>
      <w:r w:rsidRPr="00610088">
        <w:rPr>
          <w:b/>
          <w:bCs/>
          <w:lang w:val="en-GB"/>
        </w:rPr>
        <w:t>Health Policy</w:t>
      </w:r>
      <w:r w:rsidRPr="00610088">
        <w:rPr>
          <w:lang w:val="en-GB"/>
        </w:rPr>
        <w:t xml:space="preserve"> (2002, revised in 2009)</w:t>
      </w:r>
      <w:r w:rsidRPr="00610088">
        <w:rPr>
          <w:vertAlign w:val="superscript"/>
          <w:lang w:val="en-GB"/>
        </w:rPr>
        <w:fldChar w:fldCharType="begin"/>
      </w:r>
      <w:r w:rsidRPr="00610088">
        <w:rPr>
          <w:vertAlign w:val="superscript"/>
          <w:lang w:val="en-GB"/>
        </w:rPr>
        <w:instrText xml:space="preserve"> NOTEREF _Ref17359243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102</w:t>
      </w:r>
      <w:r w:rsidRPr="00610088">
        <w:rPr>
          <w:vertAlign w:val="superscript"/>
          <w:lang w:val="en-GB"/>
        </w:rPr>
        <w:fldChar w:fldCharType="end"/>
      </w:r>
      <w:r w:rsidRPr="00610088">
        <w:rPr>
          <w:lang w:val="en-GB"/>
        </w:rPr>
        <w:t>,</w:t>
      </w:r>
      <w:r w:rsidR="009C5739" w:rsidRPr="00610088">
        <w:rPr>
          <w:lang w:val="en-GB"/>
        </w:rPr>
        <w:t xml:space="preserve"> although it mentions disabilities and mental illness as 2 of the 10 national health priorities. NCDs</w:t>
      </w:r>
      <w:r w:rsidRPr="00610088">
        <w:rPr>
          <w:lang w:val="en-GB"/>
        </w:rPr>
        <w:t xml:space="preserve"> however are, although not very specifi</w:t>
      </w:r>
      <w:r w:rsidR="0012740C" w:rsidRPr="00610088">
        <w:rPr>
          <w:lang w:val="en-GB"/>
        </w:rPr>
        <w:t>c</w:t>
      </w:r>
      <w:r w:rsidR="006B3511" w:rsidRPr="00610088">
        <w:rPr>
          <w:lang w:val="en-GB"/>
        </w:rPr>
        <w:t>, mentioned</w:t>
      </w:r>
      <w:r w:rsidR="0012740C" w:rsidRPr="00610088">
        <w:rPr>
          <w:lang w:val="en-GB"/>
        </w:rPr>
        <w:t xml:space="preserve"> in</w:t>
      </w:r>
      <w:r w:rsidRPr="00610088">
        <w:rPr>
          <w:lang w:val="en-GB"/>
        </w:rPr>
        <w:t xml:space="preserve"> the Basic Package of Essential Health Services (</w:t>
      </w:r>
      <w:r w:rsidR="009C5739" w:rsidRPr="00610088">
        <w:rPr>
          <w:lang w:val="en-GB"/>
        </w:rPr>
        <w:t xml:space="preserve">BPEHS, </w:t>
      </w:r>
      <w:r w:rsidRPr="00610088">
        <w:rPr>
          <w:lang w:val="en-GB"/>
        </w:rPr>
        <w:t>2015-2020)</w:t>
      </w:r>
      <w:r w:rsidRPr="00610088">
        <w:rPr>
          <w:vertAlign w:val="superscript"/>
          <w:lang w:val="en-GB"/>
        </w:rPr>
        <w:fldChar w:fldCharType="begin"/>
      </w:r>
      <w:r w:rsidRPr="00610088">
        <w:rPr>
          <w:vertAlign w:val="superscript"/>
          <w:lang w:val="en-GB"/>
        </w:rPr>
        <w:instrText xml:space="preserve"> NOTEREF _Ref17359325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104</w:t>
      </w:r>
      <w:r w:rsidRPr="00610088">
        <w:rPr>
          <w:vertAlign w:val="superscript"/>
          <w:lang w:val="en-GB"/>
        </w:rPr>
        <w:fldChar w:fldCharType="end"/>
      </w:r>
      <w:r w:rsidRPr="00610088">
        <w:rPr>
          <w:lang w:val="en-GB"/>
        </w:rPr>
        <w:t xml:space="preserve"> and National Health Sector Strategic Plan (NHSSP, 2017-2021)</w:t>
      </w:r>
      <w:r w:rsidRPr="00610088">
        <w:rPr>
          <w:vertAlign w:val="superscript"/>
          <w:lang w:val="en-GB"/>
        </w:rPr>
        <w:fldChar w:fldCharType="begin"/>
      </w:r>
      <w:r w:rsidRPr="00610088">
        <w:rPr>
          <w:vertAlign w:val="superscript"/>
          <w:lang w:val="en-GB"/>
        </w:rPr>
        <w:instrText xml:space="preserve"> NOTEREF _Ref17359355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103</w:t>
      </w:r>
      <w:r w:rsidRPr="00610088">
        <w:rPr>
          <w:vertAlign w:val="superscript"/>
          <w:lang w:val="en-GB"/>
        </w:rPr>
        <w:fldChar w:fldCharType="end"/>
      </w:r>
      <w:r w:rsidRPr="00610088">
        <w:rPr>
          <w:lang w:val="en-GB"/>
        </w:rPr>
        <w:t xml:space="preserve">.  </w:t>
      </w:r>
    </w:p>
    <w:p w14:paraId="4E96D0C5" w14:textId="77777777" w:rsidR="00030D1A" w:rsidRPr="00610088" w:rsidRDefault="00030D1A" w:rsidP="001B16D1">
      <w:pPr>
        <w:rPr>
          <w:lang w:val="en-GB"/>
        </w:rPr>
      </w:pPr>
    </w:p>
    <w:p w14:paraId="56528D1F" w14:textId="43248C85" w:rsidR="007C5AEA" w:rsidRPr="00610088" w:rsidRDefault="007C5AEA" w:rsidP="001B16D1">
      <w:pPr>
        <w:rPr>
          <w:lang w:val="en-GB"/>
        </w:rPr>
      </w:pPr>
      <w:r w:rsidRPr="00610088">
        <w:rPr>
          <w:lang w:val="en-GB"/>
        </w:rPr>
        <w:t xml:space="preserve">The </w:t>
      </w:r>
      <w:r w:rsidR="00201A11">
        <w:rPr>
          <w:b/>
          <w:bCs/>
          <w:lang w:val="en-GB"/>
        </w:rPr>
        <w:t>NHSSP</w:t>
      </w:r>
      <w:r w:rsidRPr="00610088">
        <w:rPr>
          <w:lang w:val="en-GB"/>
        </w:rPr>
        <w:t xml:space="preserve"> only mentions NCDs in sections on SDGs and relative mortality and risk factors</w:t>
      </w:r>
      <w:r w:rsidR="009C5739" w:rsidRPr="00610088">
        <w:rPr>
          <w:lang w:val="en-GB"/>
        </w:rPr>
        <w:t>, without having a special NCD section or specific NCD strategies</w:t>
      </w:r>
      <w:r w:rsidRPr="00610088">
        <w:rPr>
          <w:lang w:val="en-GB"/>
        </w:rPr>
        <w:t xml:space="preserve">. </w:t>
      </w:r>
      <w:r w:rsidR="009C5739" w:rsidRPr="00610088">
        <w:rPr>
          <w:lang w:val="en-GB"/>
        </w:rPr>
        <w:t xml:space="preserve">The NHSSP only mentions disability in relation to prevention (Buruli ulcer, leprosy, vaccine-preventable diseases), but there is no strategy or section for disability. The only rehabilitation that is mentioned is rehabilitative eye services. The NHSSP has a special section on mental health, aiming for a sustainable and accessible mental health system and advocating for new mental health legislation to replace the outdate Lunacy act. </w:t>
      </w:r>
    </w:p>
    <w:p w14:paraId="01A522A9" w14:textId="77777777" w:rsidR="00030D1A" w:rsidRPr="00610088" w:rsidRDefault="00030D1A" w:rsidP="00030D1A">
      <w:pPr>
        <w:ind w:left="720"/>
        <w:rPr>
          <w:lang w:val="en-GB"/>
        </w:rPr>
      </w:pPr>
    </w:p>
    <w:p w14:paraId="23F6120B" w14:textId="6A038FF7" w:rsidR="009C5739" w:rsidRPr="00610088" w:rsidRDefault="009C5739" w:rsidP="001B16D1">
      <w:pPr>
        <w:rPr>
          <w:lang w:val="en-GB"/>
        </w:rPr>
      </w:pPr>
      <w:r w:rsidRPr="00610088">
        <w:rPr>
          <w:lang w:val="en-GB"/>
        </w:rPr>
        <w:t xml:space="preserve">The </w:t>
      </w:r>
      <w:r w:rsidRPr="00610088">
        <w:rPr>
          <w:b/>
          <w:bCs/>
          <w:lang w:val="en-GB"/>
        </w:rPr>
        <w:t xml:space="preserve">BPEHS </w:t>
      </w:r>
      <w:r w:rsidRPr="00610088">
        <w:rPr>
          <w:lang w:val="en-GB"/>
        </w:rPr>
        <w:t xml:space="preserve">only mentions identification, management and referral for children with disabilities. There is no special section for PWD or rehabilitation, although it is mentioned that MCH Aides can be trained to provide basic physical rehabilitation services at CHC level and that hospitals should have two rehabilitation workers. </w:t>
      </w:r>
      <w:r w:rsidR="006D035C" w:rsidRPr="00610088">
        <w:rPr>
          <w:lang w:val="en-GB"/>
        </w:rPr>
        <w:t xml:space="preserve">For NCDs only Nutrition Counselling for Management of NCDs is specifically mentioned (at all health facility levels). </w:t>
      </w:r>
    </w:p>
    <w:p w14:paraId="7023AECE" w14:textId="77777777" w:rsidR="009C5739" w:rsidRPr="00610088" w:rsidRDefault="009C5739" w:rsidP="001B16D1">
      <w:pPr>
        <w:rPr>
          <w:lang w:val="en-GB"/>
        </w:rPr>
      </w:pPr>
    </w:p>
    <w:p w14:paraId="4F0DEA9C" w14:textId="387CC55F" w:rsidR="009C5739" w:rsidRPr="00610088" w:rsidRDefault="003A31E3" w:rsidP="001B16D1">
      <w:pPr>
        <w:rPr>
          <w:lang w:val="en-GB"/>
        </w:rPr>
      </w:pPr>
      <w:r w:rsidRPr="00610088">
        <w:rPr>
          <w:lang w:val="en-GB"/>
        </w:rPr>
        <w:t xml:space="preserve">The </w:t>
      </w:r>
      <w:r w:rsidRPr="00610088">
        <w:rPr>
          <w:b/>
          <w:bCs/>
          <w:lang w:val="en-GB"/>
        </w:rPr>
        <w:t>N</w:t>
      </w:r>
      <w:r w:rsidR="003D09E2" w:rsidRPr="00610088">
        <w:rPr>
          <w:b/>
          <w:bCs/>
          <w:lang w:val="en-GB"/>
        </w:rPr>
        <w:t xml:space="preserve">ational </w:t>
      </w:r>
      <w:r w:rsidRPr="00610088">
        <w:rPr>
          <w:b/>
          <w:bCs/>
          <w:lang w:val="en-GB"/>
        </w:rPr>
        <w:t>Health Promotion Strategy</w:t>
      </w:r>
      <w:r w:rsidRPr="00610088">
        <w:rPr>
          <w:lang w:val="en-GB"/>
        </w:rPr>
        <w:t xml:space="preserve"> 2017-2021 </w:t>
      </w:r>
      <w:r w:rsidRPr="00610088">
        <w:rPr>
          <w:rStyle w:val="EndnoteReference"/>
          <w:lang w:val="en-GB"/>
        </w:rPr>
        <w:endnoteReference w:id="57"/>
      </w:r>
      <w:r w:rsidRPr="00610088">
        <w:rPr>
          <w:lang w:val="en-GB"/>
        </w:rPr>
        <w:t xml:space="preserve"> has only two short mentions on NCDs, with as priority areas for health promotion: tobacco use, unhealthy diet, physical inactivity and harmful use of alcohol. </w:t>
      </w:r>
    </w:p>
    <w:p w14:paraId="47425800" w14:textId="1227CE10" w:rsidR="003D09E2" w:rsidRPr="00610088" w:rsidRDefault="003D09E2" w:rsidP="001B16D1">
      <w:pPr>
        <w:rPr>
          <w:lang w:val="en-GB"/>
        </w:rPr>
      </w:pPr>
    </w:p>
    <w:p w14:paraId="1C18F150" w14:textId="6A58B696" w:rsidR="003D09E2" w:rsidRPr="00610088" w:rsidRDefault="003D09E2" w:rsidP="001B16D1">
      <w:pPr>
        <w:rPr>
          <w:lang w:val="en-GB"/>
        </w:rPr>
      </w:pPr>
      <w:r w:rsidRPr="00610088">
        <w:rPr>
          <w:lang w:val="en-GB"/>
        </w:rPr>
        <w:t>The</w:t>
      </w:r>
      <w:r w:rsidR="00B66CBF" w:rsidRPr="00610088">
        <w:rPr>
          <w:b/>
          <w:bCs/>
          <w:lang w:val="en-GB"/>
        </w:rPr>
        <w:t xml:space="preserve"> </w:t>
      </w:r>
      <w:r w:rsidRPr="00610088">
        <w:rPr>
          <w:b/>
          <w:bCs/>
          <w:lang w:val="en-GB"/>
        </w:rPr>
        <w:t>National Food and Nutrition Security Policy</w:t>
      </w:r>
      <w:r w:rsidRPr="00610088">
        <w:rPr>
          <w:lang w:val="en-GB"/>
        </w:rPr>
        <w:t xml:space="preserve"> 2012-2016 </w:t>
      </w:r>
      <w:r w:rsidRPr="00610088">
        <w:rPr>
          <w:rStyle w:val="EndnoteReference"/>
          <w:lang w:val="en-GB"/>
        </w:rPr>
        <w:endnoteReference w:id="58"/>
      </w:r>
      <w:r w:rsidR="003E20B2" w:rsidRPr="00610088">
        <w:rPr>
          <w:lang w:val="en-GB"/>
        </w:rPr>
        <w:t xml:space="preserve"> </w:t>
      </w:r>
      <w:r w:rsidR="00C83613" w:rsidRPr="00610088">
        <w:rPr>
          <w:lang w:val="en-GB"/>
        </w:rPr>
        <w:t xml:space="preserve">has one (1) short section on NCDs – noting an increase of hospital admissions NCD conditions with dietary implications (hypertension, diabetes, gout) and overweight in children. </w:t>
      </w:r>
    </w:p>
    <w:p w14:paraId="6AD4FD18" w14:textId="10CBDC29" w:rsidR="00575550" w:rsidRPr="00610088" w:rsidRDefault="00575550" w:rsidP="001B16D1">
      <w:pPr>
        <w:rPr>
          <w:rFonts w:ascii="Calibri" w:hAnsi="Calibri" w:cs="Calibri"/>
          <w:sz w:val="23"/>
          <w:szCs w:val="23"/>
          <w:lang w:val="en-GB"/>
        </w:rPr>
      </w:pPr>
    </w:p>
    <w:p w14:paraId="268DD980" w14:textId="36A5BAEB" w:rsidR="003D09E2" w:rsidRPr="00610088" w:rsidRDefault="007F27FF" w:rsidP="001B16D1">
      <w:pPr>
        <w:rPr>
          <w:rFonts w:ascii="Calibri" w:hAnsi="Calibri" w:cs="Calibri"/>
          <w:szCs w:val="21"/>
          <w:lang w:val="en-GB"/>
        </w:rPr>
      </w:pPr>
      <w:r w:rsidRPr="00610088">
        <w:rPr>
          <w:rFonts w:ascii="Calibri" w:hAnsi="Calibri" w:cs="Calibri"/>
          <w:szCs w:val="21"/>
          <w:lang w:val="en-GB"/>
        </w:rPr>
        <w:t xml:space="preserve">The </w:t>
      </w:r>
      <w:r w:rsidRPr="00610088">
        <w:rPr>
          <w:rFonts w:ascii="Calibri" w:hAnsi="Calibri" w:cs="Calibri"/>
          <w:b/>
          <w:bCs/>
          <w:szCs w:val="21"/>
          <w:lang w:val="en-GB"/>
        </w:rPr>
        <w:t>National Essential Medicines list</w:t>
      </w:r>
      <w:r w:rsidRPr="00610088">
        <w:rPr>
          <w:rFonts w:ascii="Calibri" w:hAnsi="Calibri" w:cs="Calibri"/>
          <w:szCs w:val="21"/>
          <w:lang w:val="en-GB"/>
        </w:rPr>
        <w:t xml:space="preserve"> (2016) contains several sections relevant to NCDs and mental health, including: anticonvulsants/anti-epileptics, antineoplastic/immunosuppressive medicines, cardiovascular (including antihypertensives), medicines acting on the endocrine system (including insulin and oral antidiabetic drugs), psychotherapeutic medicines</w:t>
      </w:r>
      <w:r w:rsidR="0039514C" w:rsidRPr="00610088">
        <w:rPr>
          <w:rFonts w:ascii="Calibri" w:hAnsi="Calibri" w:cs="Calibri"/>
          <w:szCs w:val="21"/>
          <w:lang w:val="en-GB"/>
        </w:rPr>
        <w:t>, analgesics</w:t>
      </w:r>
      <w:r w:rsidRPr="00610088">
        <w:rPr>
          <w:rFonts w:ascii="Calibri" w:hAnsi="Calibri" w:cs="Calibri"/>
          <w:szCs w:val="21"/>
          <w:lang w:val="en-GB"/>
        </w:rPr>
        <w:t xml:space="preserve"> and medicines acting on the respiratory tract. The basic equipment list contains a BP machine amongst other equipment. </w:t>
      </w:r>
    </w:p>
    <w:p w14:paraId="02CB862B" w14:textId="77777777" w:rsidR="007F27FF" w:rsidRPr="00610088" w:rsidRDefault="007F27FF" w:rsidP="001B16D1">
      <w:pPr>
        <w:rPr>
          <w:highlight w:val="yellow"/>
          <w:lang w:val="en-GB"/>
        </w:rPr>
      </w:pPr>
    </w:p>
    <w:p w14:paraId="17E3B96F" w14:textId="2DD1011D" w:rsidR="003D09E2" w:rsidRPr="00610088" w:rsidRDefault="00B56EC9" w:rsidP="001B16D1">
      <w:pPr>
        <w:rPr>
          <w:lang w:val="en-GB"/>
        </w:rPr>
      </w:pPr>
      <w:r w:rsidRPr="00610088">
        <w:rPr>
          <w:lang w:val="en-GB"/>
        </w:rPr>
        <w:t xml:space="preserve">The Pharmacy Board is currently working on a new version of the </w:t>
      </w:r>
      <w:r w:rsidR="00B23CCB" w:rsidRPr="00610088">
        <w:rPr>
          <w:b/>
          <w:bCs/>
          <w:lang w:val="en-GB"/>
        </w:rPr>
        <w:t>Standard Treatment Guidelines</w:t>
      </w:r>
      <w:r w:rsidRPr="00610088">
        <w:rPr>
          <w:lang w:val="en-GB"/>
        </w:rPr>
        <w:t xml:space="preserve">, and DNCD&amp;MH is providing inputs for NCD risk factors and conditions. </w:t>
      </w:r>
    </w:p>
    <w:p w14:paraId="11E24BC0" w14:textId="77777777" w:rsidR="001B16D1" w:rsidRDefault="001B16D1" w:rsidP="007C5AEA">
      <w:pPr>
        <w:rPr>
          <w:lang w:val="en-GB"/>
        </w:rPr>
      </w:pPr>
    </w:p>
    <w:p w14:paraId="389EC2F7" w14:textId="3DF2ABF9" w:rsidR="003D09E2" w:rsidRPr="00610088" w:rsidRDefault="00CA4348" w:rsidP="001B16D1">
      <w:pPr>
        <w:rPr>
          <w:lang w:val="en-GB"/>
        </w:rPr>
      </w:pPr>
      <w:r w:rsidRPr="00610088">
        <w:rPr>
          <w:lang w:val="en-GB"/>
        </w:rPr>
        <w:lastRenderedPageBreak/>
        <w:t xml:space="preserve">The </w:t>
      </w:r>
      <w:r w:rsidR="00B23CCB" w:rsidRPr="00610088">
        <w:rPr>
          <w:b/>
          <w:bCs/>
          <w:lang w:val="en-GB"/>
        </w:rPr>
        <w:t>National Health Laboratory Strategic Plan</w:t>
      </w:r>
      <w:r w:rsidRPr="00610088">
        <w:rPr>
          <w:lang w:val="en-GB"/>
        </w:rPr>
        <w:t xml:space="preserve"> 2016-2020 contains </w:t>
      </w:r>
      <w:r w:rsidRPr="00610088">
        <w:rPr>
          <w:vertAlign w:val="superscript"/>
          <w:lang w:val="en-GB"/>
        </w:rPr>
        <w:fldChar w:fldCharType="begin"/>
      </w:r>
      <w:r w:rsidRPr="00610088">
        <w:rPr>
          <w:vertAlign w:val="superscript"/>
          <w:lang w:val="en-GB"/>
        </w:rPr>
        <w:instrText xml:space="preserve"> NOTEREF _Ref32611913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124</w:t>
      </w:r>
      <w:r w:rsidRPr="00610088">
        <w:rPr>
          <w:vertAlign w:val="superscript"/>
          <w:lang w:val="en-GB"/>
        </w:rPr>
        <w:fldChar w:fldCharType="end"/>
      </w:r>
      <w:r w:rsidR="00B23CCB" w:rsidRPr="00610088">
        <w:rPr>
          <w:vertAlign w:val="superscript"/>
          <w:lang w:val="en-GB"/>
        </w:rPr>
        <w:t xml:space="preserve"> </w:t>
      </w:r>
      <w:r w:rsidRPr="00610088">
        <w:rPr>
          <w:lang w:val="en-GB"/>
        </w:rPr>
        <w:t xml:space="preserve"> a sample budget outline for the PHU, which shows that the focus is almost entirely on communicable diseases, with as</w:t>
      </w:r>
      <w:r w:rsidR="006B3511" w:rsidRPr="00610088">
        <w:rPr>
          <w:lang w:val="en-GB"/>
        </w:rPr>
        <w:t xml:space="preserve"> the</w:t>
      </w:r>
      <w:r w:rsidRPr="00610088">
        <w:rPr>
          <w:lang w:val="en-GB"/>
        </w:rPr>
        <w:t xml:space="preserve"> only NCD test materials</w:t>
      </w:r>
      <w:r w:rsidR="006B3511" w:rsidRPr="00610088">
        <w:rPr>
          <w:lang w:val="en-GB"/>
        </w:rPr>
        <w:t>:</w:t>
      </w:r>
      <w:r w:rsidRPr="00610088">
        <w:rPr>
          <w:lang w:val="en-GB"/>
        </w:rPr>
        <w:t xml:space="preserve"> mixed (including glucose) test strips and hand</w:t>
      </w:r>
      <w:r w:rsidR="006B3511" w:rsidRPr="00610088">
        <w:rPr>
          <w:lang w:val="en-GB"/>
        </w:rPr>
        <w:t>-</w:t>
      </w:r>
      <w:r w:rsidRPr="00610088">
        <w:rPr>
          <w:lang w:val="en-GB"/>
        </w:rPr>
        <w:t>held point of care blood glucose testing machine</w:t>
      </w:r>
      <w:r w:rsidR="006B3511" w:rsidRPr="00610088">
        <w:rPr>
          <w:lang w:val="en-GB"/>
        </w:rPr>
        <w:t>s</w:t>
      </w:r>
      <w:r w:rsidRPr="00610088">
        <w:rPr>
          <w:lang w:val="en-GB"/>
        </w:rPr>
        <w:t xml:space="preserve">. </w:t>
      </w:r>
    </w:p>
    <w:p w14:paraId="3AD3F38D" w14:textId="77777777" w:rsidR="0012740C" w:rsidRPr="00610088" w:rsidRDefault="0012740C" w:rsidP="001B16D1">
      <w:pPr>
        <w:rPr>
          <w:highlight w:val="yellow"/>
          <w:lang w:val="en-GB"/>
        </w:rPr>
      </w:pPr>
    </w:p>
    <w:p w14:paraId="33A6E791" w14:textId="4F18B04B" w:rsidR="007C5AEA" w:rsidRPr="00610088" w:rsidRDefault="007C5AEA" w:rsidP="001B16D1">
      <w:pPr>
        <w:rPr>
          <w:lang w:val="en-GB"/>
        </w:rPr>
      </w:pPr>
      <w:r w:rsidRPr="00610088">
        <w:rPr>
          <w:lang w:val="en-GB"/>
        </w:rPr>
        <w:t xml:space="preserve">In </w:t>
      </w:r>
      <w:r w:rsidR="004E4E29" w:rsidRPr="00610088">
        <w:rPr>
          <w:lang w:val="en-GB"/>
        </w:rPr>
        <w:t>general,</w:t>
      </w:r>
      <w:r w:rsidRPr="00610088">
        <w:rPr>
          <w:lang w:val="en-GB"/>
        </w:rPr>
        <w:t xml:space="preserve"> not much has been done on the popularization of the NCD-related and other </w:t>
      </w:r>
      <w:r w:rsidR="00795B1B" w:rsidRPr="00610088">
        <w:rPr>
          <w:lang w:val="en-GB"/>
        </w:rPr>
        <w:t>policy documents</w:t>
      </w:r>
      <w:r w:rsidRPr="00610088">
        <w:rPr>
          <w:lang w:val="en-GB"/>
        </w:rPr>
        <w:t xml:space="preserve"> in the health sector.</w:t>
      </w:r>
    </w:p>
    <w:p w14:paraId="45558AD4" w14:textId="29534EA6" w:rsidR="007C5AEA" w:rsidRPr="00610088" w:rsidRDefault="007C5AEA" w:rsidP="007C5AEA">
      <w:pPr>
        <w:rPr>
          <w:lang w:val="en-GB"/>
        </w:rPr>
      </w:pPr>
    </w:p>
    <w:p w14:paraId="7BFCFD42" w14:textId="65249D85" w:rsidR="0012740C" w:rsidRPr="00610088" w:rsidRDefault="0012740C" w:rsidP="0012740C">
      <w:pPr>
        <w:pStyle w:val="Heading4"/>
        <w:rPr>
          <w:lang w:val="en-GB"/>
        </w:rPr>
      </w:pPr>
      <w:r w:rsidRPr="00610088">
        <w:rPr>
          <w:lang w:val="en-GB"/>
        </w:rPr>
        <w:t>Other MDAs and NCDs</w:t>
      </w:r>
    </w:p>
    <w:p w14:paraId="1D2E445E" w14:textId="7D8E749A" w:rsidR="00026F06" w:rsidRPr="00610088" w:rsidRDefault="006B3511" w:rsidP="001B16D1">
      <w:pPr>
        <w:rPr>
          <w:lang w:val="en-GB"/>
        </w:rPr>
      </w:pPr>
      <w:r w:rsidRPr="00610088">
        <w:rPr>
          <w:lang w:val="en-GB"/>
        </w:rPr>
        <w:t xml:space="preserve">For NCDs the </w:t>
      </w:r>
      <w:proofErr w:type="spellStart"/>
      <w:r w:rsidR="00156C15">
        <w:rPr>
          <w:lang w:val="en-GB"/>
        </w:rPr>
        <w:t>MoHS</w:t>
      </w:r>
      <w:proofErr w:type="spellEnd"/>
      <w:r w:rsidRPr="00610088">
        <w:rPr>
          <w:lang w:val="en-GB"/>
        </w:rPr>
        <w:t xml:space="preserve"> relates o</w:t>
      </w:r>
      <w:r w:rsidR="007C5AEA" w:rsidRPr="00610088">
        <w:rPr>
          <w:lang w:val="en-GB"/>
        </w:rPr>
        <w:t>utside the health sector to</w:t>
      </w:r>
      <w:r w:rsidR="007F27FF" w:rsidRPr="00610088">
        <w:rPr>
          <w:lang w:val="en-GB"/>
        </w:rPr>
        <w:t xml:space="preserve"> many different MDAs (Ministries, Departments and Agencies), the most important </w:t>
      </w:r>
      <w:r w:rsidR="001B16D1">
        <w:rPr>
          <w:lang w:val="en-GB"/>
        </w:rPr>
        <w:t>MDAs</w:t>
      </w:r>
      <w:r w:rsidR="007F27FF" w:rsidRPr="00610088">
        <w:rPr>
          <w:lang w:val="en-GB"/>
        </w:rPr>
        <w:t xml:space="preserve"> are highlighted below.</w:t>
      </w:r>
    </w:p>
    <w:p w14:paraId="12B5BFE9" w14:textId="618FFC53" w:rsidR="007F27FF" w:rsidRPr="001C492E" w:rsidRDefault="007F27FF" w:rsidP="001B16D1">
      <w:pPr>
        <w:rPr>
          <w:szCs w:val="21"/>
          <w:lang w:val="en-GB"/>
        </w:rPr>
      </w:pPr>
    </w:p>
    <w:p w14:paraId="203FD837" w14:textId="13521209" w:rsidR="007F27FF" w:rsidRPr="001C492E" w:rsidRDefault="007F27FF" w:rsidP="001B16D1">
      <w:pPr>
        <w:rPr>
          <w:rFonts w:ascii="TeXGyreAdventor" w:hAnsi="TeXGyreAdventor" w:cs="TeXGyreAdventor"/>
          <w:color w:val="000000"/>
          <w:szCs w:val="21"/>
          <w:lang w:val="en-GB"/>
        </w:rPr>
      </w:pPr>
      <w:r w:rsidRPr="001C492E">
        <w:rPr>
          <w:szCs w:val="21"/>
          <w:lang w:val="en-GB"/>
        </w:rPr>
        <w:t xml:space="preserve">The </w:t>
      </w:r>
      <w:r w:rsidRPr="001C492E">
        <w:rPr>
          <w:b/>
          <w:bCs/>
          <w:szCs w:val="21"/>
          <w:lang w:val="en-GB"/>
        </w:rPr>
        <w:t>multisector National Food and Nutrition Security Implementation Plan</w:t>
      </w:r>
      <w:r w:rsidRPr="001C492E">
        <w:rPr>
          <w:szCs w:val="21"/>
          <w:lang w:val="en-GB"/>
        </w:rPr>
        <w:t xml:space="preserve"> 2013-2017 </w:t>
      </w:r>
      <w:r w:rsidRPr="001C492E">
        <w:rPr>
          <w:rStyle w:val="EndnoteReference"/>
          <w:szCs w:val="21"/>
          <w:lang w:val="en-GB"/>
        </w:rPr>
        <w:endnoteReference w:id="59"/>
      </w:r>
      <w:r w:rsidRPr="001C492E">
        <w:rPr>
          <w:szCs w:val="21"/>
          <w:lang w:val="en-GB"/>
        </w:rPr>
        <w:t xml:space="preserve">, part of the multisector Scaling Up Nutrition (SUN) initiative, contains a special section and multiple mentions of NCDs. In this plan the </w:t>
      </w:r>
      <w:proofErr w:type="spellStart"/>
      <w:r w:rsidR="00156C15" w:rsidRPr="001C492E">
        <w:rPr>
          <w:szCs w:val="21"/>
          <w:lang w:val="en-GB"/>
        </w:rPr>
        <w:t>MoHS</w:t>
      </w:r>
      <w:proofErr w:type="spellEnd"/>
      <w:r w:rsidRPr="001C492E">
        <w:rPr>
          <w:szCs w:val="21"/>
          <w:lang w:val="en-GB"/>
        </w:rPr>
        <w:t xml:space="preserve"> is responsible for </w:t>
      </w:r>
      <w:r w:rsidRPr="001C492E">
        <w:rPr>
          <w:rFonts w:ascii="TeXGyreAdventor" w:hAnsi="TeXGyreAdventor" w:cs="TeXGyreAdventor"/>
          <w:color w:val="000000"/>
          <w:szCs w:val="21"/>
          <w:lang w:val="en-GB"/>
        </w:rPr>
        <w:t xml:space="preserve">developing and disseminating </w:t>
      </w:r>
      <w:r w:rsidR="00D27E1F" w:rsidRPr="001C492E">
        <w:rPr>
          <w:rFonts w:ascii="TeXGyreAdventor" w:hAnsi="TeXGyreAdventor" w:cs="TeXGyreAdventor"/>
          <w:color w:val="000000"/>
          <w:szCs w:val="21"/>
          <w:lang w:val="en-GB"/>
        </w:rPr>
        <w:t>health education</w:t>
      </w:r>
      <w:r w:rsidRPr="001C492E">
        <w:rPr>
          <w:rFonts w:ascii="TeXGyreAdventor" w:hAnsi="TeXGyreAdventor" w:cs="TeXGyreAdventor"/>
          <w:color w:val="000000"/>
          <w:szCs w:val="21"/>
          <w:lang w:val="en-GB"/>
        </w:rPr>
        <w:t xml:space="preserve"> materials on nutritional care and support for NCDs, integrating management of common NCDs into the Primary Health Care and the Community, developing appropriate dietary guidelines on NCDs and conducting a new STEPS survey and establish community and facility surveillance system for adults 25-64 years old. </w:t>
      </w:r>
      <w:r w:rsidRPr="001C492E">
        <w:rPr>
          <w:rFonts w:ascii="TeXGyreAdventor" w:hAnsi="TeXGyreAdventor" w:cs="TeXGyreAdventor"/>
          <w:b/>
          <w:bCs/>
          <w:color w:val="000000"/>
          <w:szCs w:val="21"/>
          <w:lang w:val="en-GB"/>
        </w:rPr>
        <w:t xml:space="preserve">MAFFS </w:t>
      </w:r>
      <w:r w:rsidRPr="001C492E">
        <w:rPr>
          <w:rFonts w:ascii="TeXGyreAdventor" w:hAnsi="TeXGyreAdventor" w:cs="TeXGyreAdventor"/>
          <w:color w:val="000000"/>
          <w:szCs w:val="21"/>
          <w:lang w:val="en-GB"/>
        </w:rPr>
        <w:t>(Ministry of Agriculture, Forestry and Food Security) is to use Farmer Field Schools and agricultural extension to support dissemination of key messages on preventive measures for NCDs (healthy lifestyle), provide support to small scale farmers in the production of variet</w:t>
      </w:r>
      <w:r w:rsidRPr="001C492E">
        <w:rPr>
          <w:rFonts w:ascii="TeXGyreAdventor" w:hAnsi="TeXGyreAdventor" w:cs="TeXGyreAdventor"/>
          <w:color w:val="000000"/>
          <w:szCs w:val="21"/>
          <w:lang w:val="en-GB"/>
        </w:rPr>
        <w:softHyphen/>
        <w:t>ies of local nutritious foods, disseminate promotion materials on the consumption of micronu</w:t>
      </w:r>
      <w:r w:rsidRPr="001C492E">
        <w:rPr>
          <w:rFonts w:ascii="TeXGyreAdventor" w:hAnsi="TeXGyreAdventor" w:cs="TeXGyreAdventor"/>
          <w:color w:val="000000"/>
          <w:szCs w:val="21"/>
          <w:lang w:val="en-GB"/>
        </w:rPr>
        <w:softHyphen/>
        <w:t xml:space="preserve">trient rich foods, establish school and kitchen gardens and provide technical support in food fortification and bio-fortification. </w:t>
      </w:r>
      <w:r w:rsidR="00AC1C54" w:rsidRPr="001C492E">
        <w:rPr>
          <w:rFonts w:ascii="TeXGyreAdventor" w:hAnsi="TeXGyreAdventor" w:cs="TeXGyreAdventor"/>
          <w:color w:val="000000"/>
          <w:szCs w:val="21"/>
          <w:lang w:val="en-GB"/>
        </w:rPr>
        <w:t xml:space="preserve">The </w:t>
      </w:r>
      <w:r w:rsidR="00AC1C54" w:rsidRPr="001C492E">
        <w:rPr>
          <w:rFonts w:ascii="TeXGyreAdventor" w:hAnsi="TeXGyreAdventor" w:cs="TeXGyreAdventor"/>
          <w:b/>
          <w:bCs/>
          <w:color w:val="000000"/>
          <w:szCs w:val="21"/>
          <w:lang w:val="en-GB"/>
        </w:rPr>
        <w:t xml:space="preserve">MBSSE </w:t>
      </w:r>
      <w:r w:rsidR="00AC1C54" w:rsidRPr="001C492E">
        <w:rPr>
          <w:rFonts w:ascii="TeXGyreAdventor" w:hAnsi="TeXGyreAdventor" w:cs="TeXGyreAdventor"/>
          <w:color w:val="000000"/>
          <w:szCs w:val="21"/>
          <w:lang w:val="en-GB"/>
        </w:rPr>
        <w:t xml:space="preserve">(Ministry of Basic and Senior Secondary Education) and </w:t>
      </w:r>
      <w:r w:rsidR="00AC1C54" w:rsidRPr="001C492E">
        <w:rPr>
          <w:rFonts w:ascii="TeXGyreAdventor" w:hAnsi="TeXGyreAdventor" w:cs="TeXGyreAdventor"/>
          <w:b/>
          <w:bCs/>
          <w:color w:val="000000"/>
          <w:szCs w:val="21"/>
          <w:lang w:val="en-GB"/>
        </w:rPr>
        <w:t xml:space="preserve">MTHE </w:t>
      </w:r>
      <w:r w:rsidR="00AC1C54" w:rsidRPr="001C492E">
        <w:rPr>
          <w:rFonts w:ascii="TeXGyreAdventor" w:hAnsi="TeXGyreAdventor" w:cs="TeXGyreAdventor"/>
          <w:color w:val="000000"/>
          <w:szCs w:val="21"/>
          <w:lang w:val="en-GB"/>
        </w:rPr>
        <w:t>(Ministry of Technical &amp; Higher Education),</w:t>
      </w:r>
      <w:r w:rsidRPr="001C492E">
        <w:rPr>
          <w:rFonts w:ascii="TeXGyreAdventor" w:hAnsi="TeXGyreAdventor" w:cs="TeXGyreAdventor"/>
          <w:color w:val="000000"/>
          <w:szCs w:val="21"/>
          <w:lang w:val="en-GB"/>
        </w:rPr>
        <w:t xml:space="preserve"> and training institutions are to review curricula for all (primary, secondary and tertiary) levels to in</w:t>
      </w:r>
      <w:r w:rsidRPr="001C492E">
        <w:rPr>
          <w:rFonts w:ascii="TeXGyreAdventor" w:hAnsi="TeXGyreAdventor" w:cs="TeXGyreAdventor"/>
          <w:color w:val="000000"/>
          <w:szCs w:val="21"/>
          <w:lang w:val="en-GB"/>
        </w:rPr>
        <w:softHyphen/>
        <w:t xml:space="preserve">corporate emerging issues/developments on micronutrients and to support implementation of school gardens. </w:t>
      </w:r>
      <w:r w:rsidRPr="001C492E">
        <w:rPr>
          <w:rFonts w:ascii="TeXGyreAdventor" w:hAnsi="TeXGyreAdventor" w:cs="TeXGyreAdventor"/>
          <w:b/>
          <w:bCs/>
          <w:color w:val="000000"/>
          <w:szCs w:val="21"/>
          <w:lang w:val="en-GB"/>
        </w:rPr>
        <w:t>N</w:t>
      </w:r>
      <w:r w:rsidR="001C492E" w:rsidRPr="001C492E">
        <w:rPr>
          <w:rFonts w:ascii="TeXGyreAdventor" w:hAnsi="TeXGyreAdventor" w:cs="TeXGyreAdventor"/>
          <w:b/>
          <w:bCs/>
          <w:color w:val="000000"/>
          <w:szCs w:val="21"/>
          <w:lang w:val="en-GB"/>
        </w:rPr>
        <w:t>on-Governmental Organisations (N</w:t>
      </w:r>
      <w:r w:rsidRPr="001C492E">
        <w:rPr>
          <w:rFonts w:ascii="TeXGyreAdventor" w:hAnsi="TeXGyreAdventor" w:cs="TeXGyreAdventor"/>
          <w:b/>
          <w:bCs/>
          <w:color w:val="000000"/>
          <w:szCs w:val="21"/>
          <w:lang w:val="en-GB"/>
        </w:rPr>
        <w:t>GOs</w:t>
      </w:r>
      <w:r w:rsidR="001C492E" w:rsidRPr="001C492E">
        <w:rPr>
          <w:rFonts w:ascii="TeXGyreAdventor" w:hAnsi="TeXGyreAdventor" w:cs="TeXGyreAdventor"/>
          <w:b/>
          <w:bCs/>
          <w:color w:val="000000"/>
          <w:szCs w:val="21"/>
          <w:lang w:val="en-GB"/>
        </w:rPr>
        <w:t>)</w:t>
      </w:r>
      <w:r w:rsidRPr="001C492E">
        <w:rPr>
          <w:rFonts w:ascii="TeXGyreAdventor" w:hAnsi="TeXGyreAdventor" w:cs="TeXGyreAdventor"/>
          <w:b/>
          <w:bCs/>
          <w:color w:val="000000"/>
          <w:szCs w:val="21"/>
          <w:lang w:val="en-GB"/>
        </w:rPr>
        <w:t xml:space="preserve"> and </w:t>
      </w:r>
      <w:r w:rsidR="001C492E" w:rsidRPr="001C492E">
        <w:rPr>
          <w:rFonts w:ascii="TeXGyreAdventor" w:hAnsi="TeXGyreAdventor" w:cs="TeXGyreAdventor"/>
          <w:b/>
          <w:bCs/>
          <w:color w:val="000000"/>
          <w:szCs w:val="21"/>
          <w:lang w:val="en-GB"/>
        </w:rPr>
        <w:t>Faith-based Organisations (</w:t>
      </w:r>
      <w:r w:rsidRPr="001C492E">
        <w:rPr>
          <w:rFonts w:ascii="TeXGyreAdventor" w:hAnsi="TeXGyreAdventor" w:cs="TeXGyreAdventor"/>
          <w:b/>
          <w:bCs/>
          <w:color w:val="000000"/>
          <w:szCs w:val="21"/>
          <w:lang w:val="en-GB"/>
        </w:rPr>
        <w:t>FBOs</w:t>
      </w:r>
      <w:r w:rsidR="001C492E" w:rsidRPr="001C492E">
        <w:rPr>
          <w:rFonts w:ascii="TeXGyreAdventor" w:hAnsi="TeXGyreAdventor" w:cs="TeXGyreAdventor"/>
          <w:b/>
          <w:bCs/>
          <w:color w:val="000000"/>
          <w:szCs w:val="21"/>
          <w:lang w:val="en-GB"/>
        </w:rPr>
        <w:t>)</w:t>
      </w:r>
      <w:r w:rsidRPr="001C492E">
        <w:rPr>
          <w:rFonts w:ascii="TeXGyreAdventor" w:hAnsi="TeXGyreAdventor" w:cs="TeXGyreAdventor"/>
          <w:color w:val="000000"/>
          <w:szCs w:val="21"/>
          <w:lang w:val="en-GB"/>
        </w:rPr>
        <w:t xml:space="preserve"> are to assist with nutrition and healthy lifestyle education and dissemination of IEC materials. </w:t>
      </w:r>
    </w:p>
    <w:p w14:paraId="4C566C4E" w14:textId="1D29D62E" w:rsidR="007F27FF" w:rsidRPr="001C492E" w:rsidRDefault="007F27FF" w:rsidP="001B16D1">
      <w:pPr>
        <w:rPr>
          <w:szCs w:val="21"/>
          <w:lang w:val="en-GB"/>
        </w:rPr>
      </w:pPr>
      <w:r w:rsidRPr="001C492E">
        <w:rPr>
          <w:szCs w:val="21"/>
          <w:lang w:val="en-GB"/>
        </w:rPr>
        <w:t xml:space="preserve">Various actors are responsible for food safety and hygiene including </w:t>
      </w:r>
      <w:proofErr w:type="spellStart"/>
      <w:r w:rsidR="00156C15" w:rsidRPr="001C492E">
        <w:rPr>
          <w:szCs w:val="21"/>
          <w:lang w:val="en-GB"/>
        </w:rPr>
        <w:t>MoHS</w:t>
      </w:r>
      <w:proofErr w:type="spellEnd"/>
      <w:r w:rsidRPr="001C492E">
        <w:rPr>
          <w:szCs w:val="21"/>
          <w:lang w:val="en-GB"/>
        </w:rPr>
        <w:t xml:space="preserve"> (Directorate of Disease Prevention and Control - DDPC) </w:t>
      </w:r>
      <w:r w:rsidRPr="001C492E">
        <w:rPr>
          <w:b/>
          <w:bCs/>
          <w:szCs w:val="21"/>
          <w:lang w:val="en-GB"/>
        </w:rPr>
        <w:t xml:space="preserve">MAFFS, MMR </w:t>
      </w:r>
      <w:r w:rsidRPr="001C492E">
        <w:rPr>
          <w:szCs w:val="21"/>
          <w:lang w:val="en-GB"/>
        </w:rPr>
        <w:t>(Ministry of Mineral Resources)</w:t>
      </w:r>
      <w:r w:rsidRPr="001C492E">
        <w:rPr>
          <w:b/>
          <w:bCs/>
          <w:szCs w:val="21"/>
          <w:lang w:val="en-GB"/>
        </w:rPr>
        <w:t>, Ministry of Trade and Industry,</w:t>
      </w:r>
      <w:r w:rsidRPr="001C492E">
        <w:rPr>
          <w:szCs w:val="21"/>
          <w:lang w:val="en-GB"/>
        </w:rPr>
        <w:t xml:space="preserve"> and</w:t>
      </w:r>
      <w:r w:rsidRPr="001C492E">
        <w:rPr>
          <w:b/>
          <w:bCs/>
          <w:szCs w:val="21"/>
          <w:lang w:val="en-GB"/>
        </w:rPr>
        <w:t xml:space="preserve"> </w:t>
      </w:r>
      <w:r w:rsidR="00AC1C54" w:rsidRPr="001C492E">
        <w:rPr>
          <w:szCs w:val="21"/>
          <w:lang w:val="en-GB"/>
        </w:rPr>
        <w:t xml:space="preserve">the </w:t>
      </w:r>
      <w:r w:rsidR="006B3511" w:rsidRPr="001C492E">
        <w:rPr>
          <w:szCs w:val="21"/>
          <w:lang w:val="en-GB"/>
        </w:rPr>
        <w:t>E</w:t>
      </w:r>
      <w:r w:rsidR="00AC1C54" w:rsidRPr="001C492E">
        <w:rPr>
          <w:szCs w:val="21"/>
          <w:lang w:val="en-GB"/>
        </w:rPr>
        <w:t xml:space="preserve">ducation ministries </w:t>
      </w:r>
      <w:r w:rsidR="00AC1C54" w:rsidRPr="001C492E">
        <w:rPr>
          <w:b/>
          <w:bCs/>
          <w:szCs w:val="21"/>
          <w:lang w:val="en-GB"/>
        </w:rPr>
        <w:t xml:space="preserve">MBSSE </w:t>
      </w:r>
      <w:r w:rsidR="00AC1C54" w:rsidRPr="001C492E">
        <w:rPr>
          <w:szCs w:val="21"/>
          <w:lang w:val="en-GB"/>
        </w:rPr>
        <w:t>and</w:t>
      </w:r>
      <w:r w:rsidR="00AC1C54" w:rsidRPr="001C492E">
        <w:rPr>
          <w:b/>
          <w:bCs/>
          <w:szCs w:val="21"/>
          <w:lang w:val="en-GB"/>
        </w:rPr>
        <w:t xml:space="preserve"> MTHE</w:t>
      </w:r>
      <w:r w:rsidRPr="001C492E">
        <w:rPr>
          <w:szCs w:val="21"/>
          <w:lang w:val="en-GB"/>
        </w:rPr>
        <w:t xml:space="preserve">. </w:t>
      </w:r>
    </w:p>
    <w:p w14:paraId="6BCFDC35" w14:textId="77777777" w:rsidR="007F27FF" w:rsidRPr="00610088" w:rsidRDefault="007F27FF" w:rsidP="003E0B7A">
      <w:pPr>
        <w:rPr>
          <w:lang w:val="en-GB"/>
        </w:rPr>
      </w:pPr>
    </w:p>
    <w:p w14:paraId="2B659FC3" w14:textId="01F6A374" w:rsidR="006A2316" w:rsidRPr="00610088" w:rsidRDefault="003E0B7A" w:rsidP="001B16D1">
      <w:pPr>
        <w:rPr>
          <w:lang w:val="en-GB"/>
        </w:rPr>
      </w:pPr>
      <w:r w:rsidRPr="00610088">
        <w:rPr>
          <w:lang w:val="en-GB"/>
        </w:rPr>
        <w:t xml:space="preserve">The </w:t>
      </w:r>
      <w:r w:rsidRPr="00610088">
        <w:rPr>
          <w:b/>
          <w:bCs/>
          <w:lang w:val="en-GB"/>
        </w:rPr>
        <w:t>Environment Protection Agency (EPA</w:t>
      </w:r>
      <w:r w:rsidRPr="00610088">
        <w:rPr>
          <w:lang w:val="en-GB"/>
        </w:rPr>
        <w:t>) Act established EPA in 2008,</w:t>
      </w:r>
      <w:r w:rsidR="00EE5703" w:rsidRPr="00610088">
        <w:rPr>
          <w:lang w:val="en-GB"/>
        </w:rPr>
        <w:t xml:space="preserve"> which</w:t>
      </w:r>
      <w:r w:rsidRPr="00610088">
        <w:rPr>
          <w:lang w:val="en-GB"/>
        </w:rPr>
        <w:t xml:space="preserve"> includ</w:t>
      </w:r>
      <w:r w:rsidR="00B11228" w:rsidRPr="00610088">
        <w:rPr>
          <w:lang w:val="en-GB"/>
        </w:rPr>
        <w:t>es</w:t>
      </w:r>
      <w:r w:rsidRPr="00610088">
        <w:rPr>
          <w:lang w:val="en-GB"/>
        </w:rPr>
        <w:t xml:space="preserve"> a Board of Directors with one representative of the Ministry of Health</w:t>
      </w:r>
      <w:r w:rsidR="006B3511" w:rsidRPr="00610088">
        <w:rPr>
          <w:lang w:val="en-GB"/>
        </w:rPr>
        <w:t xml:space="preserve"> and Sanitation</w:t>
      </w:r>
      <w:r w:rsidRPr="00610088">
        <w:rPr>
          <w:lang w:val="en-GB"/>
        </w:rPr>
        <w:t>. EPA is to “</w:t>
      </w:r>
      <w:r w:rsidRPr="00610088">
        <w:rPr>
          <w:i/>
          <w:iCs/>
          <w:lang w:val="en-GB"/>
        </w:rPr>
        <w:t>provide for the effective p</w:t>
      </w:r>
      <w:r w:rsidR="00B80C28" w:rsidRPr="00610088">
        <w:rPr>
          <w:i/>
          <w:iCs/>
          <w:lang w:val="en-GB"/>
        </w:rPr>
        <w:t>rotection</w:t>
      </w:r>
      <w:r w:rsidRPr="00610088">
        <w:rPr>
          <w:i/>
          <w:iCs/>
          <w:lang w:val="en-GB"/>
        </w:rPr>
        <w:t xml:space="preserve"> of the environment and other related matters”. </w:t>
      </w:r>
      <w:r w:rsidRPr="00610088">
        <w:rPr>
          <w:lang w:val="en-GB"/>
        </w:rPr>
        <w:t>According to the act</w:t>
      </w:r>
      <w:r w:rsidR="00B80C28" w:rsidRPr="00610088">
        <w:rPr>
          <w:lang w:val="en-GB"/>
        </w:rPr>
        <w:t>,</w:t>
      </w:r>
      <w:r w:rsidRPr="00610088">
        <w:rPr>
          <w:lang w:val="en-GB"/>
        </w:rPr>
        <w:t xml:space="preserve"> EPA has, among others, the mandate to provide standards, guidelines and methods to prevent and/or control air pollution.</w:t>
      </w:r>
      <w:r w:rsidRPr="00610088">
        <w:rPr>
          <w:rStyle w:val="EndnoteReference"/>
          <w:lang w:val="en-GB"/>
        </w:rPr>
        <w:t xml:space="preserve"> </w:t>
      </w:r>
      <w:r w:rsidRPr="00610088">
        <w:rPr>
          <w:rStyle w:val="EndnoteReference"/>
          <w:lang w:val="en-GB"/>
        </w:rPr>
        <w:endnoteReference w:id="60"/>
      </w:r>
      <w:r w:rsidRPr="00610088">
        <w:rPr>
          <w:vertAlign w:val="subscript"/>
          <w:lang w:val="en-GB"/>
        </w:rPr>
        <w:t xml:space="preserve">  </w:t>
      </w:r>
      <w:r w:rsidRPr="00610088">
        <w:rPr>
          <w:lang w:val="en-GB"/>
        </w:rPr>
        <w:t>Air pollution related activities in EPA’ strategic plan</w:t>
      </w:r>
      <w:r w:rsidR="00026F06" w:rsidRPr="00610088">
        <w:rPr>
          <w:lang w:val="en-GB"/>
        </w:rPr>
        <w:t xml:space="preserve"> 2017-2021</w:t>
      </w:r>
      <w:r w:rsidRPr="00610088">
        <w:rPr>
          <w:rStyle w:val="EndnoteReference"/>
          <w:lang w:val="en-GB"/>
        </w:rPr>
        <w:endnoteReference w:id="61"/>
      </w:r>
      <w:r w:rsidR="00026F06" w:rsidRPr="00610088">
        <w:rPr>
          <w:lang w:val="en-GB"/>
        </w:rPr>
        <w:t xml:space="preserve"> include Pollution control including being equipped to regularly monitor air samples by 2021. Guidelines for air quality were already develop</w:t>
      </w:r>
      <w:r w:rsidR="00FF222C" w:rsidRPr="00610088">
        <w:rPr>
          <w:lang w:val="en-GB"/>
        </w:rPr>
        <w:t>ed</w:t>
      </w:r>
      <w:r w:rsidR="00026F06" w:rsidRPr="00610088">
        <w:rPr>
          <w:lang w:val="en-GB"/>
        </w:rPr>
        <w:t xml:space="preserve"> under the previous strategic plan (2012-2016).  The Sierra Leone national climate change strategy and action plan (2013)</w:t>
      </w:r>
      <w:r w:rsidR="00026F06" w:rsidRPr="00610088">
        <w:rPr>
          <w:rStyle w:val="EndnoteReference"/>
          <w:lang w:val="en-GB"/>
        </w:rPr>
        <w:endnoteReference w:id="62"/>
      </w:r>
      <w:r w:rsidR="002470D3" w:rsidRPr="00610088">
        <w:rPr>
          <w:lang w:val="en-GB"/>
        </w:rPr>
        <w:t xml:space="preserve"> contains plans to </w:t>
      </w:r>
      <w:r w:rsidR="006A2316" w:rsidRPr="00610088">
        <w:rPr>
          <w:lang w:val="en-GB"/>
        </w:rPr>
        <w:t>develop a Green</w:t>
      </w:r>
      <w:r w:rsidR="00F67078" w:rsidRPr="00610088">
        <w:rPr>
          <w:lang w:val="en-GB"/>
        </w:rPr>
        <w:t xml:space="preserve"> </w:t>
      </w:r>
      <w:r w:rsidR="006A2316" w:rsidRPr="00610088">
        <w:rPr>
          <w:lang w:val="en-GB"/>
        </w:rPr>
        <w:t xml:space="preserve">Technology Mass Transport System for the entire Western Area, promote renewable energy, reduce greenhouse gas emissions from fuel wood consumption through energy-efficient cooking stoves and </w:t>
      </w:r>
      <w:r w:rsidR="00F67078" w:rsidRPr="00610088">
        <w:rPr>
          <w:lang w:val="en-GB"/>
        </w:rPr>
        <w:t>r</w:t>
      </w:r>
      <w:r w:rsidR="006A2316" w:rsidRPr="00610088">
        <w:rPr>
          <w:lang w:val="en-GB"/>
        </w:rPr>
        <w:t xml:space="preserve">educe methane emissions through improved waste management. All these measures will contribute to reduced air pollution. </w:t>
      </w:r>
    </w:p>
    <w:p w14:paraId="3C86E28C" w14:textId="1DADF96A" w:rsidR="002B764A" w:rsidRPr="00610088" w:rsidRDefault="002B764A" w:rsidP="001B16D1">
      <w:pPr>
        <w:rPr>
          <w:lang w:val="en-GB"/>
        </w:rPr>
      </w:pPr>
    </w:p>
    <w:p w14:paraId="22029822" w14:textId="7DC1C908" w:rsidR="00983785" w:rsidRPr="00610088" w:rsidRDefault="002B764A" w:rsidP="001B16D1">
      <w:pPr>
        <w:rPr>
          <w:lang w:val="en-GB"/>
        </w:rPr>
      </w:pPr>
      <w:r w:rsidRPr="00610088">
        <w:rPr>
          <w:lang w:val="en-GB"/>
        </w:rPr>
        <w:t>The Road Transport Authority Act (1996)</w:t>
      </w:r>
      <w:r w:rsidRPr="00610088">
        <w:rPr>
          <w:rStyle w:val="EndnoteReference"/>
          <w:lang w:val="en-GB"/>
        </w:rPr>
        <w:endnoteReference w:id="63"/>
      </w:r>
      <w:r w:rsidRPr="00610088">
        <w:rPr>
          <w:lang w:val="en-GB"/>
        </w:rPr>
        <w:t xml:space="preserve"> established the </w:t>
      </w:r>
      <w:r w:rsidRPr="00610088">
        <w:rPr>
          <w:b/>
          <w:bCs/>
          <w:lang w:val="en-GB"/>
        </w:rPr>
        <w:t>Sierra Leone Road Safety Authority (SLRSA)</w:t>
      </w:r>
      <w:r w:rsidR="003E711F" w:rsidRPr="00610088">
        <w:rPr>
          <w:b/>
          <w:bCs/>
          <w:lang w:val="en-GB"/>
        </w:rPr>
        <w:t>.</w:t>
      </w:r>
      <w:r w:rsidRPr="00610088">
        <w:rPr>
          <w:lang w:val="en-GB"/>
        </w:rPr>
        <w:t xml:space="preserve"> </w:t>
      </w:r>
      <w:r w:rsidR="003E711F" w:rsidRPr="00610088">
        <w:rPr>
          <w:lang w:val="en-GB"/>
        </w:rPr>
        <w:t xml:space="preserve">The main functions of SLSRA </w:t>
      </w:r>
      <w:r w:rsidR="00471B36" w:rsidRPr="00610088">
        <w:rPr>
          <w:lang w:val="en-GB"/>
        </w:rPr>
        <w:t>are</w:t>
      </w:r>
      <w:r w:rsidRPr="00610088">
        <w:rPr>
          <w:lang w:val="en-GB"/>
        </w:rPr>
        <w:t xml:space="preserve"> </w:t>
      </w:r>
      <w:r w:rsidR="00983785" w:rsidRPr="00610088">
        <w:rPr>
          <w:lang w:val="en-GB"/>
        </w:rPr>
        <w:t>the regulation and development of the</w:t>
      </w:r>
      <w:r w:rsidRPr="00610088">
        <w:rPr>
          <w:lang w:val="en-GB"/>
        </w:rPr>
        <w:t xml:space="preserve"> road transport industry, including the registration and licensing of vehicles, the licensing of drivers, the prescription of routes for passengers and good transportation </w:t>
      </w:r>
      <w:r w:rsidR="00983785" w:rsidRPr="00610088">
        <w:rPr>
          <w:lang w:val="en-GB"/>
        </w:rPr>
        <w:t xml:space="preserve">and the promotion of </w:t>
      </w:r>
      <w:r w:rsidRPr="00610088">
        <w:rPr>
          <w:lang w:val="en-GB"/>
        </w:rPr>
        <w:t xml:space="preserve">road safety. </w:t>
      </w:r>
      <w:r w:rsidR="00983785" w:rsidRPr="00610088">
        <w:rPr>
          <w:lang w:val="en-GB"/>
        </w:rPr>
        <w:t>The Road Traffic Act (2007)</w:t>
      </w:r>
      <w:r w:rsidR="00983785" w:rsidRPr="00610088">
        <w:rPr>
          <w:rStyle w:val="EndnoteReference"/>
          <w:lang w:val="en-GB"/>
        </w:rPr>
        <w:endnoteReference w:id="64"/>
      </w:r>
      <w:r w:rsidR="00983785" w:rsidRPr="00610088">
        <w:rPr>
          <w:lang w:val="en-GB"/>
        </w:rPr>
        <w:t xml:space="preserve"> contains a whole set of road safety provisions, also in relation to driving under the influence of alcohol and drugs. </w:t>
      </w:r>
      <w:r w:rsidR="00471B36" w:rsidRPr="00610088">
        <w:rPr>
          <w:lang w:val="en-GB"/>
        </w:rPr>
        <w:t xml:space="preserve"> </w:t>
      </w:r>
      <w:r w:rsidR="00983785" w:rsidRPr="00610088">
        <w:rPr>
          <w:lang w:val="en-GB"/>
        </w:rPr>
        <w:t>The first National Road Safety Policy, Strategic Plan and Trust Fund were launched on 23 November 2013 in Freetown.</w:t>
      </w:r>
      <w:r w:rsidR="00983785" w:rsidRPr="00610088">
        <w:rPr>
          <w:rStyle w:val="EndnoteReference"/>
          <w:lang w:val="en-GB"/>
        </w:rPr>
        <w:endnoteReference w:id="65"/>
      </w:r>
      <w:r w:rsidR="00983785" w:rsidRPr="00610088">
        <w:rPr>
          <w:lang w:val="en-GB"/>
        </w:rPr>
        <w:t xml:space="preserve"> </w:t>
      </w:r>
    </w:p>
    <w:p w14:paraId="5EAACBA3" w14:textId="5953109E" w:rsidR="00A452F7" w:rsidRPr="00610088" w:rsidRDefault="00A452F7" w:rsidP="001B16D1">
      <w:pPr>
        <w:rPr>
          <w:lang w:val="en-GB"/>
        </w:rPr>
      </w:pPr>
    </w:p>
    <w:p w14:paraId="62B16685" w14:textId="55E947D3" w:rsidR="00A452F7" w:rsidRPr="00610088" w:rsidRDefault="00A452F7" w:rsidP="001B16D1">
      <w:pPr>
        <w:rPr>
          <w:lang w:val="en-GB"/>
        </w:rPr>
      </w:pPr>
      <w:r w:rsidRPr="00610088">
        <w:rPr>
          <w:lang w:val="en-GB"/>
        </w:rPr>
        <w:t xml:space="preserve">The </w:t>
      </w:r>
      <w:r w:rsidR="00517E40" w:rsidRPr="00610088">
        <w:rPr>
          <w:b/>
          <w:bCs/>
          <w:lang w:val="en-GB"/>
        </w:rPr>
        <w:t>Ministry of Youth Affairs</w:t>
      </w:r>
      <w:r w:rsidR="00B815FD" w:rsidRPr="00610088">
        <w:rPr>
          <w:rStyle w:val="EndnoteReference"/>
          <w:b/>
          <w:bCs/>
          <w:lang w:val="en-GB"/>
        </w:rPr>
        <w:endnoteReference w:id="66"/>
      </w:r>
      <w:r w:rsidR="00517E40" w:rsidRPr="00610088">
        <w:rPr>
          <w:lang w:val="en-GB"/>
        </w:rPr>
        <w:t xml:space="preserve"> and the </w:t>
      </w:r>
      <w:r w:rsidR="00517E40" w:rsidRPr="00610088">
        <w:rPr>
          <w:b/>
          <w:bCs/>
          <w:lang w:val="en-GB"/>
        </w:rPr>
        <w:t>National Youth Commission</w:t>
      </w:r>
      <w:r w:rsidR="00517E40" w:rsidRPr="00610088">
        <w:rPr>
          <w:lang w:val="en-GB"/>
        </w:rPr>
        <w:t xml:space="preserve"> (2009)</w:t>
      </w:r>
      <w:r w:rsidR="00517E40" w:rsidRPr="00610088">
        <w:rPr>
          <w:rStyle w:val="EndnoteReference"/>
          <w:lang w:val="en-GB"/>
        </w:rPr>
        <w:endnoteReference w:id="67"/>
      </w:r>
      <w:r w:rsidR="00517E40" w:rsidRPr="00610088">
        <w:rPr>
          <w:vertAlign w:val="superscript"/>
          <w:lang w:val="en-GB"/>
        </w:rPr>
        <w:t>,</w:t>
      </w:r>
      <w:r w:rsidR="00517E40" w:rsidRPr="00610088">
        <w:rPr>
          <w:rStyle w:val="EndnoteReference"/>
          <w:lang w:val="en-GB"/>
        </w:rPr>
        <w:endnoteReference w:id="68"/>
      </w:r>
      <w:r w:rsidR="00517E40" w:rsidRPr="00610088">
        <w:rPr>
          <w:lang w:val="en-GB"/>
        </w:rPr>
        <w:t xml:space="preserve"> </w:t>
      </w:r>
      <w:r w:rsidR="00B815FD" w:rsidRPr="00610088">
        <w:rPr>
          <w:lang w:val="en-GB"/>
        </w:rPr>
        <w:t xml:space="preserve">are also engaged in health promotion, </w:t>
      </w:r>
      <w:r w:rsidR="00E51ED4" w:rsidRPr="00610088">
        <w:rPr>
          <w:lang w:val="en-GB"/>
        </w:rPr>
        <w:t>which seems to focus mostly</w:t>
      </w:r>
      <w:r w:rsidR="00B815FD" w:rsidRPr="00610088">
        <w:rPr>
          <w:lang w:val="en-GB"/>
        </w:rPr>
        <w:t xml:space="preserve"> on Sexual and Reproductive Health. The </w:t>
      </w:r>
      <w:r w:rsidR="00E51ED4" w:rsidRPr="00610088">
        <w:rPr>
          <w:lang w:val="en-GB"/>
        </w:rPr>
        <w:t xml:space="preserve">2012 revised </w:t>
      </w:r>
      <w:r w:rsidR="00E51ED4" w:rsidRPr="00610088">
        <w:rPr>
          <w:lang w:val="en-GB"/>
        </w:rPr>
        <w:lastRenderedPageBreak/>
        <w:t>Sierra Leone youth policy</w:t>
      </w:r>
      <w:r w:rsidR="00E51ED4" w:rsidRPr="00610088">
        <w:rPr>
          <w:rStyle w:val="EndnoteReference"/>
          <w:lang w:val="en-GB"/>
        </w:rPr>
        <w:endnoteReference w:id="69"/>
      </w:r>
      <w:r w:rsidR="00E51ED4" w:rsidRPr="00610088">
        <w:rPr>
          <w:lang w:val="en-GB"/>
        </w:rPr>
        <w:t xml:space="preserve"> contains four (4) health promotion areas: HIV and AIDS, </w:t>
      </w:r>
      <w:r w:rsidR="00F56CAD">
        <w:rPr>
          <w:lang w:val="en-GB"/>
        </w:rPr>
        <w:t>s</w:t>
      </w:r>
      <w:r w:rsidR="00E51ED4" w:rsidRPr="00610088">
        <w:rPr>
          <w:lang w:val="en-GB"/>
        </w:rPr>
        <w:t xml:space="preserve">exual and reproductive health (including teenage pregnancies), substance and drug abuse and young people with disability. The last 2 areas fall within the mandate of the DNCD&amp;MH. </w:t>
      </w:r>
    </w:p>
    <w:p w14:paraId="6000827E" w14:textId="0E9AF7B7" w:rsidR="00490476" w:rsidRPr="00610088" w:rsidRDefault="00490476" w:rsidP="001B16D1">
      <w:pPr>
        <w:rPr>
          <w:lang w:val="en-GB"/>
        </w:rPr>
      </w:pPr>
    </w:p>
    <w:p w14:paraId="6A1DD615" w14:textId="68F612DB" w:rsidR="00490476" w:rsidRPr="00610088" w:rsidRDefault="004B0FCF" w:rsidP="001B16D1">
      <w:pPr>
        <w:rPr>
          <w:lang w:val="en-GB"/>
        </w:rPr>
      </w:pPr>
      <w:r w:rsidRPr="00610088">
        <w:rPr>
          <w:lang w:val="en-GB"/>
        </w:rPr>
        <w:t>Although th</w:t>
      </w:r>
      <w:r w:rsidR="00E51ED4" w:rsidRPr="00610088">
        <w:rPr>
          <w:lang w:val="en-GB"/>
        </w:rPr>
        <w:t xml:space="preserve">e </w:t>
      </w:r>
      <w:r w:rsidR="00490476" w:rsidRPr="00610088">
        <w:rPr>
          <w:b/>
          <w:bCs/>
          <w:lang w:val="en-GB"/>
        </w:rPr>
        <w:t>Ministry of Information and Communication</w:t>
      </w:r>
      <w:r w:rsidR="00E51ED4" w:rsidRPr="00610088">
        <w:rPr>
          <w:b/>
          <w:bCs/>
          <w:lang w:val="en-GB"/>
        </w:rPr>
        <w:t xml:space="preserve">s </w:t>
      </w:r>
      <w:r w:rsidR="00E51ED4" w:rsidRPr="00610088">
        <w:rPr>
          <w:lang w:val="en-GB"/>
        </w:rPr>
        <w:t>(MIC)</w:t>
      </w:r>
      <w:r w:rsidR="00E51ED4" w:rsidRPr="00610088">
        <w:rPr>
          <w:rStyle w:val="EndnoteReference"/>
          <w:lang w:val="en-GB"/>
        </w:rPr>
        <w:endnoteReference w:id="70"/>
      </w:r>
      <w:r w:rsidR="00490476" w:rsidRPr="00610088">
        <w:rPr>
          <w:lang w:val="en-GB"/>
        </w:rPr>
        <w:t xml:space="preserve"> </w:t>
      </w:r>
      <w:r w:rsidRPr="00610088">
        <w:rPr>
          <w:lang w:val="en-GB"/>
        </w:rPr>
        <w:t xml:space="preserve">website is silent on health matters and especially NCD matters at the beginning of 2020, MIC could </w:t>
      </w:r>
      <w:r w:rsidR="00E51ED4" w:rsidRPr="00610088">
        <w:rPr>
          <w:lang w:val="en-GB"/>
        </w:rPr>
        <w:t>play a key role in NCD communication</w:t>
      </w:r>
      <w:r w:rsidRPr="00610088">
        <w:rPr>
          <w:lang w:val="en-GB"/>
        </w:rPr>
        <w:t>s in the future</w:t>
      </w:r>
      <w:r w:rsidR="00B80C28" w:rsidRPr="00610088">
        <w:rPr>
          <w:lang w:val="en-GB"/>
        </w:rPr>
        <w:t>, especially now that they are represented in the NCDI commission</w:t>
      </w:r>
      <w:r w:rsidRPr="00610088">
        <w:rPr>
          <w:lang w:val="en-GB"/>
        </w:rPr>
        <w:t xml:space="preserve">. </w:t>
      </w:r>
    </w:p>
    <w:p w14:paraId="2BBECFAC" w14:textId="5231D472" w:rsidR="004B0FCF" w:rsidRPr="00610088" w:rsidRDefault="004B0FCF" w:rsidP="001B16D1">
      <w:pPr>
        <w:rPr>
          <w:lang w:val="en-GB"/>
        </w:rPr>
      </w:pPr>
    </w:p>
    <w:p w14:paraId="5CB006E2" w14:textId="478FF953" w:rsidR="004B0FCF" w:rsidRPr="00610088" w:rsidRDefault="004B0FCF" w:rsidP="001B16D1">
      <w:pPr>
        <w:rPr>
          <w:lang w:val="en-GB"/>
        </w:rPr>
      </w:pPr>
      <w:r w:rsidRPr="00610088">
        <w:rPr>
          <w:lang w:val="en-GB"/>
        </w:rPr>
        <w:t xml:space="preserve">The </w:t>
      </w:r>
      <w:r w:rsidRPr="00610088">
        <w:rPr>
          <w:b/>
          <w:bCs/>
          <w:lang w:val="en-GB"/>
        </w:rPr>
        <w:t>Ministry of Basic and Senior Secondary Education</w:t>
      </w:r>
      <w:r w:rsidRPr="00610088">
        <w:rPr>
          <w:lang w:val="en-GB"/>
        </w:rPr>
        <w:t xml:space="preserve"> (MBSSE) plays a key role in health promotion in schools. This </w:t>
      </w:r>
      <w:r w:rsidR="00B80C28" w:rsidRPr="00610088">
        <w:rPr>
          <w:lang w:val="en-GB"/>
        </w:rPr>
        <w:t>M</w:t>
      </w:r>
      <w:r w:rsidRPr="00610088">
        <w:rPr>
          <w:lang w:val="en-GB"/>
        </w:rPr>
        <w:t>inistry has a range of Directorates, with the ones relevant for NCDs being Physical Health Education Directorate</w:t>
      </w:r>
      <w:r w:rsidRPr="00610088">
        <w:rPr>
          <w:rStyle w:val="EndnoteReference"/>
          <w:lang w:val="en-GB"/>
        </w:rPr>
        <w:endnoteReference w:id="71"/>
      </w:r>
      <w:r w:rsidRPr="00610088">
        <w:rPr>
          <w:lang w:val="en-GB"/>
        </w:rPr>
        <w:t>, the Schools Feeding Coordination Unit</w:t>
      </w:r>
      <w:r w:rsidRPr="00610088">
        <w:rPr>
          <w:rStyle w:val="EndnoteReference"/>
          <w:lang w:val="en-GB"/>
        </w:rPr>
        <w:endnoteReference w:id="72"/>
      </w:r>
      <w:r w:rsidRPr="00610088">
        <w:rPr>
          <w:lang w:val="en-GB"/>
        </w:rPr>
        <w:t xml:space="preserve"> and the Guidance and Counselling Unit.</w:t>
      </w:r>
      <w:r w:rsidRPr="00610088">
        <w:rPr>
          <w:rStyle w:val="EndnoteReference"/>
          <w:lang w:val="en-GB"/>
        </w:rPr>
        <w:endnoteReference w:id="73"/>
      </w:r>
    </w:p>
    <w:p w14:paraId="287F9FE2" w14:textId="6D736F00" w:rsidR="0057323A" w:rsidRPr="00610088" w:rsidRDefault="0057323A" w:rsidP="00FF222C">
      <w:pPr>
        <w:rPr>
          <w:lang w:val="en-GB"/>
        </w:rPr>
      </w:pPr>
    </w:p>
    <w:p w14:paraId="64C169D3" w14:textId="67BE44A5" w:rsidR="00FF222C" w:rsidRPr="00610088" w:rsidRDefault="00FF222C" w:rsidP="00FF222C">
      <w:pPr>
        <w:pStyle w:val="Heading4"/>
        <w:rPr>
          <w:lang w:val="en-GB"/>
        </w:rPr>
      </w:pPr>
      <w:r w:rsidRPr="00610088">
        <w:rPr>
          <w:lang w:val="en-GB"/>
        </w:rPr>
        <w:t>NCD &amp; Mental Health Directorate</w:t>
      </w:r>
    </w:p>
    <w:p w14:paraId="095C6921" w14:textId="3939BBC7" w:rsidR="00FF222C" w:rsidRPr="00610088" w:rsidRDefault="00FF222C" w:rsidP="00FF222C">
      <w:pPr>
        <w:rPr>
          <w:lang w:val="en-GB"/>
        </w:rPr>
      </w:pPr>
    </w:p>
    <w:p w14:paraId="4F1BFD60" w14:textId="74AC3F4F" w:rsidR="00B73049" w:rsidRPr="00610088" w:rsidRDefault="0012740C" w:rsidP="001B16D1">
      <w:pPr>
        <w:rPr>
          <w:lang w:val="en-GB"/>
        </w:rPr>
      </w:pPr>
      <w:r w:rsidRPr="00610088">
        <w:rPr>
          <w:lang w:val="en-GB"/>
        </w:rPr>
        <w:t xml:space="preserve">The </w:t>
      </w:r>
      <w:r w:rsidRPr="00610088">
        <w:rPr>
          <w:b/>
          <w:bCs/>
          <w:lang w:val="en-GB"/>
        </w:rPr>
        <w:t>Directorate of NCDs and Mental Health (DNCD&amp;MH)</w:t>
      </w:r>
      <w:r w:rsidRPr="00610088">
        <w:rPr>
          <w:lang w:val="en-GB"/>
        </w:rPr>
        <w:t xml:space="preserve"> is in place since 2017</w:t>
      </w:r>
      <w:r w:rsidR="00B80C28" w:rsidRPr="00610088">
        <w:rPr>
          <w:lang w:val="en-GB"/>
        </w:rPr>
        <w:t xml:space="preserve">. </w:t>
      </w:r>
      <w:r w:rsidR="00B80C28" w:rsidRPr="00610088">
        <w:rPr>
          <w:sz w:val="22"/>
          <w:szCs w:val="22"/>
          <w:lang w:val="en-GB"/>
        </w:rPr>
        <w:t xml:space="preserve">Previously – from around 2011/2012 - NCDs were integrated in the Directorate of Training, NCDs and Research (DTNR). </w:t>
      </w:r>
      <w:r w:rsidR="00B73049" w:rsidRPr="00610088">
        <w:rPr>
          <w:lang w:val="en-GB"/>
        </w:rPr>
        <w:t xml:space="preserve">The 2019 national level staff includes a very limited staff of </w:t>
      </w:r>
      <w:r w:rsidR="00FF222C" w:rsidRPr="00610088">
        <w:rPr>
          <w:lang w:val="en-GB"/>
        </w:rPr>
        <w:t>1 Director, 6 technical staff</w:t>
      </w:r>
      <w:r w:rsidR="00B73049" w:rsidRPr="00610088">
        <w:rPr>
          <w:lang w:val="en-GB"/>
        </w:rPr>
        <w:t xml:space="preserve"> and</w:t>
      </w:r>
      <w:r w:rsidR="00FF222C" w:rsidRPr="00610088">
        <w:rPr>
          <w:lang w:val="en-GB"/>
        </w:rPr>
        <w:t xml:space="preserve"> 3 support staff</w:t>
      </w:r>
      <w:r w:rsidR="00B73049" w:rsidRPr="00610088">
        <w:rPr>
          <w:lang w:val="en-GB"/>
        </w:rPr>
        <w:t xml:space="preserve"> who together cover NCDs, Mental Health and </w:t>
      </w:r>
      <w:r w:rsidR="00B84D22" w:rsidRPr="00610088">
        <w:rPr>
          <w:lang w:val="en-GB"/>
        </w:rPr>
        <w:t>Physiotherapy/</w:t>
      </w:r>
      <w:r w:rsidR="00B73049" w:rsidRPr="00610088">
        <w:rPr>
          <w:lang w:val="en-GB"/>
        </w:rPr>
        <w:t xml:space="preserve">Rehabilitation. There are no NCD focal points at district level. Each district has one (1) mental health nurse, based at the hospital.  </w:t>
      </w:r>
      <w:r w:rsidR="00B84D22" w:rsidRPr="00610088">
        <w:rPr>
          <w:lang w:val="en-GB"/>
        </w:rPr>
        <w:t xml:space="preserve">There are 6 Physiotherapy/Rehabilitation centres in the country. </w:t>
      </w:r>
    </w:p>
    <w:p w14:paraId="0927CA1D" w14:textId="77777777" w:rsidR="00B73049" w:rsidRPr="00610088" w:rsidRDefault="00B73049" w:rsidP="001B16D1">
      <w:pPr>
        <w:rPr>
          <w:lang w:val="en-GB"/>
        </w:rPr>
      </w:pPr>
    </w:p>
    <w:p w14:paraId="0234AFCD" w14:textId="71753EC5" w:rsidR="00FF222C" w:rsidRPr="00610088" w:rsidRDefault="00B73049" w:rsidP="001B16D1">
      <w:pPr>
        <w:rPr>
          <w:lang w:val="en-GB"/>
        </w:rPr>
      </w:pPr>
      <w:r w:rsidRPr="00610088">
        <w:rPr>
          <w:lang w:val="en-GB"/>
        </w:rPr>
        <w:t>There is l</w:t>
      </w:r>
      <w:r w:rsidR="00FF222C" w:rsidRPr="00610088">
        <w:rPr>
          <w:lang w:val="en-GB"/>
        </w:rPr>
        <w:t>imited advocacy within and outside the health sector</w:t>
      </w:r>
      <w:r w:rsidRPr="00610088">
        <w:rPr>
          <w:lang w:val="en-GB"/>
        </w:rPr>
        <w:t xml:space="preserve"> for NCDs which is</w:t>
      </w:r>
      <w:r w:rsidR="00FF222C" w:rsidRPr="00610088">
        <w:rPr>
          <w:lang w:val="en-GB"/>
        </w:rPr>
        <w:t xml:space="preserve"> also due to limited staff in the Directorate and limited NCD focused staff at district and lower levels.</w:t>
      </w:r>
      <w:r w:rsidRPr="00610088">
        <w:rPr>
          <w:lang w:val="en-GB"/>
        </w:rPr>
        <w:t xml:space="preserve"> </w:t>
      </w:r>
      <w:r w:rsidR="00FF222C" w:rsidRPr="00610088">
        <w:rPr>
          <w:lang w:val="en-GB"/>
        </w:rPr>
        <w:t xml:space="preserve">For </w:t>
      </w:r>
      <w:r w:rsidR="0012740C" w:rsidRPr="00610088">
        <w:rPr>
          <w:lang w:val="en-GB"/>
        </w:rPr>
        <w:t>now,</w:t>
      </w:r>
      <w:r w:rsidRPr="00610088">
        <w:rPr>
          <w:lang w:val="en-GB"/>
        </w:rPr>
        <w:t xml:space="preserve"> there is</w:t>
      </w:r>
      <w:r w:rsidR="00FF222C" w:rsidRPr="00610088">
        <w:rPr>
          <w:lang w:val="en-GB"/>
        </w:rPr>
        <w:t xml:space="preserve"> </w:t>
      </w:r>
      <w:r w:rsidRPr="00610088">
        <w:rPr>
          <w:lang w:val="en-GB"/>
        </w:rPr>
        <w:t xml:space="preserve">also </w:t>
      </w:r>
      <w:r w:rsidR="00FF222C" w:rsidRPr="00610088">
        <w:rPr>
          <w:lang w:val="en-GB"/>
        </w:rPr>
        <w:t>limited coordination</w:t>
      </w:r>
      <w:r w:rsidRPr="00610088">
        <w:rPr>
          <w:lang w:val="en-GB"/>
        </w:rPr>
        <w:t xml:space="preserve"> of NCD activities, however the DNCD&amp;MH plans to have (assistant) focal persons at </w:t>
      </w:r>
      <w:r w:rsidR="00FF222C" w:rsidRPr="00610088">
        <w:rPr>
          <w:lang w:val="en-GB"/>
        </w:rPr>
        <w:t>district level (DHMT and hospital)</w:t>
      </w:r>
      <w:r w:rsidR="00F56CAD">
        <w:rPr>
          <w:lang w:val="en-GB"/>
        </w:rPr>
        <w:t>.</w:t>
      </w:r>
    </w:p>
    <w:p w14:paraId="3A48F49C" w14:textId="77777777" w:rsidR="00FF222C" w:rsidRPr="00610088" w:rsidRDefault="00FF222C" w:rsidP="001B16D1">
      <w:pPr>
        <w:rPr>
          <w:highlight w:val="yellow"/>
          <w:lang w:val="en-GB"/>
        </w:rPr>
      </w:pPr>
    </w:p>
    <w:p w14:paraId="171DCBA7" w14:textId="522A2697" w:rsidR="00BB1D05" w:rsidRPr="00610088" w:rsidRDefault="00C95991" w:rsidP="001B16D1">
      <w:pPr>
        <w:rPr>
          <w:lang w:val="en-GB"/>
        </w:rPr>
      </w:pPr>
      <w:r w:rsidRPr="00610088">
        <w:rPr>
          <w:lang w:val="en-GB"/>
        </w:rPr>
        <w:t>There are very limited national or district coordination, partnership and/or oversight structures for NCDs, and there is limited involvement of stakeholders.  At national level there is a multisectoral Tobacco Task Force (2017) and a Mental Health Steering Committee.</w:t>
      </w:r>
      <w:r w:rsidR="00FF222C" w:rsidRPr="00610088">
        <w:rPr>
          <w:lang w:val="en-GB"/>
        </w:rPr>
        <w:t xml:space="preserve"> </w:t>
      </w:r>
      <w:r w:rsidR="00B73049" w:rsidRPr="00610088">
        <w:rPr>
          <w:lang w:val="en-GB"/>
        </w:rPr>
        <w:t>DNCD&amp;MH j</w:t>
      </w:r>
      <w:r w:rsidR="00FF222C" w:rsidRPr="00610088">
        <w:rPr>
          <w:lang w:val="en-GB"/>
        </w:rPr>
        <w:t xml:space="preserve">ust established </w:t>
      </w:r>
      <w:r w:rsidR="00B73049" w:rsidRPr="00610088">
        <w:rPr>
          <w:lang w:val="en-GB"/>
        </w:rPr>
        <w:t xml:space="preserve">an </w:t>
      </w:r>
      <w:r w:rsidR="00FF222C" w:rsidRPr="00610088">
        <w:rPr>
          <w:lang w:val="en-GB"/>
        </w:rPr>
        <w:t>NCDI commission</w:t>
      </w:r>
      <w:r w:rsidR="00B73049" w:rsidRPr="00610088">
        <w:rPr>
          <w:lang w:val="en-GB"/>
        </w:rPr>
        <w:t xml:space="preserve"> (2019)</w:t>
      </w:r>
      <w:r w:rsidR="00FF222C" w:rsidRPr="00610088">
        <w:rPr>
          <w:lang w:val="en-GB"/>
        </w:rPr>
        <w:t xml:space="preserve"> and </w:t>
      </w:r>
      <w:r w:rsidR="00B73049" w:rsidRPr="00610088">
        <w:rPr>
          <w:lang w:val="en-GB"/>
        </w:rPr>
        <w:t xml:space="preserve">a </w:t>
      </w:r>
      <w:r w:rsidR="00FF222C" w:rsidRPr="00610088">
        <w:rPr>
          <w:lang w:val="en-GB"/>
        </w:rPr>
        <w:t>TWG for NCDs (2019</w:t>
      </w:r>
      <w:r w:rsidR="00B73049" w:rsidRPr="00610088">
        <w:rPr>
          <w:lang w:val="en-GB"/>
        </w:rPr>
        <w:t>)</w:t>
      </w:r>
      <w:r w:rsidR="00FF222C" w:rsidRPr="00610088">
        <w:rPr>
          <w:lang w:val="en-GB"/>
        </w:rPr>
        <w:t>.</w:t>
      </w:r>
      <w:r w:rsidR="00BB1D05" w:rsidRPr="00610088">
        <w:rPr>
          <w:lang w:val="en-GB"/>
        </w:rPr>
        <w:t xml:space="preserve">  </w:t>
      </w:r>
      <w:proofErr w:type="spellStart"/>
      <w:r w:rsidR="00BB1D05" w:rsidRPr="00610088">
        <w:rPr>
          <w:lang w:val="en-GB"/>
        </w:rPr>
        <w:t>FoRUT</w:t>
      </w:r>
      <w:proofErr w:type="spellEnd"/>
      <w:r w:rsidR="003561E5">
        <w:rPr>
          <w:lang w:val="en-GB"/>
        </w:rPr>
        <w:t xml:space="preserve"> (</w:t>
      </w:r>
      <w:r w:rsidR="003561E5" w:rsidRPr="003561E5">
        <w:rPr>
          <w:lang w:val="en-GB"/>
        </w:rPr>
        <w:t>Foundation for Rural and Urban Transformation</w:t>
      </w:r>
      <w:r w:rsidR="003561E5">
        <w:rPr>
          <w:lang w:val="en-GB"/>
        </w:rPr>
        <w:t>)</w:t>
      </w:r>
      <w:r w:rsidR="00BB1D05" w:rsidRPr="00610088">
        <w:rPr>
          <w:lang w:val="en-GB"/>
        </w:rPr>
        <w:t xml:space="preserve"> is the lead agency in the Sierra Leone Alcohol Policy Alliance (SLAPA) launched 28th October 2015. SLAPA advocates for changes to Alcohol and Drugs Development policies in Sierra Leone to contribute to reduction of harmful of effects of alcohol and drugs. </w:t>
      </w:r>
    </w:p>
    <w:p w14:paraId="1BDCD3CD" w14:textId="6D1A7146" w:rsidR="00FF222C" w:rsidRPr="00610088" w:rsidRDefault="00FF222C" w:rsidP="001B16D1">
      <w:pPr>
        <w:rPr>
          <w:lang w:val="en-GB"/>
        </w:rPr>
      </w:pPr>
    </w:p>
    <w:p w14:paraId="76E5A23F" w14:textId="6D7A1D1C" w:rsidR="00FF222C" w:rsidRPr="00610088" w:rsidRDefault="00B73049" w:rsidP="001B16D1">
      <w:pPr>
        <w:rPr>
          <w:lang w:val="en-GB"/>
        </w:rPr>
      </w:pPr>
      <w:r w:rsidRPr="00610088">
        <w:rPr>
          <w:lang w:val="en-GB"/>
        </w:rPr>
        <w:t xml:space="preserve">Please </w:t>
      </w:r>
      <w:r w:rsidR="004C7CE2" w:rsidRPr="00610088">
        <w:rPr>
          <w:lang w:val="en-GB"/>
        </w:rPr>
        <w:t xml:space="preserve">consult </w:t>
      </w:r>
      <w:r w:rsidR="004C7CE2" w:rsidRPr="00610088">
        <w:rPr>
          <w:highlight w:val="yellow"/>
          <w:lang w:val="en-GB"/>
        </w:rPr>
        <w:fldChar w:fldCharType="begin"/>
      </w:r>
      <w:r w:rsidR="004C7CE2" w:rsidRPr="00610088">
        <w:rPr>
          <w:lang w:val="en-GB"/>
        </w:rPr>
        <w:instrText xml:space="preserve"> REF _Ref17446532 \h </w:instrText>
      </w:r>
      <w:r w:rsidR="001B16D1">
        <w:rPr>
          <w:highlight w:val="yellow"/>
          <w:lang w:val="en-GB"/>
        </w:rPr>
        <w:instrText xml:space="preserve"> \* MERGEFORMAT </w:instrText>
      </w:r>
      <w:r w:rsidR="004C7CE2" w:rsidRPr="00610088">
        <w:rPr>
          <w:highlight w:val="yellow"/>
          <w:lang w:val="en-GB"/>
        </w:rPr>
      </w:r>
      <w:r w:rsidR="004C7CE2" w:rsidRPr="00610088">
        <w:rPr>
          <w:highlight w:val="yellow"/>
          <w:lang w:val="en-GB"/>
        </w:rPr>
        <w:fldChar w:fldCharType="separate"/>
      </w:r>
      <w:r w:rsidR="00CB360C" w:rsidRPr="00CB360C">
        <w:rPr>
          <w:lang w:val="en-GB"/>
        </w:rPr>
        <w:t xml:space="preserve">Table </w:t>
      </w:r>
      <w:r w:rsidR="00CB360C" w:rsidRPr="00CB360C">
        <w:rPr>
          <w:noProof/>
          <w:lang w:val="en-GB"/>
        </w:rPr>
        <w:t>3</w:t>
      </w:r>
      <w:r w:rsidR="004C7CE2" w:rsidRPr="00610088">
        <w:rPr>
          <w:highlight w:val="yellow"/>
          <w:lang w:val="en-GB"/>
        </w:rPr>
        <w:fldChar w:fldCharType="end"/>
      </w:r>
      <w:r w:rsidR="004C7CE2" w:rsidRPr="00610088">
        <w:rPr>
          <w:lang w:val="en-GB"/>
        </w:rPr>
        <w:t xml:space="preserve"> below for the </w:t>
      </w:r>
      <w:r w:rsidR="00FF222C" w:rsidRPr="00610088">
        <w:rPr>
          <w:lang w:val="en-GB"/>
        </w:rPr>
        <w:t xml:space="preserve">current and planned (focal persons) organization of oversight </w:t>
      </w:r>
      <w:r w:rsidR="00C23F1E" w:rsidRPr="00610088">
        <w:rPr>
          <w:lang w:val="en-GB"/>
        </w:rPr>
        <w:t>and coordination</w:t>
      </w:r>
      <w:r w:rsidR="00FF222C" w:rsidRPr="00610088">
        <w:rPr>
          <w:lang w:val="en-GB"/>
        </w:rPr>
        <w:t xml:space="preserve">. </w:t>
      </w:r>
    </w:p>
    <w:p w14:paraId="359778F0" w14:textId="77777777" w:rsidR="00FF222C" w:rsidRPr="00610088" w:rsidRDefault="00FF222C" w:rsidP="00FF222C">
      <w:pPr>
        <w:rPr>
          <w:lang w:val="en-GB"/>
        </w:rPr>
      </w:pPr>
    </w:p>
    <w:p w14:paraId="0C6689B5" w14:textId="5FA91F22" w:rsidR="0057323A" w:rsidRPr="00F0634E" w:rsidRDefault="0057323A" w:rsidP="0057323A">
      <w:pPr>
        <w:pStyle w:val="Caption"/>
        <w:keepNext/>
        <w:rPr>
          <w:i w:val="0"/>
          <w:iCs w:val="0"/>
          <w:sz w:val="20"/>
          <w:szCs w:val="20"/>
          <w:lang w:val="en-GB"/>
        </w:rPr>
      </w:pPr>
      <w:bookmarkStart w:id="69" w:name="_Ref17446532"/>
      <w:bookmarkStart w:id="70" w:name="_Toc34804981"/>
      <w:r w:rsidRPr="00F0634E">
        <w:rPr>
          <w:i w:val="0"/>
          <w:iCs w:val="0"/>
          <w:sz w:val="20"/>
          <w:szCs w:val="20"/>
          <w:lang w:val="en-GB"/>
        </w:rPr>
        <w:t xml:space="preserve">Table </w:t>
      </w:r>
      <w:r w:rsidR="00B039CE" w:rsidRPr="00F0634E">
        <w:rPr>
          <w:i w:val="0"/>
          <w:iCs w:val="0"/>
          <w:sz w:val="20"/>
          <w:szCs w:val="20"/>
          <w:lang w:val="en-GB"/>
        </w:rPr>
        <w:fldChar w:fldCharType="begin"/>
      </w:r>
      <w:r w:rsidR="00B039CE" w:rsidRPr="00F0634E">
        <w:rPr>
          <w:i w:val="0"/>
          <w:iCs w:val="0"/>
          <w:sz w:val="20"/>
          <w:szCs w:val="20"/>
          <w:lang w:val="en-GB"/>
        </w:rPr>
        <w:instrText xml:space="preserve"> SEQ Table \* ARABIC </w:instrText>
      </w:r>
      <w:r w:rsidR="00B039CE" w:rsidRPr="00F0634E">
        <w:rPr>
          <w:i w:val="0"/>
          <w:iCs w:val="0"/>
          <w:sz w:val="20"/>
          <w:szCs w:val="20"/>
          <w:lang w:val="en-GB"/>
        </w:rPr>
        <w:fldChar w:fldCharType="separate"/>
      </w:r>
      <w:r w:rsidR="00CB360C">
        <w:rPr>
          <w:i w:val="0"/>
          <w:iCs w:val="0"/>
          <w:noProof/>
          <w:sz w:val="20"/>
          <w:szCs w:val="20"/>
          <w:lang w:val="en-GB"/>
        </w:rPr>
        <w:t>3</w:t>
      </w:r>
      <w:r w:rsidR="00B039CE" w:rsidRPr="00F0634E">
        <w:rPr>
          <w:i w:val="0"/>
          <w:iCs w:val="0"/>
          <w:noProof/>
          <w:sz w:val="20"/>
          <w:szCs w:val="20"/>
          <w:lang w:val="en-GB"/>
        </w:rPr>
        <w:fldChar w:fldCharType="end"/>
      </w:r>
      <w:bookmarkEnd w:id="69"/>
      <w:r w:rsidRPr="00F0634E">
        <w:rPr>
          <w:i w:val="0"/>
          <w:iCs w:val="0"/>
          <w:sz w:val="20"/>
          <w:szCs w:val="20"/>
          <w:lang w:val="en-GB"/>
        </w:rPr>
        <w:t>: NCD, Injuries, M</w:t>
      </w:r>
      <w:r w:rsidR="00156C15" w:rsidRPr="00F0634E">
        <w:rPr>
          <w:i w:val="0"/>
          <w:iCs w:val="0"/>
          <w:sz w:val="20"/>
          <w:szCs w:val="20"/>
          <w:lang w:val="en-GB"/>
        </w:rPr>
        <w:t>ental Health</w:t>
      </w:r>
      <w:r w:rsidRPr="00F0634E">
        <w:rPr>
          <w:i w:val="0"/>
          <w:iCs w:val="0"/>
          <w:sz w:val="20"/>
          <w:szCs w:val="20"/>
          <w:lang w:val="en-GB"/>
        </w:rPr>
        <w:t xml:space="preserve"> – </w:t>
      </w:r>
      <w:r w:rsidR="00C23F1E" w:rsidRPr="00F0634E">
        <w:rPr>
          <w:i w:val="0"/>
          <w:iCs w:val="0"/>
          <w:sz w:val="20"/>
          <w:szCs w:val="20"/>
          <w:lang w:val="en-GB"/>
        </w:rPr>
        <w:t xml:space="preserve">Current and Planned (bold) </w:t>
      </w:r>
      <w:r w:rsidRPr="00F0634E">
        <w:rPr>
          <w:i w:val="0"/>
          <w:iCs w:val="0"/>
          <w:sz w:val="20"/>
          <w:szCs w:val="20"/>
          <w:lang w:val="en-GB"/>
        </w:rPr>
        <w:t>Governance/ coordination</w:t>
      </w:r>
      <w:bookmarkEnd w:id="70"/>
      <w:r w:rsidR="00C23F1E" w:rsidRPr="00F0634E">
        <w:rPr>
          <w:i w:val="0"/>
          <w:iCs w:val="0"/>
          <w:sz w:val="20"/>
          <w:szCs w:val="20"/>
          <w:lang w:val="en-GB"/>
        </w:rPr>
        <w:t xml:space="preserve"> </w:t>
      </w:r>
    </w:p>
    <w:tbl>
      <w:tblPr>
        <w:tblStyle w:val="GridTable4-Accent1"/>
        <w:tblW w:w="5000" w:type="pct"/>
        <w:tblLook w:val="0420" w:firstRow="1" w:lastRow="0" w:firstColumn="0" w:lastColumn="0" w:noHBand="0" w:noVBand="1"/>
      </w:tblPr>
      <w:tblGrid>
        <w:gridCol w:w="701"/>
        <w:gridCol w:w="1088"/>
        <w:gridCol w:w="1596"/>
        <w:gridCol w:w="1051"/>
        <w:gridCol w:w="1069"/>
        <w:gridCol w:w="1622"/>
        <w:gridCol w:w="1883"/>
      </w:tblGrid>
      <w:tr w:rsidR="0057323A" w:rsidRPr="00610088" w14:paraId="06C8738D" w14:textId="77777777" w:rsidTr="00FF222C">
        <w:trPr>
          <w:cnfStyle w:val="100000000000" w:firstRow="1" w:lastRow="0" w:firstColumn="0" w:lastColumn="0" w:oddVBand="0" w:evenVBand="0" w:oddHBand="0" w:evenHBand="0" w:firstRowFirstColumn="0" w:firstRowLastColumn="0" w:lastRowFirstColumn="0" w:lastRowLastColumn="0"/>
          <w:trHeight w:val="778"/>
        </w:trPr>
        <w:tc>
          <w:tcPr>
            <w:tcW w:w="356" w:type="pct"/>
            <w:hideMark/>
          </w:tcPr>
          <w:p w14:paraId="54BD8951"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Level</w:t>
            </w:r>
          </w:p>
        </w:tc>
        <w:tc>
          <w:tcPr>
            <w:tcW w:w="572" w:type="pct"/>
            <w:hideMark/>
          </w:tcPr>
          <w:p w14:paraId="0649DAD8"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Entity</w:t>
            </w:r>
          </w:p>
        </w:tc>
        <w:tc>
          <w:tcPr>
            <w:tcW w:w="857" w:type="pct"/>
            <w:hideMark/>
          </w:tcPr>
          <w:p w14:paraId="5A5D51F4"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Chair / Co-Chair</w:t>
            </w:r>
          </w:p>
        </w:tc>
        <w:tc>
          <w:tcPr>
            <w:tcW w:w="535" w:type="pct"/>
            <w:hideMark/>
          </w:tcPr>
          <w:p w14:paraId="491DF467"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Secretariat</w:t>
            </w:r>
          </w:p>
        </w:tc>
        <w:tc>
          <w:tcPr>
            <w:tcW w:w="606" w:type="pct"/>
            <w:hideMark/>
          </w:tcPr>
          <w:p w14:paraId="1D35E970"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Focal point in NCD &amp; MH Directorate</w:t>
            </w:r>
          </w:p>
        </w:tc>
        <w:tc>
          <w:tcPr>
            <w:tcW w:w="982" w:type="pct"/>
            <w:hideMark/>
          </w:tcPr>
          <w:p w14:paraId="3849353F"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Focal point at District level</w:t>
            </w:r>
          </w:p>
        </w:tc>
        <w:tc>
          <w:tcPr>
            <w:tcW w:w="1092" w:type="pct"/>
            <w:hideMark/>
          </w:tcPr>
          <w:p w14:paraId="6B8C7745"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Related policies /strategic plan / implementation plan</w:t>
            </w:r>
          </w:p>
        </w:tc>
      </w:tr>
      <w:tr w:rsidR="0057323A" w:rsidRPr="00610088" w14:paraId="68DD9DB4" w14:textId="77777777" w:rsidTr="00FF222C">
        <w:trPr>
          <w:cnfStyle w:val="000000100000" w:firstRow="0" w:lastRow="0" w:firstColumn="0" w:lastColumn="0" w:oddVBand="0" w:evenVBand="0" w:oddHBand="1" w:evenHBand="0" w:firstRowFirstColumn="0" w:firstRowLastColumn="0" w:lastRowFirstColumn="0" w:lastRowLastColumn="0"/>
          <w:trHeight w:val="699"/>
        </w:trPr>
        <w:tc>
          <w:tcPr>
            <w:tcW w:w="356" w:type="pct"/>
            <w:hideMark/>
          </w:tcPr>
          <w:p w14:paraId="5305A7D6"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Multi-sector</w:t>
            </w:r>
          </w:p>
        </w:tc>
        <w:tc>
          <w:tcPr>
            <w:tcW w:w="572" w:type="pct"/>
            <w:hideMark/>
          </w:tcPr>
          <w:p w14:paraId="1B049EC0"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 &amp; Injuries commission</w:t>
            </w:r>
          </w:p>
        </w:tc>
        <w:tc>
          <w:tcPr>
            <w:tcW w:w="857" w:type="pct"/>
            <w:hideMark/>
          </w:tcPr>
          <w:p w14:paraId="1B4AF5B5"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 / Chief Medical Officer PIH</w:t>
            </w:r>
          </w:p>
        </w:tc>
        <w:tc>
          <w:tcPr>
            <w:tcW w:w="535" w:type="pct"/>
            <w:hideMark/>
          </w:tcPr>
          <w:p w14:paraId="25C0DEF2"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Directorate</w:t>
            </w:r>
          </w:p>
        </w:tc>
        <w:tc>
          <w:tcPr>
            <w:tcW w:w="606" w:type="pct"/>
            <w:hideMark/>
          </w:tcPr>
          <w:p w14:paraId="7335BA9C"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 xml:space="preserve">NCD &amp; MH Director </w:t>
            </w:r>
          </w:p>
        </w:tc>
        <w:tc>
          <w:tcPr>
            <w:tcW w:w="982" w:type="pct"/>
            <w:hideMark/>
          </w:tcPr>
          <w:p w14:paraId="6F44E48F"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District Medical Officer</w:t>
            </w:r>
          </w:p>
        </w:tc>
        <w:tc>
          <w:tcPr>
            <w:tcW w:w="1092" w:type="pct"/>
            <w:hideMark/>
          </w:tcPr>
          <w:p w14:paraId="410145C0"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 Policy, NCD Strategic plan</w:t>
            </w:r>
          </w:p>
        </w:tc>
      </w:tr>
      <w:tr w:rsidR="0057323A" w:rsidRPr="00610088" w14:paraId="6789D5EA" w14:textId="77777777" w:rsidTr="00FF222C">
        <w:trPr>
          <w:trHeight w:val="699"/>
        </w:trPr>
        <w:tc>
          <w:tcPr>
            <w:tcW w:w="356" w:type="pct"/>
            <w:vMerge w:val="restart"/>
            <w:hideMark/>
          </w:tcPr>
          <w:p w14:paraId="18F8031F"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Health sector</w:t>
            </w:r>
          </w:p>
        </w:tc>
        <w:tc>
          <w:tcPr>
            <w:tcW w:w="572" w:type="pct"/>
            <w:hideMark/>
          </w:tcPr>
          <w:p w14:paraId="7D9C71FB" w14:textId="0F2952DE"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Mental Health</w:t>
            </w:r>
            <w:r w:rsidR="00C95991" w:rsidRPr="00610088">
              <w:rPr>
                <w:rFonts w:asciiTheme="minorHAnsi" w:hAnsiTheme="minorHAnsi"/>
                <w:sz w:val="18"/>
                <w:szCs w:val="18"/>
                <w:lang w:val="en-GB"/>
              </w:rPr>
              <w:t xml:space="preserve"> steering committee</w:t>
            </w:r>
          </w:p>
        </w:tc>
        <w:tc>
          <w:tcPr>
            <w:tcW w:w="857" w:type="pct"/>
            <w:hideMark/>
          </w:tcPr>
          <w:p w14:paraId="75CDB373"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 /NA</w:t>
            </w:r>
          </w:p>
        </w:tc>
        <w:tc>
          <w:tcPr>
            <w:tcW w:w="535" w:type="pct"/>
            <w:hideMark/>
          </w:tcPr>
          <w:p w14:paraId="6F6A39FC"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Directorate</w:t>
            </w:r>
          </w:p>
        </w:tc>
        <w:tc>
          <w:tcPr>
            <w:tcW w:w="606" w:type="pct"/>
            <w:hideMark/>
          </w:tcPr>
          <w:p w14:paraId="593F7873" w14:textId="7C15B3A7" w:rsidR="0057323A" w:rsidRPr="00610088" w:rsidRDefault="002579F7" w:rsidP="002B69FA">
            <w:pPr>
              <w:pStyle w:val="NormalWeb"/>
              <w:rPr>
                <w:rFonts w:asciiTheme="minorHAnsi" w:hAnsiTheme="minorHAnsi"/>
                <w:sz w:val="18"/>
                <w:szCs w:val="18"/>
                <w:lang w:val="en-GB"/>
              </w:rPr>
            </w:pPr>
            <w:r w:rsidRPr="00610088">
              <w:rPr>
                <w:rFonts w:asciiTheme="minorHAnsi" w:hAnsiTheme="minorHAnsi"/>
                <w:sz w:val="18"/>
                <w:szCs w:val="18"/>
                <w:lang w:val="en-GB"/>
              </w:rPr>
              <w:t>Mental Health Committee National Focal Point</w:t>
            </w:r>
          </w:p>
        </w:tc>
        <w:tc>
          <w:tcPr>
            <w:tcW w:w="982" w:type="pct"/>
            <w:vMerge w:val="restart"/>
            <w:hideMark/>
          </w:tcPr>
          <w:p w14:paraId="72FCB003"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b/>
                <w:bCs/>
                <w:sz w:val="18"/>
                <w:szCs w:val="18"/>
                <w:lang w:val="en-GB"/>
              </w:rPr>
              <w:t>NCD focal person in the DHMT</w:t>
            </w:r>
          </w:p>
          <w:p w14:paraId="62F953EE" w14:textId="0C3D773C"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b/>
                <w:bCs/>
                <w:sz w:val="18"/>
                <w:szCs w:val="18"/>
                <w:lang w:val="en-GB"/>
              </w:rPr>
              <w:t xml:space="preserve">Assistant NCD focal person in the </w:t>
            </w:r>
            <w:r w:rsidR="00FF222C" w:rsidRPr="00610088">
              <w:rPr>
                <w:rFonts w:asciiTheme="minorHAnsi" w:hAnsiTheme="minorHAnsi"/>
                <w:b/>
                <w:bCs/>
                <w:sz w:val="18"/>
                <w:szCs w:val="18"/>
                <w:lang w:val="en-GB"/>
              </w:rPr>
              <w:t>hospital:</w:t>
            </w:r>
            <w:r w:rsidRPr="00610088">
              <w:rPr>
                <w:rFonts w:asciiTheme="minorHAnsi" w:hAnsiTheme="minorHAnsi"/>
                <w:sz w:val="18"/>
                <w:szCs w:val="18"/>
                <w:lang w:val="en-GB"/>
              </w:rPr>
              <w:t xml:space="preserve"> Mental Health nurse based in </w:t>
            </w:r>
            <w:r w:rsidRPr="00610088">
              <w:rPr>
                <w:rFonts w:asciiTheme="minorHAnsi" w:hAnsiTheme="minorHAnsi"/>
                <w:sz w:val="18"/>
                <w:szCs w:val="18"/>
                <w:lang w:val="en-GB"/>
              </w:rPr>
              <w:lastRenderedPageBreak/>
              <w:t xml:space="preserve">district/regional hospital </w:t>
            </w:r>
          </w:p>
        </w:tc>
        <w:tc>
          <w:tcPr>
            <w:tcW w:w="1092" w:type="pct"/>
            <w:hideMark/>
          </w:tcPr>
          <w:p w14:paraId="1215C095" w14:textId="087FDB4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lastRenderedPageBreak/>
              <w:t>M</w:t>
            </w:r>
            <w:r w:rsidR="00156C15">
              <w:rPr>
                <w:rFonts w:asciiTheme="minorHAnsi" w:hAnsiTheme="minorHAnsi"/>
                <w:sz w:val="18"/>
                <w:szCs w:val="18"/>
                <w:lang w:val="en-GB"/>
              </w:rPr>
              <w:t>ental Health</w:t>
            </w:r>
            <w:r w:rsidRPr="00610088">
              <w:rPr>
                <w:rFonts w:asciiTheme="minorHAnsi" w:hAnsiTheme="minorHAnsi"/>
                <w:sz w:val="18"/>
                <w:szCs w:val="18"/>
                <w:lang w:val="en-GB"/>
              </w:rPr>
              <w:t xml:space="preserve"> Policy and Strategic Plan</w:t>
            </w:r>
          </w:p>
        </w:tc>
      </w:tr>
      <w:tr w:rsidR="0057323A" w:rsidRPr="00610088" w14:paraId="234E884B" w14:textId="77777777" w:rsidTr="00FF222C">
        <w:trPr>
          <w:cnfStyle w:val="000000100000" w:firstRow="0" w:lastRow="0" w:firstColumn="0" w:lastColumn="0" w:oddVBand="0" w:evenVBand="0" w:oddHBand="1" w:evenHBand="0" w:firstRowFirstColumn="0" w:firstRowLastColumn="0" w:lastRowFirstColumn="0" w:lastRowLastColumn="0"/>
          <w:trHeight w:val="778"/>
        </w:trPr>
        <w:tc>
          <w:tcPr>
            <w:tcW w:w="356" w:type="pct"/>
            <w:vMerge/>
            <w:hideMark/>
          </w:tcPr>
          <w:p w14:paraId="2DE05E48" w14:textId="77777777" w:rsidR="0057323A" w:rsidRPr="00610088" w:rsidRDefault="0057323A" w:rsidP="002B69FA">
            <w:pPr>
              <w:pStyle w:val="NormalWeb"/>
              <w:rPr>
                <w:rFonts w:asciiTheme="minorHAnsi" w:hAnsiTheme="minorHAnsi"/>
                <w:sz w:val="18"/>
                <w:szCs w:val="18"/>
                <w:lang w:val="en-GB"/>
              </w:rPr>
            </w:pPr>
          </w:p>
        </w:tc>
        <w:tc>
          <w:tcPr>
            <w:tcW w:w="572" w:type="pct"/>
            <w:hideMark/>
          </w:tcPr>
          <w:p w14:paraId="138DB5B1" w14:textId="5F6CC3A8" w:rsidR="0057323A" w:rsidRPr="00610088" w:rsidRDefault="00795B1B" w:rsidP="002B69FA">
            <w:pPr>
              <w:pStyle w:val="NormalWeb"/>
              <w:rPr>
                <w:rFonts w:asciiTheme="minorHAnsi" w:hAnsiTheme="minorHAnsi"/>
                <w:sz w:val="18"/>
                <w:szCs w:val="18"/>
                <w:lang w:val="en-GB"/>
              </w:rPr>
            </w:pPr>
            <w:r w:rsidRPr="00610088">
              <w:rPr>
                <w:rFonts w:asciiTheme="minorHAnsi" w:hAnsiTheme="minorHAnsi"/>
                <w:sz w:val="18"/>
                <w:szCs w:val="18"/>
                <w:lang w:val="en-GB"/>
              </w:rPr>
              <w:t>TWG -</w:t>
            </w:r>
            <w:r w:rsidR="0057323A" w:rsidRPr="00610088">
              <w:rPr>
                <w:rFonts w:asciiTheme="minorHAnsi" w:hAnsiTheme="minorHAnsi"/>
                <w:sz w:val="18"/>
                <w:szCs w:val="18"/>
                <w:lang w:val="en-GB"/>
              </w:rPr>
              <w:t xml:space="preserve"> NCDs</w:t>
            </w:r>
          </w:p>
        </w:tc>
        <w:tc>
          <w:tcPr>
            <w:tcW w:w="857" w:type="pct"/>
            <w:hideMark/>
          </w:tcPr>
          <w:p w14:paraId="3E80105B"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 xml:space="preserve">NCD&amp;MH Director </w:t>
            </w:r>
          </w:p>
        </w:tc>
        <w:tc>
          <w:tcPr>
            <w:tcW w:w="535" w:type="pct"/>
            <w:hideMark/>
          </w:tcPr>
          <w:p w14:paraId="520050B8"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Directorate</w:t>
            </w:r>
          </w:p>
        </w:tc>
        <w:tc>
          <w:tcPr>
            <w:tcW w:w="606" w:type="pct"/>
            <w:hideMark/>
          </w:tcPr>
          <w:p w14:paraId="71257EA1" w14:textId="1BAA4EC1" w:rsidR="0057323A" w:rsidRPr="00610088" w:rsidRDefault="002579F7" w:rsidP="002B69FA">
            <w:pPr>
              <w:pStyle w:val="NormalWeb"/>
              <w:rPr>
                <w:rFonts w:asciiTheme="minorHAnsi" w:hAnsiTheme="minorHAnsi"/>
                <w:sz w:val="18"/>
                <w:szCs w:val="18"/>
                <w:lang w:val="en-GB"/>
              </w:rPr>
            </w:pPr>
            <w:r w:rsidRPr="00610088">
              <w:rPr>
                <w:rFonts w:asciiTheme="minorHAnsi" w:hAnsiTheme="minorHAnsi"/>
                <w:sz w:val="18"/>
                <w:szCs w:val="18"/>
                <w:lang w:val="en-GB"/>
              </w:rPr>
              <w:t>NCD TWG National Focal Point</w:t>
            </w:r>
          </w:p>
        </w:tc>
        <w:tc>
          <w:tcPr>
            <w:tcW w:w="982" w:type="pct"/>
            <w:vMerge/>
            <w:hideMark/>
          </w:tcPr>
          <w:p w14:paraId="4677D3E2" w14:textId="77777777" w:rsidR="0057323A" w:rsidRPr="00610088" w:rsidRDefault="0057323A" w:rsidP="002B69FA">
            <w:pPr>
              <w:pStyle w:val="NormalWeb"/>
              <w:rPr>
                <w:rFonts w:asciiTheme="minorHAnsi" w:hAnsiTheme="minorHAnsi"/>
                <w:sz w:val="18"/>
                <w:szCs w:val="18"/>
                <w:lang w:val="en-GB"/>
              </w:rPr>
            </w:pPr>
          </w:p>
        </w:tc>
        <w:tc>
          <w:tcPr>
            <w:tcW w:w="1092" w:type="pct"/>
            <w:hideMark/>
          </w:tcPr>
          <w:p w14:paraId="7E08666E"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 Policy and Strategic Plan, all NCD implementation plans</w:t>
            </w:r>
          </w:p>
        </w:tc>
      </w:tr>
      <w:tr w:rsidR="0057323A" w:rsidRPr="00610088" w14:paraId="3AAA01BD" w14:textId="77777777" w:rsidTr="00FF222C">
        <w:trPr>
          <w:trHeight w:val="579"/>
        </w:trPr>
        <w:tc>
          <w:tcPr>
            <w:tcW w:w="356" w:type="pct"/>
            <w:vMerge/>
            <w:hideMark/>
          </w:tcPr>
          <w:p w14:paraId="16CF6251" w14:textId="77777777" w:rsidR="0057323A" w:rsidRPr="00610088" w:rsidRDefault="0057323A" w:rsidP="002B69FA">
            <w:pPr>
              <w:pStyle w:val="NormalWeb"/>
              <w:rPr>
                <w:rFonts w:asciiTheme="minorHAnsi" w:hAnsiTheme="minorHAnsi"/>
                <w:sz w:val="18"/>
                <w:szCs w:val="18"/>
                <w:lang w:val="en-GB"/>
              </w:rPr>
            </w:pPr>
          </w:p>
        </w:tc>
        <w:tc>
          <w:tcPr>
            <w:tcW w:w="572" w:type="pct"/>
            <w:hideMark/>
          </w:tcPr>
          <w:p w14:paraId="2CFB7254" w14:textId="538DABA2" w:rsidR="0057323A" w:rsidRPr="00610088" w:rsidRDefault="00795B1B" w:rsidP="002B69FA">
            <w:pPr>
              <w:pStyle w:val="NormalWeb"/>
              <w:rPr>
                <w:rFonts w:asciiTheme="minorHAnsi" w:hAnsiTheme="minorHAnsi"/>
                <w:sz w:val="18"/>
                <w:szCs w:val="18"/>
                <w:lang w:val="en-GB"/>
              </w:rPr>
            </w:pPr>
            <w:r w:rsidRPr="00610088">
              <w:rPr>
                <w:rFonts w:asciiTheme="minorHAnsi" w:hAnsiTheme="minorHAnsi"/>
                <w:sz w:val="18"/>
                <w:szCs w:val="18"/>
                <w:lang w:val="en-GB"/>
              </w:rPr>
              <w:t>Tobacco</w:t>
            </w:r>
            <w:r w:rsidR="00C95991" w:rsidRPr="00610088">
              <w:rPr>
                <w:rFonts w:asciiTheme="minorHAnsi" w:hAnsiTheme="minorHAnsi"/>
                <w:sz w:val="18"/>
                <w:szCs w:val="18"/>
                <w:lang w:val="en-GB"/>
              </w:rPr>
              <w:t xml:space="preserve"> Task Force (multi-sectorial)</w:t>
            </w:r>
          </w:p>
        </w:tc>
        <w:tc>
          <w:tcPr>
            <w:tcW w:w="857" w:type="pct"/>
            <w:hideMark/>
          </w:tcPr>
          <w:p w14:paraId="455DBD22"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NCD&amp;MH/Director / NA</w:t>
            </w:r>
          </w:p>
        </w:tc>
        <w:tc>
          <w:tcPr>
            <w:tcW w:w="535" w:type="pct"/>
            <w:hideMark/>
          </w:tcPr>
          <w:p w14:paraId="382D992B"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Directorate</w:t>
            </w:r>
          </w:p>
        </w:tc>
        <w:tc>
          <w:tcPr>
            <w:tcW w:w="606" w:type="pct"/>
            <w:hideMark/>
          </w:tcPr>
          <w:p w14:paraId="4859DBF7" w14:textId="43FC5C3A" w:rsidR="0057323A" w:rsidRPr="00610088" w:rsidRDefault="002579F7" w:rsidP="002B69FA">
            <w:pPr>
              <w:pStyle w:val="NormalWeb"/>
              <w:rPr>
                <w:rFonts w:asciiTheme="minorHAnsi" w:hAnsiTheme="minorHAnsi"/>
                <w:sz w:val="18"/>
                <w:szCs w:val="18"/>
                <w:lang w:val="en-GB"/>
              </w:rPr>
            </w:pPr>
            <w:r w:rsidRPr="00610088">
              <w:rPr>
                <w:rFonts w:asciiTheme="minorHAnsi" w:hAnsiTheme="minorHAnsi"/>
                <w:sz w:val="18"/>
                <w:szCs w:val="18"/>
                <w:lang w:val="en-GB"/>
              </w:rPr>
              <w:t>Tobacco National Focal Point</w:t>
            </w:r>
          </w:p>
        </w:tc>
        <w:tc>
          <w:tcPr>
            <w:tcW w:w="982" w:type="pct"/>
            <w:vMerge/>
            <w:hideMark/>
          </w:tcPr>
          <w:p w14:paraId="3A58684D" w14:textId="77777777" w:rsidR="0057323A" w:rsidRPr="00610088" w:rsidRDefault="0057323A" w:rsidP="002B69FA">
            <w:pPr>
              <w:pStyle w:val="NormalWeb"/>
              <w:rPr>
                <w:rFonts w:asciiTheme="minorHAnsi" w:hAnsiTheme="minorHAnsi"/>
                <w:sz w:val="18"/>
                <w:szCs w:val="18"/>
                <w:lang w:val="en-GB"/>
              </w:rPr>
            </w:pPr>
          </w:p>
        </w:tc>
        <w:tc>
          <w:tcPr>
            <w:tcW w:w="1092" w:type="pct"/>
            <w:hideMark/>
          </w:tcPr>
          <w:p w14:paraId="6CA61614" w14:textId="77777777"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Tobacco legislation implementation plan</w:t>
            </w:r>
          </w:p>
        </w:tc>
      </w:tr>
      <w:tr w:rsidR="0057323A" w:rsidRPr="00610088" w14:paraId="5437975E" w14:textId="77777777" w:rsidTr="00FF222C">
        <w:trPr>
          <w:cnfStyle w:val="000000100000" w:firstRow="0" w:lastRow="0" w:firstColumn="0" w:lastColumn="0" w:oddVBand="0" w:evenVBand="0" w:oddHBand="1" w:evenHBand="0" w:firstRowFirstColumn="0" w:firstRowLastColumn="0" w:lastRowFirstColumn="0" w:lastRowLastColumn="0"/>
          <w:trHeight w:val="778"/>
        </w:trPr>
        <w:tc>
          <w:tcPr>
            <w:tcW w:w="356" w:type="pct"/>
            <w:vMerge/>
            <w:hideMark/>
          </w:tcPr>
          <w:p w14:paraId="27118EE5" w14:textId="77777777" w:rsidR="0057323A" w:rsidRPr="00610088" w:rsidRDefault="0057323A" w:rsidP="002B69FA">
            <w:pPr>
              <w:pStyle w:val="NormalWeb"/>
              <w:rPr>
                <w:rFonts w:asciiTheme="minorHAnsi" w:hAnsiTheme="minorHAnsi"/>
                <w:sz w:val="18"/>
                <w:szCs w:val="18"/>
                <w:lang w:val="en-GB"/>
              </w:rPr>
            </w:pPr>
          </w:p>
        </w:tc>
        <w:tc>
          <w:tcPr>
            <w:tcW w:w="572" w:type="pct"/>
            <w:hideMark/>
          </w:tcPr>
          <w:p w14:paraId="67A3BBDC" w14:textId="19D94EDF"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 xml:space="preserve">TWG </w:t>
            </w:r>
            <w:r w:rsidR="00A96A62" w:rsidRPr="00610088">
              <w:rPr>
                <w:rFonts w:asciiTheme="minorHAnsi" w:hAnsiTheme="minorHAnsi"/>
                <w:sz w:val="18"/>
                <w:szCs w:val="18"/>
                <w:lang w:val="en-GB"/>
              </w:rPr>
              <w:t>–</w:t>
            </w:r>
            <w:r w:rsidRPr="00610088">
              <w:rPr>
                <w:rFonts w:asciiTheme="minorHAnsi" w:hAnsiTheme="minorHAnsi"/>
                <w:sz w:val="18"/>
                <w:szCs w:val="18"/>
                <w:lang w:val="en-GB"/>
              </w:rPr>
              <w:t xml:space="preserve"> Alcohol</w:t>
            </w:r>
            <w:r w:rsidR="00C95991" w:rsidRPr="00610088">
              <w:rPr>
                <w:rFonts w:asciiTheme="minorHAnsi" w:hAnsiTheme="minorHAnsi"/>
                <w:sz w:val="18"/>
                <w:szCs w:val="18"/>
                <w:lang w:val="en-GB"/>
              </w:rPr>
              <w:t xml:space="preserve"> (multi-sectorial)</w:t>
            </w:r>
          </w:p>
        </w:tc>
        <w:tc>
          <w:tcPr>
            <w:tcW w:w="857" w:type="pct"/>
            <w:hideMark/>
          </w:tcPr>
          <w:p w14:paraId="0F6ACA81" w14:textId="74B25759" w:rsidR="0057323A" w:rsidRPr="00610088" w:rsidRDefault="0057323A" w:rsidP="002B69FA">
            <w:pPr>
              <w:pStyle w:val="NormalWeb"/>
              <w:rPr>
                <w:rFonts w:asciiTheme="minorHAnsi" w:hAnsiTheme="minorHAnsi"/>
                <w:sz w:val="18"/>
                <w:szCs w:val="18"/>
                <w:lang w:val="en-GB"/>
              </w:rPr>
            </w:pPr>
            <w:r w:rsidRPr="00610088">
              <w:rPr>
                <w:rFonts w:asciiTheme="minorHAnsi" w:hAnsiTheme="minorHAnsi"/>
                <w:sz w:val="18"/>
                <w:szCs w:val="18"/>
                <w:lang w:val="en-GB"/>
              </w:rPr>
              <w:t>NCD&amp;MH Director / SLAPA</w:t>
            </w:r>
          </w:p>
        </w:tc>
        <w:tc>
          <w:tcPr>
            <w:tcW w:w="535" w:type="pct"/>
            <w:hideMark/>
          </w:tcPr>
          <w:p w14:paraId="0EE779B4" w14:textId="2B6881C5" w:rsidR="0057323A" w:rsidRPr="00610088" w:rsidRDefault="0057323A" w:rsidP="002B69FA">
            <w:pPr>
              <w:pStyle w:val="NormalWeb"/>
              <w:rPr>
                <w:rFonts w:asciiTheme="minorHAnsi" w:hAnsiTheme="minorHAnsi"/>
                <w:sz w:val="18"/>
                <w:szCs w:val="18"/>
                <w:lang w:val="en-GB"/>
              </w:rPr>
            </w:pPr>
            <w:proofErr w:type="spellStart"/>
            <w:r w:rsidRPr="00610088">
              <w:rPr>
                <w:rFonts w:asciiTheme="minorHAnsi" w:hAnsiTheme="minorHAnsi"/>
                <w:sz w:val="18"/>
                <w:szCs w:val="18"/>
                <w:lang w:val="en-GB"/>
              </w:rPr>
              <w:t>F</w:t>
            </w:r>
            <w:r w:rsidR="00F56CAD">
              <w:rPr>
                <w:rFonts w:asciiTheme="minorHAnsi" w:hAnsiTheme="minorHAnsi"/>
                <w:sz w:val="18"/>
                <w:szCs w:val="18"/>
                <w:lang w:val="en-GB"/>
              </w:rPr>
              <w:t>o</w:t>
            </w:r>
            <w:r w:rsidRPr="00610088">
              <w:rPr>
                <w:rFonts w:asciiTheme="minorHAnsi" w:hAnsiTheme="minorHAnsi"/>
                <w:sz w:val="18"/>
                <w:szCs w:val="18"/>
                <w:lang w:val="en-GB"/>
              </w:rPr>
              <w:t>RUT</w:t>
            </w:r>
            <w:proofErr w:type="spellEnd"/>
          </w:p>
        </w:tc>
        <w:tc>
          <w:tcPr>
            <w:tcW w:w="606" w:type="pct"/>
            <w:hideMark/>
          </w:tcPr>
          <w:p w14:paraId="6134A2C4" w14:textId="26D985F1" w:rsidR="0057323A" w:rsidRPr="00610088" w:rsidRDefault="002579F7" w:rsidP="002B69FA">
            <w:pPr>
              <w:pStyle w:val="NormalWeb"/>
              <w:rPr>
                <w:rFonts w:asciiTheme="minorHAnsi" w:hAnsiTheme="minorHAnsi"/>
                <w:sz w:val="18"/>
                <w:szCs w:val="18"/>
                <w:lang w:val="en-GB"/>
              </w:rPr>
            </w:pPr>
            <w:r w:rsidRPr="00610088">
              <w:rPr>
                <w:rFonts w:asciiTheme="minorHAnsi" w:hAnsiTheme="minorHAnsi"/>
                <w:sz w:val="18"/>
                <w:szCs w:val="18"/>
                <w:lang w:val="en-GB"/>
              </w:rPr>
              <w:t>Alcohol National Focal Point</w:t>
            </w:r>
          </w:p>
        </w:tc>
        <w:tc>
          <w:tcPr>
            <w:tcW w:w="982" w:type="pct"/>
            <w:vMerge/>
            <w:hideMark/>
          </w:tcPr>
          <w:p w14:paraId="3B5511C5" w14:textId="77777777" w:rsidR="0057323A" w:rsidRPr="00610088" w:rsidRDefault="0057323A" w:rsidP="002B69FA">
            <w:pPr>
              <w:pStyle w:val="NormalWeb"/>
              <w:rPr>
                <w:rFonts w:asciiTheme="minorHAnsi" w:hAnsiTheme="minorHAnsi"/>
                <w:sz w:val="18"/>
                <w:szCs w:val="18"/>
                <w:lang w:val="en-GB"/>
              </w:rPr>
            </w:pPr>
          </w:p>
        </w:tc>
        <w:tc>
          <w:tcPr>
            <w:tcW w:w="1092" w:type="pct"/>
            <w:hideMark/>
          </w:tcPr>
          <w:p w14:paraId="499780DE" w14:textId="77777777" w:rsidR="0057323A" w:rsidRPr="00610088" w:rsidRDefault="0057323A" w:rsidP="002B69FA">
            <w:pPr>
              <w:pStyle w:val="NormalWeb"/>
              <w:rPr>
                <w:rFonts w:asciiTheme="minorHAnsi" w:hAnsiTheme="minorHAnsi"/>
                <w:sz w:val="18"/>
                <w:szCs w:val="18"/>
                <w:lang w:val="en-GB"/>
              </w:rPr>
            </w:pPr>
          </w:p>
        </w:tc>
      </w:tr>
    </w:tbl>
    <w:p w14:paraId="65B67CF1" w14:textId="77777777" w:rsidR="0057323A" w:rsidRPr="00610088" w:rsidRDefault="0057323A" w:rsidP="0057323A">
      <w:pPr>
        <w:rPr>
          <w:lang w:val="en-GB"/>
        </w:rPr>
      </w:pPr>
    </w:p>
    <w:p w14:paraId="24E409FC" w14:textId="77777777" w:rsidR="0057323A" w:rsidRPr="00610088" w:rsidRDefault="0057323A" w:rsidP="00B82C13">
      <w:pPr>
        <w:pStyle w:val="Heading3"/>
        <w:rPr>
          <w:lang w:val="en-GB"/>
        </w:rPr>
      </w:pPr>
      <w:bookmarkStart w:id="71" w:name="_Toc41370548"/>
      <w:r w:rsidRPr="00610088">
        <w:rPr>
          <w:lang w:val="en-GB"/>
        </w:rPr>
        <w:t>NCD Financing</w:t>
      </w:r>
      <w:bookmarkEnd w:id="71"/>
    </w:p>
    <w:p w14:paraId="5B5FD99E" w14:textId="4E59ACEF" w:rsidR="0057323A" w:rsidRPr="00610088" w:rsidRDefault="00795B1B" w:rsidP="001B16D1">
      <w:pPr>
        <w:rPr>
          <w:lang w:val="en-GB"/>
        </w:rPr>
      </w:pPr>
      <w:r w:rsidRPr="00610088">
        <w:rPr>
          <w:lang w:val="en-GB"/>
        </w:rPr>
        <w:t xml:space="preserve">The DNCD&amp;MH 2019 budget line in the </w:t>
      </w:r>
      <w:proofErr w:type="spellStart"/>
      <w:r w:rsidR="00156C15">
        <w:rPr>
          <w:lang w:val="en-GB"/>
        </w:rPr>
        <w:t>MoHS</w:t>
      </w:r>
      <w:proofErr w:type="spellEnd"/>
      <w:r w:rsidRPr="00610088">
        <w:rPr>
          <w:lang w:val="en-GB"/>
        </w:rPr>
        <w:t xml:space="preserve"> budget</w:t>
      </w:r>
      <w:r w:rsidR="00B542C7" w:rsidRPr="00610088">
        <w:rPr>
          <w:rStyle w:val="EndnoteReference"/>
          <w:lang w:val="en-GB"/>
        </w:rPr>
        <w:endnoteReference w:id="74"/>
      </w:r>
      <w:r w:rsidRPr="00610088">
        <w:rPr>
          <w:lang w:val="en-GB"/>
        </w:rPr>
        <w:t xml:space="preserve"> is very small as compared to the budget for the Reproductive and Child Health Directorate and the Disease Prevention and Control Directorate, two directorates that, like DNCD&amp;MH, are to cater for a large subset of or even the total population. </w:t>
      </w:r>
    </w:p>
    <w:p w14:paraId="158267E5" w14:textId="46D8858C" w:rsidR="00795B1B" w:rsidRPr="00610088" w:rsidRDefault="00795B1B" w:rsidP="001B16D1">
      <w:pPr>
        <w:rPr>
          <w:lang w:val="en-GB"/>
        </w:rPr>
      </w:pPr>
    </w:p>
    <w:p w14:paraId="0C0F885A" w14:textId="53889FB2" w:rsidR="0057323A" w:rsidRPr="00610088" w:rsidRDefault="00795B1B" w:rsidP="001B16D1">
      <w:pPr>
        <w:rPr>
          <w:lang w:val="en-GB"/>
        </w:rPr>
      </w:pPr>
      <w:r w:rsidRPr="00610088">
        <w:rPr>
          <w:lang w:val="en-GB"/>
        </w:rPr>
        <w:t xml:space="preserve">The </w:t>
      </w:r>
      <w:proofErr w:type="spellStart"/>
      <w:r w:rsidR="00156C15">
        <w:rPr>
          <w:lang w:val="en-GB"/>
        </w:rPr>
        <w:t>MoHS</w:t>
      </w:r>
      <w:proofErr w:type="spellEnd"/>
      <w:r w:rsidRPr="00610088">
        <w:rPr>
          <w:lang w:val="en-GB"/>
        </w:rPr>
        <w:t xml:space="preserve">, next to core DNCD&amp;MH funding, also contains separate budget lines for the construction of an Accidents &amp; Emergencies </w:t>
      </w:r>
      <w:r w:rsidR="0057323A" w:rsidRPr="00610088">
        <w:rPr>
          <w:lang w:val="en-GB"/>
        </w:rPr>
        <w:t>Department at Waterloo Hospital</w:t>
      </w:r>
      <w:r w:rsidRPr="00610088">
        <w:rPr>
          <w:lang w:val="en-GB"/>
        </w:rPr>
        <w:t xml:space="preserve">, </w:t>
      </w:r>
      <w:r w:rsidR="00826E74">
        <w:rPr>
          <w:lang w:val="en-GB"/>
        </w:rPr>
        <w:t>p</w:t>
      </w:r>
      <w:r w:rsidRPr="00610088">
        <w:rPr>
          <w:lang w:val="en-GB"/>
        </w:rPr>
        <w:t xml:space="preserve">reparatory work for the construction of a </w:t>
      </w:r>
      <w:proofErr w:type="gramStart"/>
      <w:r w:rsidRPr="00610088">
        <w:rPr>
          <w:lang w:val="en-GB"/>
        </w:rPr>
        <w:t>State of the Art</w:t>
      </w:r>
      <w:proofErr w:type="gramEnd"/>
      <w:r w:rsidRPr="00610088">
        <w:rPr>
          <w:lang w:val="en-GB"/>
        </w:rPr>
        <w:t xml:space="preserve"> Cancer Unit, providing disability friendly environment in the health facility and construction of a Diagnostic Medical Centre. These additional separate budget</w:t>
      </w:r>
      <w:r w:rsidR="000F6304" w:rsidRPr="00610088">
        <w:rPr>
          <w:lang w:val="en-GB"/>
        </w:rPr>
        <w:t xml:space="preserve"> </w:t>
      </w:r>
      <w:r w:rsidRPr="00610088">
        <w:rPr>
          <w:lang w:val="en-GB"/>
        </w:rPr>
        <w:t xml:space="preserve">lines are not always under the control of the DNCD&amp;MH. </w:t>
      </w:r>
    </w:p>
    <w:p w14:paraId="1320C710" w14:textId="6B816D0D" w:rsidR="00795B1B" w:rsidRPr="00610088" w:rsidRDefault="00795B1B" w:rsidP="001B16D1">
      <w:pPr>
        <w:rPr>
          <w:lang w:val="en-GB"/>
        </w:rPr>
      </w:pPr>
    </w:p>
    <w:p w14:paraId="5F418D6C" w14:textId="4BC38675" w:rsidR="000F6304" w:rsidRPr="00610088" w:rsidRDefault="000F6304" w:rsidP="001B16D1">
      <w:pPr>
        <w:rPr>
          <w:lang w:val="en-GB"/>
        </w:rPr>
      </w:pPr>
      <w:r w:rsidRPr="00610088">
        <w:rPr>
          <w:lang w:val="en-GB"/>
        </w:rPr>
        <w:t xml:space="preserve">There are </w:t>
      </w:r>
      <w:r w:rsidR="004F0DC3" w:rsidRPr="00610088">
        <w:rPr>
          <w:lang w:val="en-GB"/>
        </w:rPr>
        <w:t>no</w:t>
      </w:r>
      <w:r w:rsidRPr="00610088">
        <w:rPr>
          <w:lang w:val="en-GB"/>
        </w:rPr>
        <w:t xml:space="preserve"> separate </w:t>
      </w:r>
      <w:proofErr w:type="spellStart"/>
      <w:r w:rsidRPr="00610088">
        <w:rPr>
          <w:lang w:val="en-GB"/>
        </w:rPr>
        <w:t>GoSL</w:t>
      </w:r>
      <w:proofErr w:type="spellEnd"/>
      <w:r w:rsidRPr="00610088">
        <w:rPr>
          <w:lang w:val="en-GB"/>
        </w:rPr>
        <w:t xml:space="preserve"> NCD budget or activity lines or nationwide NCD programs at district level in either the local council budgets or in the regional hospital budgets.  Some local councils have a </w:t>
      </w:r>
    </w:p>
    <w:p w14:paraId="40DB5FCB" w14:textId="0170C431" w:rsidR="00795B1B" w:rsidRPr="00610088" w:rsidRDefault="00795B1B" w:rsidP="001B16D1">
      <w:pPr>
        <w:rPr>
          <w:lang w:val="en-GB"/>
        </w:rPr>
      </w:pPr>
      <w:r w:rsidRPr="00610088">
        <w:rPr>
          <w:lang w:val="en-GB"/>
        </w:rPr>
        <w:t xml:space="preserve">small supplementary drug budget, which is used to buy some NCD </w:t>
      </w:r>
      <w:r w:rsidR="000F6304" w:rsidRPr="00610088">
        <w:rPr>
          <w:lang w:val="en-GB"/>
        </w:rPr>
        <w:t>but also non-</w:t>
      </w:r>
      <w:r w:rsidRPr="00610088">
        <w:rPr>
          <w:lang w:val="en-GB"/>
        </w:rPr>
        <w:t>NCD drugs</w:t>
      </w:r>
      <w:r w:rsidR="000F6304" w:rsidRPr="00610088">
        <w:rPr>
          <w:lang w:val="en-GB"/>
        </w:rPr>
        <w:t>.</w:t>
      </w:r>
    </w:p>
    <w:p w14:paraId="5E232F8A" w14:textId="73B1BCF0" w:rsidR="000F6304" w:rsidRPr="00610088" w:rsidRDefault="000F6304" w:rsidP="001B16D1">
      <w:pPr>
        <w:rPr>
          <w:lang w:val="en-GB"/>
        </w:rPr>
      </w:pPr>
    </w:p>
    <w:p w14:paraId="2784668B" w14:textId="177973A4" w:rsidR="00795B1B" w:rsidRPr="00610088" w:rsidRDefault="00795B1B" w:rsidP="001B16D1">
      <w:pPr>
        <w:rPr>
          <w:lang w:val="en-GB"/>
        </w:rPr>
      </w:pPr>
      <w:r w:rsidRPr="00610088">
        <w:rPr>
          <w:lang w:val="en-GB"/>
        </w:rPr>
        <w:t xml:space="preserve">Tertiary hospitals (Bo, </w:t>
      </w:r>
      <w:proofErr w:type="spellStart"/>
      <w:r w:rsidRPr="00610088">
        <w:rPr>
          <w:lang w:val="en-GB"/>
        </w:rPr>
        <w:t>Makeni</w:t>
      </w:r>
      <w:proofErr w:type="spellEnd"/>
      <w:r w:rsidRPr="00610088">
        <w:rPr>
          <w:lang w:val="en-GB"/>
        </w:rPr>
        <w:t>, Kenema</w:t>
      </w:r>
      <w:r w:rsidR="000F6304" w:rsidRPr="00610088">
        <w:rPr>
          <w:lang w:val="en-GB"/>
        </w:rPr>
        <w:t xml:space="preserve"> and 3</w:t>
      </w:r>
      <w:r w:rsidR="004F0DC3" w:rsidRPr="00610088">
        <w:rPr>
          <w:lang w:val="en-GB"/>
        </w:rPr>
        <w:t xml:space="preserve"> hospitals</w:t>
      </w:r>
      <w:r w:rsidR="000F6304" w:rsidRPr="00610088">
        <w:rPr>
          <w:lang w:val="en-GB"/>
        </w:rPr>
        <w:t xml:space="preserve"> in Freetown:</w:t>
      </w:r>
      <w:r w:rsidRPr="00610088">
        <w:rPr>
          <w:lang w:val="en-GB"/>
        </w:rPr>
        <w:t xml:space="preserve"> </w:t>
      </w:r>
      <w:r w:rsidR="001C492E">
        <w:rPr>
          <w:lang w:val="en-GB"/>
        </w:rPr>
        <w:t>Ola During Children’s Hospital (</w:t>
      </w:r>
      <w:r w:rsidR="000F6304" w:rsidRPr="00610088">
        <w:rPr>
          <w:lang w:val="en-GB"/>
        </w:rPr>
        <w:t>ODCH</w:t>
      </w:r>
      <w:r w:rsidR="001C492E">
        <w:rPr>
          <w:lang w:val="en-GB"/>
        </w:rPr>
        <w:t>)</w:t>
      </w:r>
      <w:r w:rsidR="000F6304" w:rsidRPr="00610088">
        <w:rPr>
          <w:lang w:val="en-GB"/>
        </w:rPr>
        <w:t xml:space="preserve">, </w:t>
      </w:r>
      <w:r w:rsidR="001C492E">
        <w:rPr>
          <w:lang w:val="en-GB"/>
        </w:rPr>
        <w:t>Princess Christian Maternity Hospital (</w:t>
      </w:r>
      <w:r w:rsidR="000F6304" w:rsidRPr="00610088">
        <w:rPr>
          <w:lang w:val="en-GB"/>
        </w:rPr>
        <w:t>PCMH</w:t>
      </w:r>
      <w:r w:rsidR="001C492E">
        <w:rPr>
          <w:lang w:val="en-GB"/>
        </w:rPr>
        <w:t>)</w:t>
      </w:r>
      <w:r w:rsidR="000F6304" w:rsidRPr="00610088">
        <w:rPr>
          <w:lang w:val="en-GB"/>
        </w:rPr>
        <w:t xml:space="preserve">, Connaught) seem to have </w:t>
      </w:r>
      <w:r w:rsidR="004F0DC3" w:rsidRPr="00610088">
        <w:rPr>
          <w:lang w:val="en-GB"/>
        </w:rPr>
        <w:t xml:space="preserve">more </w:t>
      </w:r>
      <w:r w:rsidR="000A1AFC" w:rsidRPr="00610088">
        <w:rPr>
          <w:lang w:val="en-GB"/>
        </w:rPr>
        <w:t>problems with accessing supplies and funds</w:t>
      </w:r>
      <w:r w:rsidR="004F0DC3" w:rsidRPr="00610088">
        <w:rPr>
          <w:lang w:val="en-GB"/>
        </w:rPr>
        <w:t xml:space="preserve"> than the district hospitals</w:t>
      </w:r>
      <w:r w:rsidR="000A1AFC" w:rsidRPr="00610088">
        <w:rPr>
          <w:lang w:val="en-GB"/>
        </w:rPr>
        <w:t>, likely because t</w:t>
      </w:r>
      <w:r w:rsidR="004F0DC3" w:rsidRPr="00610088">
        <w:rPr>
          <w:lang w:val="en-GB"/>
        </w:rPr>
        <w:t>ertiary hospital funds are not decentralized</w:t>
      </w:r>
      <w:r w:rsidR="000A1AFC" w:rsidRPr="00610088">
        <w:rPr>
          <w:lang w:val="en-GB"/>
        </w:rPr>
        <w:t>. T</w:t>
      </w:r>
      <w:r w:rsidR="004F0DC3" w:rsidRPr="00610088">
        <w:rPr>
          <w:lang w:val="en-GB"/>
        </w:rPr>
        <w:t>his means they receive their funds from national level unlike district hospitals that receive them from district level.</w:t>
      </w:r>
      <w:r w:rsidR="000F6304" w:rsidRPr="00610088">
        <w:rPr>
          <w:lang w:val="en-GB"/>
        </w:rPr>
        <w:t xml:space="preserve"> </w:t>
      </w:r>
    </w:p>
    <w:p w14:paraId="16358344" w14:textId="77777777" w:rsidR="000A1AFC" w:rsidRPr="00610088" w:rsidRDefault="000A1AFC" w:rsidP="001B16D1">
      <w:pPr>
        <w:rPr>
          <w:lang w:val="en-GB"/>
        </w:rPr>
      </w:pPr>
    </w:p>
    <w:p w14:paraId="53192732" w14:textId="3DC78E03" w:rsidR="00795B1B" w:rsidRPr="00610088" w:rsidRDefault="000F6304" w:rsidP="001B16D1">
      <w:pPr>
        <w:rPr>
          <w:lang w:val="en-GB"/>
        </w:rPr>
      </w:pPr>
      <w:r w:rsidRPr="00610088">
        <w:rPr>
          <w:lang w:val="en-GB"/>
        </w:rPr>
        <w:t>N</w:t>
      </w:r>
      <w:r w:rsidR="00795B1B" w:rsidRPr="00610088">
        <w:rPr>
          <w:lang w:val="en-GB"/>
        </w:rPr>
        <w:t>on-</w:t>
      </w:r>
      <w:proofErr w:type="spellStart"/>
      <w:r w:rsidR="00795B1B" w:rsidRPr="00610088">
        <w:rPr>
          <w:lang w:val="en-GB"/>
        </w:rPr>
        <w:t>GoSL</w:t>
      </w:r>
      <w:proofErr w:type="spellEnd"/>
      <w:r w:rsidR="00795B1B" w:rsidRPr="00610088">
        <w:rPr>
          <w:lang w:val="en-GB"/>
        </w:rPr>
        <w:t xml:space="preserve"> support to NCD</w:t>
      </w:r>
      <w:r w:rsidRPr="00610088">
        <w:rPr>
          <w:lang w:val="en-GB"/>
        </w:rPr>
        <w:t xml:space="preserve"> interventions and activities is also limited</w:t>
      </w:r>
      <w:r w:rsidR="00833698" w:rsidRPr="00610088">
        <w:rPr>
          <w:lang w:val="en-GB"/>
        </w:rPr>
        <w:t>, with only a limited number of actors and funders as is shown in</w:t>
      </w:r>
      <w:r w:rsidR="004B0FCF" w:rsidRPr="00610088">
        <w:rPr>
          <w:lang w:val="en-GB"/>
        </w:rPr>
        <w:t xml:space="preserve"> Annex </w:t>
      </w:r>
      <w:r w:rsidR="00AC1C54" w:rsidRPr="00610088">
        <w:rPr>
          <w:lang w:val="en-GB"/>
        </w:rPr>
        <w:t>4</w:t>
      </w:r>
      <w:r w:rsidR="004B0FCF" w:rsidRPr="00610088">
        <w:rPr>
          <w:lang w:val="en-GB"/>
        </w:rPr>
        <w:t>.</w:t>
      </w:r>
    </w:p>
    <w:p w14:paraId="2B9FDEF6" w14:textId="77777777" w:rsidR="00AC1C54" w:rsidRPr="00610088" w:rsidRDefault="00AC1C54" w:rsidP="0057323A">
      <w:pPr>
        <w:rPr>
          <w:lang w:val="en-GB"/>
        </w:rPr>
      </w:pPr>
    </w:p>
    <w:p w14:paraId="1249EF65" w14:textId="77777777" w:rsidR="0057323A" w:rsidRPr="00610088" w:rsidRDefault="0057323A" w:rsidP="00B82C13">
      <w:pPr>
        <w:pStyle w:val="Heading3"/>
        <w:rPr>
          <w:lang w:val="en-GB"/>
        </w:rPr>
      </w:pPr>
      <w:bookmarkStart w:id="72" w:name="_Toc41370549"/>
      <w:r w:rsidRPr="00610088">
        <w:rPr>
          <w:lang w:val="en-GB"/>
        </w:rPr>
        <w:t>HRH for NCD</w:t>
      </w:r>
      <w:bookmarkEnd w:id="72"/>
    </w:p>
    <w:p w14:paraId="0180621D" w14:textId="179EC633" w:rsidR="0057323A" w:rsidRPr="00610088" w:rsidRDefault="00E5519B" w:rsidP="001B16D1">
      <w:pPr>
        <w:rPr>
          <w:lang w:val="en-GB"/>
        </w:rPr>
      </w:pPr>
      <w:r w:rsidRPr="00610088">
        <w:rPr>
          <w:lang w:val="en-GB"/>
        </w:rPr>
        <w:t xml:space="preserve">Specific HRH for NCDs is very limited. Each district has 1 mental health nurse. There </w:t>
      </w:r>
      <w:proofErr w:type="gramStart"/>
      <w:r w:rsidRPr="00610088">
        <w:rPr>
          <w:lang w:val="en-GB"/>
        </w:rPr>
        <w:t>are</w:t>
      </w:r>
      <w:proofErr w:type="gramEnd"/>
      <w:r w:rsidRPr="00610088">
        <w:rPr>
          <w:lang w:val="en-GB"/>
        </w:rPr>
        <w:t xml:space="preserve"> no internal medicine specialists upcountry, and only a few in the capital Freetown. </w:t>
      </w:r>
    </w:p>
    <w:p w14:paraId="4126507E" w14:textId="75EAD3ED" w:rsidR="00E5519B" w:rsidRPr="00610088" w:rsidRDefault="00E5519B" w:rsidP="001B16D1">
      <w:pPr>
        <w:rPr>
          <w:lang w:val="en-GB"/>
        </w:rPr>
      </w:pPr>
    </w:p>
    <w:p w14:paraId="0F2C3E16" w14:textId="3CA8A847" w:rsidR="00E5519B" w:rsidRPr="00610088" w:rsidRDefault="00E5519B" w:rsidP="001B16D1">
      <w:pPr>
        <w:rPr>
          <w:lang w:val="en-GB"/>
        </w:rPr>
      </w:pPr>
      <w:r w:rsidRPr="00610088">
        <w:rPr>
          <w:lang w:val="en-GB"/>
        </w:rPr>
        <w:t>The field assessment showed that pre-service training of middle cadres (CHO, CH</w:t>
      </w:r>
      <w:r w:rsidR="00364DBE">
        <w:rPr>
          <w:lang w:val="en-GB"/>
        </w:rPr>
        <w:t>A</w:t>
      </w:r>
      <w:r w:rsidRPr="00610088">
        <w:rPr>
          <w:lang w:val="en-GB"/>
        </w:rPr>
        <w:t>, SECHN, SRN) is not always fit for NCD purposes. For example, there is a need to know better how to measure/interpret blood pressures, what are the NCD risk factors and what the best diets to prevent NCDs but also what are the best diets for NCD patients like diabetics.  There is a need for curriculum review and strengthening in light of the increasing NCD burden. The NCD desk guide</w:t>
      </w:r>
      <w:r w:rsidR="004B0FCF" w:rsidRPr="00610088">
        <w:rPr>
          <w:vertAlign w:val="superscript"/>
          <w:lang w:val="en-GB"/>
        </w:rPr>
        <w:fldChar w:fldCharType="begin"/>
      </w:r>
      <w:r w:rsidR="004B0FCF" w:rsidRPr="00610088">
        <w:rPr>
          <w:vertAlign w:val="superscript"/>
          <w:lang w:val="en-GB"/>
        </w:rPr>
        <w:instrText xml:space="preserve"> NOTEREF _Ref32677252 \h  \* MERGEFORMAT </w:instrText>
      </w:r>
      <w:r w:rsidR="004B0FCF" w:rsidRPr="00610088">
        <w:rPr>
          <w:vertAlign w:val="superscript"/>
          <w:lang w:val="en-GB"/>
        </w:rPr>
      </w:r>
      <w:r w:rsidR="004B0FCF" w:rsidRPr="00610088">
        <w:rPr>
          <w:vertAlign w:val="superscript"/>
          <w:lang w:val="en-GB"/>
        </w:rPr>
        <w:fldChar w:fldCharType="separate"/>
      </w:r>
      <w:r w:rsidR="00CB360C">
        <w:rPr>
          <w:vertAlign w:val="superscript"/>
          <w:lang w:val="en-GB"/>
        </w:rPr>
        <w:t>76</w:t>
      </w:r>
      <w:r w:rsidR="004B0FCF" w:rsidRPr="00610088">
        <w:rPr>
          <w:vertAlign w:val="superscript"/>
          <w:lang w:val="en-GB"/>
        </w:rPr>
        <w:fldChar w:fldCharType="end"/>
      </w:r>
      <w:r w:rsidRPr="00610088">
        <w:rPr>
          <w:lang w:val="en-GB"/>
        </w:rPr>
        <w:t xml:space="preserve"> might be a useful tool for both the review and for teaching on NCDs. </w:t>
      </w:r>
    </w:p>
    <w:p w14:paraId="4CD1295A" w14:textId="77777777" w:rsidR="00E5519B" w:rsidRPr="00610088" w:rsidRDefault="00E5519B" w:rsidP="001B16D1">
      <w:pPr>
        <w:rPr>
          <w:lang w:val="en-GB"/>
        </w:rPr>
      </w:pPr>
    </w:p>
    <w:p w14:paraId="60D0AEDD" w14:textId="6457A4F6" w:rsidR="00956A0E" w:rsidRPr="00610088" w:rsidRDefault="00956A0E" w:rsidP="001B16D1">
      <w:pPr>
        <w:rPr>
          <w:lang w:val="en-GB"/>
        </w:rPr>
      </w:pPr>
      <w:r w:rsidRPr="00610088">
        <w:rPr>
          <w:lang w:val="en-GB"/>
        </w:rPr>
        <w:t xml:space="preserve">The </w:t>
      </w:r>
      <w:r w:rsidR="002E6DF3" w:rsidRPr="002E6DF3">
        <w:rPr>
          <w:lang w:val="en-GB"/>
        </w:rPr>
        <w:t>Community Health Officer-Management &amp; Leadership Training</w:t>
      </w:r>
      <w:r w:rsidRPr="00610088">
        <w:rPr>
          <w:lang w:val="en-GB"/>
        </w:rPr>
        <w:t xml:space="preserve"> program</w:t>
      </w:r>
      <w:r w:rsidR="002E6DF3">
        <w:rPr>
          <w:lang w:val="en-GB"/>
        </w:rPr>
        <w:t xml:space="preserve"> (CHO-MLTP)</w:t>
      </w:r>
      <w:r w:rsidR="0004347B" w:rsidRPr="00610088">
        <w:rPr>
          <w:lang w:val="en-GB"/>
        </w:rPr>
        <w:t xml:space="preserve"> </w:t>
      </w:r>
      <w:r w:rsidRPr="00610088">
        <w:rPr>
          <w:vertAlign w:val="superscript"/>
          <w:lang w:val="en-GB"/>
        </w:rPr>
        <w:fldChar w:fldCharType="begin"/>
      </w:r>
      <w:r w:rsidRPr="00610088">
        <w:rPr>
          <w:vertAlign w:val="superscript"/>
          <w:lang w:val="en-GB"/>
        </w:rPr>
        <w:instrText xml:space="preserve"> NOTEREF _Ref17258554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203</w:t>
      </w:r>
      <w:r w:rsidRPr="00610088">
        <w:rPr>
          <w:vertAlign w:val="superscript"/>
          <w:lang w:val="en-GB"/>
        </w:rPr>
        <w:fldChar w:fldCharType="end"/>
      </w:r>
      <w:r w:rsidRPr="00610088">
        <w:rPr>
          <w:vertAlign w:val="superscript"/>
          <w:lang w:val="en-GB"/>
        </w:rPr>
        <w:t xml:space="preserve">, </w:t>
      </w:r>
      <w:r w:rsidRPr="00610088">
        <w:rPr>
          <w:vertAlign w:val="superscript"/>
          <w:lang w:val="en-GB"/>
        </w:rPr>
        <w:fldChar w:fldCharType="begin"/>
      </w:r>
      <w:r w:rsidRPr="00610088">
        <w:rPr>
          <w:vertAlign w:val="superscript"/>
          <w:lang w:val="en-GB"/>
        </w:rPr>
        <w:instrText xml:space="preserve"> NOTEREF _Ref17258556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204</w:t>
      </w:r>
      <w:r w:rsidRPr="00610088">
        <w:rPr>
          <w:vertAlign w:val="superscript"/>
          <w:lang w:val="en-GB"/>
        </w:rPr>
        <w:fldChar w:fldCharType="end"/>
      </w:r>
      <w:r w:rsidRPr="00610088">
        <w:rPr>
          <w:lang w:val="en-GB"/>
        </w:rPr>
        <w:t xml:space="preserve"> conducted a hypertension screening project in 69 CHCs in 10 districts in the country. This led to increased knowledge on hypertension screening among staff, which motivated staff to check</w:t>
      </w:r>
      <w:r w:rsidR="00364DBE">
        <w:rPr>
          <w:lang w:val="en-GB"/>
        </w:rPr>
        <w:t xml:space="preserve"> the blood pressure</w:t>
      </w:r>
      <w:r w:rsidRPr="00610088">
        <w:rPr>
          <w:lang w:val="en-GB"/>
        </w:rPr>
        <w:t xml:space="preserve"> regularly for patients. The project also improved teamwork and supervision at the facility. </w:t>
      </w:r>
    </w:p>
    <w:p w14:paraId="35409142" w14:textId="77777777" w:rsidR="0057323A" w:rsidRPr="00610088" w:rsidRDefault="0057323A" w:rsidP="0057323A">
      <w:pPr>
        <w:rPr>
          <w:lang w:val="en-GB"/>
        </w:rPr>
      </w:pPr>
    </w:p>
    <w:p w14:paraId="09115697" w14:textId="65AF75ED" w:rsidR="0057323A" w:rsidRPr="00610088" w:rsidRDefault="00D027AD" w:rsidP="00B82C13">
      <w:pPr>
        <w:pStyle w:val="Heading3"/>
        <w:rPr>
          <w:lang w:val="en-GB"/>
        </w:rPr>
      </w:pPr>
      <w:bookmarkStart w:id="73" w:name="_Ref17258916"/>
      <w:bookmarkStart w:id="74" w:name="_Toc41370550"/>
      <w:r w:rsidRPr="00610088">
        <w:rPr>
          <w:lang w:val="en-GB"/>
        </w:rPr>
        <w:t xml:space="preserve">NCD </w:t>
      </w:r>
      <w:r w:rsidR="0057323A" w:rsidRPr="00610088">
        <w:rPr>
          <w:lang w:val="en-GB"/>
        </w:rPr>
        <w:t>Service delivery</w:t>
      </w:r>
      <w:bookmarkEnd w:id="73"/>
      <w:bookmarkEnd w:id="74"/>
    </w:p>
    <w:p w14:paraId="5D75DE63" w14:textId="0D6FC8F6" w:rsidR="00D15C14" w:rsidRPr="00610088" w:rsidRDefault="00D15C14" w:rsidP="001B16D1">
      <w:pPr>
        <w:rPr>
          <w:lang w:val="en-GB"/>
        </w:rPr>
      </w:pPr>
      <w:r w:rsidRPr="00610088">
        <w:rPr>
          <w:lang w:val="en-GB"/>
        </w:rPr>
        <w:t>Considering the burden of NCDs in Sierra Leone, the number of recent and ongoing specific NCD interventions and initiatives is very limited. A 2018 NCD scoping study found only 1 out of 2</w:t>
      </w:r>
      <w:r w:rsidR="00793FB9" w:rsidRPr="00610088">
        <w:rPr>
          <w:lang w:val="en-GB"/>
        </w:rPr>
        <w:t>8</w:t>
      </w:r>
      <w:r w:rsidRPr="00610088">
        <w:rPr>
          <w:lang w:val="en-GB"/>
        </w:rPr>
        <w:t xml:space="preserve"> documents that actually described and assessed an intervention.</w:t>
      </w:r>
      <w:bookmarkStart w:id="75" w:name="_Ref17614544"/>
      <w:r w:rsidRPr="00610088">
        <w:rPr>
          <w:rStyle w:val="EndnoteReference"/>
          <w:lang w:val="en-GB"/>
        </w:rPr>
        <w:endnoteReference w:id="75"/>
      </w:r>
      <w:bookmarkEnd w:id="75"/>
    </w:p>
    <w:p w14:paraId="7A08590E" w14:textId="2D4D62AD" w:rsidR="00D15C14" w:rsidRPr="00610088" w:rsidRDefault="00D15C14" w:rsidP="001B16D1">
      <w:pPr>
        <w:rPr>
          <w:lang w:val="en-GB"/>
        </w:rPr>
      </w:pPr>
    </w:p>
    <w:p w14:paraId="16A3A39F" w14:textId="2AD8F803" w:rsidR="00D15C14" w:rsidRPr="00610088" w:rsidRDefault="00D15C14" w:rsidP="001B16D1">
      <w:pPr>
        <w:rPr>
          <w:lang w:val="en-GB"/>
        </w:rPr>
      </w:pPr>
      <w:r w:rsidRPr="00610088">
        <w:rPr>
          <w:lang w:val="en-GB"/>
        </w:rPr>
        <w:lastRenderedPageBreak/>
        <w:t xml:space="preserve">The field assessment confirmed that the service delivery is focussed on RMNCAH (including nutrition) and communicable diseases, especially at PHU level. Many respondents mentioned that most commonly seen NCD conditions were hypertension, diabetes, peptic ulcer disease and their complications like stroke. </w:t>
      </w:r>
      <w:r w:rsidR="003B7251" w:rsidRPr="00610088">
        <w:rPr>
          <w:lang w:val="en-GB"/>
        </w:rPr>
        <w:t>I</w:t>
      </w:r>
      <w:r w:rsidRPr="00610088">
        <w:rPr>
          <w:lang w:val="en-GB"/>
        </w:rPr>
        <w:t>njuries from Road Traffic Accidents (RTAs) are</w:t>
      </w:r>
      <w:r w:rsidR="003B7251" w:rsidRPr="00610088">
        <w:rPr>
          <w:lang w:val="en-GB"/>
        </w:rPr>
        <w:t xml:space="preserve"> </w:t>
      </w:r>
      <w:r w:rsidRPr="00610088">
        <w:rPr>
          <w:lang w:val="en-GB"/>
        </w:rPr>
        <w:t>common</w:t>
      </w:r>
      <w:r w:rsidR="003B7251" w:rsidRPr="00610088">
        <w:rPr>
          <w:lang w:val="en-GB"/>
        </w:rPr>
        <w:t xml:space="preserve"> in health facilities close to highways</w:t>
      </w:r>
      <w:r w:rsidR="009F38A6" w:rsidRPr="00610088">
        <w:rPr>
          <w:lang w:val="en-GB"/>
        </w:rPr>
        <w:t xml:space="preserve">. </w:t>
      </w:r>
    </w:p>
    <w:p w14:paraId="1E33676B" w14:textId="351348C4" w:rsidR="009F38A6" w:rsidRPr="00610088" w:rsidRDefault="009F38A6" w:rsidP="001B16D1">
      <w:pPr>
        <w:rPr>
          <w:lang w:val="en-GB"/>
        </w:rPr>
      </w:pPr>
    </w:p>
    <w:p w14:paraId="128D3CB9" w14:textId="1D4D9775" w:rsidR="00B73049" w:rsidRPr="00610088" w:rsidRDefault="009F38A6" w:rsidP="001B16D1">
      <w:pPr>
        <w:rPr>
          <w:vertAlign w:val="superscript"/>
          <w:lang w:val="en-GB"/>
        </w:rPr>
      </w:pPr>
      <w:r w:rsidRPr="00610088">
        <w:rPr>
          <w:lang w:val="en-GB"/>
        </w:rPr>
        <w:t>Prevention, screening, early detection, diagnosis, management</w:t>
      </w:r>
      <w:r w:rsidR="00826E74">
        <w:rPr>
          <w:lang w:val="en-GB"/>
        </w:rPr>
        <w:t xml:space="preserve"> and</w:t>
      </w:r>
      <w:r w:rsidRPr="00610088">
        <w:rPr>
          <w:lang w:val="en-GB"/>
        </w:rPr>
        <w:t xml:space="preserve"> care are</w:t>
      </w:r>
      <w:r w:rsidR="002579F7" w:rsidRPr="00610088">
        <w:rPr>
          <w:lang w:val="en-GB"/>
        </w:rPr>
        <w:t xml:space="preserve"> all</w:t>
      </w:r>
      <w:r w:rsidRPr="00610088">
        <w:rPr>
          <w:lang w:val="en-GB"/>
        </w:rPr>
        <w:t xml:space="preserve"> very limited throughout the country, with only few exceptions. </w:t>
      </w:r>
      <w:r w:rsidR="00B73049" w:rsidRPr="00610088">
        <w:rPr>
          <w:lang w:val="en-GB"/>
        </w:rPr>
        <w:t xml:space="preserve"> Service constraints consist at all levels. There is limited health education for prevention. There are limited laboratory tests and equipment for diagnosis. There is lack of drugs, supplies and right hospital diet for treatment of NCD patients. There is lack of laboratory testing, medical equipment, drugs and supplies for monitoring and management of patients. Care for NCD patients in the form on rehabilitation and family/community care is also lacking. Prevention of liver cancer through national Hepatitis B immunization </w:t>
      </w:r>
      <w:r w:rsidR="004F0DC3" w:rsidRPr="00610088">
        <w:rPr>
          <w:lang w:val="en-GB"/>
        </w:rPr>
        <w:t xml:space="preserve">has started through inclusion of Hepatitis B in the pentavalent vaccine (together with Hib and DTP) at 6,10 and 14 weeks. There is however no Hepatitis B birth dose. There was a Hepatitis B </w:t>
      </w:r>
      <w:r w:rsidR="008972EC" w:rsidRPr="00610088">
        <w:rPr>
          <w:lang w:val="en-GB"/>
        </w:rPr>
        <w:t xml:space="preserve">Jan-August 2016 immunization coverage of 94.5% (DHIS data) </w:t>
      </w:r>
      <w:r w:rsidR="008972EC" w:rsidRPr="00610088">
        <w:rPr>
          <w:vertAlign w:val="superscript"/>
          <w:lang w:val="en-GB"/>
        </w:rPr>
        <w:fldChar w:fldCharType="begin"/>
      </w:r>
      <w:r w:rsidR="008972EC" w:rsidRPr="00610088">
        <w:rPr>
          <w:vertAlign w:val="superscript"/>
          <w:lang w:val="en-GB"/>
        </w:rPr>
        <w:instrText xml:space="preserve"> NOTEREF _Ref23914859 \h  \* MERGEFORMAT </w:instrText>
      </w:r>
      <w:r w:rsidR="008972EC" w:rsidRPr="00610088">
        <w:rPr>
          <w:vertAlign w:val="superscript"/>
          <w:lang w:val="en-GB"/>
        </w:rPr>
      </w:r>
      <w:r w:rsidR="008972EC" w:rsidRPr="00610088">
        <w:rPr>
          <w:vertAlign w:val="superscript"/>
          <w:lang w:val="en-GB"/>
        </w:rPr>
        <w:fldChar w:fldCharType="separate"/>
      </w:r>
      <w:r w:rsidR="00CB360C">
        <w:rPr>
          <w:vertAlign w:val="superscript"/>
          <w:lang w:val="en-GB"/>
        </w:rPr>
        <w:t>92</w:t>
      </w:r>
      <w:r w:rsidR="008972EC" w:rsidRPr="00610088">
        <w:rPr>
          <w:vertAlign w:val="superscript"/>
          <w:lang w:val="en-GB"/>
        </w:rPr>
        <w:fldChar w:fldCharType="end"/>
      </w:r>
      <w:r w:rsidR="00B73049" w:rsidRPr="00610088">
        <w:rPr>
          <w:lang w:val="en-GB"/>
        </w:rPr>
        <w:t xml:space="preserve"> </w:t>
      </w:r>
      <w:r w:rsidR="00C03C67" w:rsidRPr="00610088">
        <w:rPr>
          <w:lang w:val="en-GB"/>
        </w:rPr>
        <w:t xml:space="preserve">, </w:t>
      </w:r>
      <w:r w:rsidR="008972EC" w:rsidRPr="00610088">
        <w:rPr>
          <w:lang w:val="en-GB"/>
        </w:rPr>
        <w:t xml:space="preserve">a </w:t>
      </w:r>
      <w:r w:rsidR="00B73049" w:rsidRPr="00610088">
        <w:rPr>
          <w:lang w:val="en-GB"/>
        </w:rPr>
        <w:t>2017 immunization coverage of 84.9% among 12-23 months children</w:t>
      </w:r>
      <w:r w:rsidR="008972EC" w:rsidRPr="00610088">
        <w:rPr>
          <w:lang w:val="en-GB"/>
        </w:rPr>
        <w:t xml:space="preserve"> in the MICS 2017 </w:t>
      </w:r>
      <w:r w:rsidR="008972EC" w:rsidRPr="00610088">
        <w:rPr>
          <w:vertAlign w:val="superscript"/>
          <w:lang w:val="en-GB"/>
        </w:rPr>
        <w:fldChar w:fldCharType="begin"/>
      </w:r>
      <w:r w:rsidR="008972EC" w:rsidRPr="00610088">
        <w:rPr>
          <w:vertAlign w:val="superscript"/>
          <w:lang w:val="en-GB"/>
        </w:rPr>
        <w:instrText xml:space="preserve"> NOTEREF _Ref17613464 \h  \* MERGEFORMAT </w:instrText>
      </w:r>
      <w:r w:rsidR="008972EC" w:rsidRPr="00610088">
        <w:rPr>
          <w:vertAlign w:val="superscript"/>
          <w:lang w:val="en-GB"/>
        </w:rPr>
      </w:r>
      <w:r w:rsidR="008972EC" w:rsidRPr="00610088">
        <w:rPr>
          <w:vertAlign w:val="superscript"/>
          <w:lang w:val="en-GB"/>
        </w:rPr>
        <w:fldChar w:fldCharType="separate"/>
      </w:r>
      <w:r w:rsidR="00CB360C">
        <w:rPr>
          <w:vertAlign w:val="superscript"/>
          <w:lang w:val="en-GB"/>
        </w:rPr>
        <w:t>7</w:t>
      </w:r>
      <w:r w:rsidR="008972EC" w:rsidRPr="00610088">
        <w:rPr>
          <w:vertAlign w:val="superscript"/>
          <w:lang w:val="en-GB"/>
        </w:rPr>
        <w:fldChar w:fldCharType="end"/>
      </w:r>
      <w:r w:rsidR="00C03C67" w:rsidRPr="00610088">
        <w:rPr>
          <w:vertAlign w:val="superscript"/>
          <w:lang w:val="en-GB"/>
        </w:rPr>
        <w:t xml:space="preserve"> </w:t>
      </w:r>
      <w:r w:rsidR="00C03C67" w:rsidRPr="00610088">
        <w:rPr>
          <w:lang w:val="en-GB"/>
        </w:rPr>
        <w:t>and a 78.1% 2019 coverage in the DHS 2019.</w:t>
      </w:r>
      <w:r w:rsidR="00C03C67" w:rsidRPr="00610088">
        <w:rPr>
          <w:vertAlign w:val="superscript"/>
          <w:lang w:val="en-GB"/>
        </w:rPr>
        <w:fldChar w:fldCharType="begin"/>
      </w:r>
      <w:r w:rsidR="00C03C67" w:rsidRPr="00610088">
        <w:rPr>
          <w:vertAlign w:val="superscript"/>
          <w:lang w:val="en-GB"/>
        </w:rPr>
        <w:instrText xml:space="preserve"> NOTEREF _Ref32406910 \h  \* MERGEFORMAT </w:instrText>
      </w:r>
      <w:r w:rsidR="00C03C67" w:rsidRPr="00610088">
        <w:rPr>
          <w:vertAlign w:val="superscript"/>
          <w:lang w:val="en-GB"/>
        </w:rPr>
      </w:r>
      <w:r w:rsidR="00C03C67" w:rsidRPr="00610088">
        <w:rPr>
          <w:vertAlign w:val="superscript"/>
          <w:lang w:val="en-GB"/>
        </w:rPr>
        <w:fldChar w:fldCharType="separate"/>
      </w:r>
      <w:r w:rsidR="00CB360C">
        <w:rPr>
          <w:vertAlign w:val="superscript"/>
          <w:lang w:val="en-GB"/>
        </w:rPr>
        <w:t>9</w:t>
      </w:r>
      <w:r w:rsidR="00C03C67" w:rsidRPr="00610088">
        <w:rPr>
          <w:vertAlign w:val="superscript"/>
          <w:lang w:val="en-GB"/>
        </w:rPr>
        <w:fldChar w:fldCharType="end"/>
      </w:r>
      <w:r w:rsidR="004F0DC3" w:rsidRPr="00610088">
        <w:rPr>
          <w:lang w:val="en-GB"/>
        </w:rPr>
        <w:t xml:space="preserve"> There is </w:t>
      </w:r>
      <w:r w:rsidR="00B73049" w:rsidRPr="00610088">
        <w:rPr>
          <w:lang w:val="en-GB"/>
        </w:rPr>
        <w:t>however no regular influenza vaccination or H</w:t>
      </w:r>
      <w:r w:rsidR="00826E74">
        <w:rPr>
          <w:lang w:val="en-GB"/>
        </w:rPr>
        <w:t>uman Papillomavirus (H</w:t>
      </w:r>
      <w:r w:rsidR="00B73049" w:rsidRPr="00610088">
        <w:rPr>
          <w:lang w:val="en-GB"/>
        </w:rPr>
        <w:t>PV</w:t>
      </w:r>
      <w:r w:rsidR="00826E74">
        <w:rPr>
          <w:lang w:val="en-GB"/>
        </w:rPr>
        <w:t>)</w:t>
      </w:r>
      <w:r w:rsidR="00B73049" w:rsidRPr="00610088">
        <w:rPr>
          <w:lang w:val="en-GB"/>
        </w:rPr>
        <w:t xml:space="preserve"> vaccination. </w:t>
      </w:r>
      <w:r w:rsidR="008972EC" w:rsidRPr="00610088">
        <w:rPr>
          <w:lang w:val="en-GB"/>
        </w:rPr>
        <w:t>There were HPV vaccination demonstrations programs in 2 districts of Sierra Leone in 2013, with further work disrupted by the Ebola outbreak.</w:t>
      </w:r>
      <w:r w:rsidR="008972EC" w:rsidRPr="00610088">
        <w:rPr>
          <w:vertAlign w:val="superscript"/>
          <w:lang w:val="en-GB"/>
        </w:rPr>
        <w:fldChar w:fldCharType="begin"/>
      </w:r>
      <w:r w:rsidR="008972EC" w:rsidRPr="00610088">
        <w:rPr>
          <w:vertAlign w:val="superscript"/>
          <w:lang w:val="en-GB"/>
        </w:rPr>
        <w:instrText xml:space="preserve"> NOTEREF _Ref23914859 \h  \* MERGEFORMAT </w:instrText>
      </w:r>
      <w:r w:rsidR="008972EC" w:rsidRPr="00610088">
        <w:rPr>
          <w:vertAlign w:val="superscript"/>
          <w:lang w:val="en-GB"/>
        </w:rPr>
      </w:r>
      <w:r w:rsidR="008972EC" w:rsidRPr="00610088">
        <w:rPr>
          <w:vertAlign w:val="superscript"/>
          <w:lang w:val="en-GB"/>
        </w:rPr>
        <w:fldChar w:fldCharType="separate"/>
      </w:r>
      <w:r w:rsidR="00CB360C">
        <w:rPr>
          <w:vertAlign w:val="superscript"/>
          <w:lang w:val="en-GB"/>
        </w:rPr>
        <w:t>92</w:t>
      </w:r>
      <w:r w:rsidR="008972EC" w:rsidRPr="00610088">
        <w:rPr>
          <w:vertAlign w:val="superscript"/>
          <w:lang w:val="en-GB"/>
        </w:rPr>
        <w:fldChar w:fldCharType="end"/>
      </w:r>
      <w:r w:rsidR="008972EC" w:rsidRPr="00610088">
        <w:rPr>
          <w:vertAlign w:val="superscript"/>
          <w:lang w:val="en-GB"/>
        </w:rPr>
        <w:t xml:space="preserve"> </w:t>
      </w:r>
    </w:p>
    <w:p w14:paraId="42D0E576" w14:textId="62FFBAE7" w:rsidR="00B73049" w:rsidRPr="00610088" w:rsidRDefault="00B73049" w:rsidP="001B16D1">
      <w:pPr>
        <w:rPr>
          <w:lang w:val="en-GB"/>
        </w:rPr>
      </w:pPr>
    </w:p>
    <w:p w14:paraId="1053EF9A" w14:textId="61D5CACA" w:rsidR="00B73049" w:rsidRPr="00610088" w:rsidRDefault="00B73049" w:rsidP="001B16D1">
      <w:pPr>
        <w:rPr>
          <w:lang w:val="en-GB"/>
        </w:rPr>
      </w:pPr>
      <w:r w:rsidRPr="00610088">
        <w:rPr>
          <w:lang w:val="en-GB"/>
        </w:rPr>
        <w:t xml:space="preserve">In general, there are no separate </w:t>
      </w:r>
      <w:r w:rsidR="004F0DC3" w:rsidRPr="00610088">
        <w:rPr>
          <w:lang w:val="en-GB"/>
        </w:rPr>
        <w:t>clinics</w:t>
      </w:r>
      <w:r w:rsidRPr="00610088">
        <w:rPr>
          <w:lang w:val="en-GB"/>
        </w:rPr>
        <w:t xml:space="preserve"> or wards for NCDs. Some hospitals (</w:t>
      </w:r>
      <w:proofErr w:type="gramStart"/>
      <w:r w:rsidRPr="00610088">
        <w:rPr>
          <w:lang w:val="en-GB"/>
        </w:rPr>
        <w:t>e.g.</w:t>
      </w:r>
      <w:proofErr w:type="gramEnd"/>
      <w:r w:rsidRPr="00610088">
        <w:rPr>
          <w:lang w:val="en-GB"/>
        </w:rPr>
        <w:t xml:space="preserve"> </w:t>
      </w:r>
      <w:proofErr w:type="spellStart"/>
      <w:r w:rsidRPr="00610088">
        <w:rPr>
          <w:lang w:val="en-GB"/>
        </w:rPr>
        <w:t>Kono</w:t>
      </w:r>
      <w:proofErr w:type="spellEnd"/>
      <w:r w:rsidRPr="00610088">
        <w:rPr>
          <w:lang w:val="en-GB"/>
        </w:rPr>
        <w:t xml:space="preserve"> Government Hospital/</w:t>
      </w:r>
      <w:r w:rsidR="00AF38D4">
        <w:rPr>
          <w:lang w:val="en-GB"/>
        </w:rPr>
        <w:t>Partners in Health (</w:t>
      </w:r>
      <w:r w:rsidRPr="00610088">
        <w:rPr>
          <w:lang w:val="en-GB"/>
        </w:rPr>
        <w:t>PIH</w:t>
      </w:r>
      <w:r w:rsidR="00AF38D4">
        <w:rPr>
          <w:lang w:val="en-GB"/>
        </w:rPr>
        <w:t>)</w:t>
      </w:r>
      <w:r w:rsidRPr="00610088">
        <w:rPr>
          <w:lang w:val="en-GB"/>
        </w:rPr>
        <w:t xml:space="preserve">, Connaught hospital) have started running special NCD clinic days, however there is no policy on NCD OPDs or NCD clinic days. </w:t>
      </w:r>
      <w:r w:rsidR="00AC1C54" w:rsidRPr="00610088">
        <w:rPr>
          <w:lang w:val="en-GB"/>
        </w:rPr>
        <w:t xml:space="preserve">Some NGOs support NCD services, for example in Connaught, </w:t>
      </w:r>
      <w:r w:rsidR="000A1AFC" w:rsidRPr="00610088">
        <w:rPr>
          <w:lang w:val="en-GB"/>
        </w:rPr>
        <w:t xml:space="preserve">Ola During Children’s, </w:t>
      </w:r>
      <w:proofErr w:type="spellStart"/>
      <w:r w:rsidR="00AC1C54" w:rsidRPr="00610088">
        <w:rPr>
          <w:lang w:val="en-GB"/>
        </w:rPr>
        <w:t>Kono</w:t>
      </w:r>
      <w:proofErr w:type="spellEnd"/>
      <w:r w:rsidR="00AC1C54" w:rsidRPr="00610088">
        <w:rPr>
          <w:lang w:val="en-GB"/>
        </w:rPr>
        <w:t xml:space="preserve"> and </w:t>
      </w:r>
      <w:proofErr w:type="spellStart"/>
      <w:r w:rsidR="00AC1C54" w:rsidRPr="00610088">
        <w:rPr>
          <w:lang w:val="en-GB"/>
        </w:rPr>
        <w:t>Masanga</w:t>
      </w:r>
      <w:proofErr w:type="spellEnd"/>
      <w:r w:rsidR="00AC1C54" w:rsidRPr="00610088">
        <w:rPr>
          <w:lang w:val="en-GB"/>
        </w:rPr>
        <w:t xml:space="preserve"> hospitals, for detail see Annex 4. </w:t>
      </w:r>
    </w:p>
    <w:p w14:paraId="5CFEA1FD" w14:textId="716A3557" w:rsidR="009F38A6" w:rsidRPr="00610088" w:rsidRDefault="009F38A6" w:rsidP="001B16D1">
      <w:pPr>
        <w:rPr>
          <w:lang w:val="en-GB"/>
        </w:rPr>
      </w:pPr>
    </w:p>
    <w:p w14:paraId="1C0547DE" w14:textId="6BE9C7D8" w:rsidR="009F38A6" w:rsidRPr="00610088" w:rsidRDefault="009F38A6" w:rsidP="001B16D1">
      <w:pPr>
        <w:rPr>
          <w:lang w:val="en-GB"/>
        </w:rPr>
      </w:pPr>
      <w:r w:rsidRPr="00610088">
        <w:rPr>
          <w:lang w:val="en-GB"/>
        </w:rPr>
        <w:t>There are no national NCD treatment guidelines in use</w:t>
      </w:r>
      <w:r w:rsidR="00B73049" w:rsidRPr="00610088">
        <w:rPr>
          <w:lang w:val="en-GB"/>
        </w:rPr>
        <w:t xml:space="preserve">, although there is a </w:t>
      </w:r>
      <w:r w:rsidR="004F0DC3" w:rsidRPr="00610088">
        <w:rPr>
          <w:lang w:val="en-GB"/>
        </w:rPr>
        <w:t xml:space="preserve">draft </w:t>
      </w:r>
      <w:r w:rsidR="00B73049" w:rsidRPr="00610088">
        <w:rPr>
          <w:lang w:val="en-GB"/>
        </w:rPr>
        <w:t>NCD desk guide</w:t>
      </w:r>
      <w:bookmarkStart w:id="76" w:name="_Ref32677252"/>
      <w:r w:rsidR="00E51ED4" w:rsidRPr="00610088">
        <w:rPr>
          <w:rStyle w:val="EndnoteReference"/>
          <w:lang w:val="en-GB"/>
        </w:rPr>
        <w:endnoteReference w:id="76"/>
      </w:r>
      <w:bookmarkEnd w:id="76"/>
      <w:r w:rsidR="00B73049" w:rsidRPr="00610088">
        <w:rPr>
          <w:lang w:val="en-GB"/>
        </w:rPr>
        <w:t xml:space="preserve"> (still to be launched, disseminated) and there are existing NCD guidelines at some hospitals and even a mobile application at Connaught hospital.  In general, there is a </w:t>
      </w:r>
      <w:r w:rsidRPr="00610088">
        <w:rPr>
          <w:lang w:val="en-GB"/>
        </w:rPr>
        <w:t>variety of treatments going on with confusion on the right first line treatment</w:t>
      </w:r>
      <w:r w:rsidR="00B73049" w:rsidRPr="00610088">
        <w:rPr>
          <w:lang w:val="en-GB"/>
        </w:rPr>
        <w:t xml:space="preserve">, for example </w:t>
      </w:r>
      <w:r w:rsidRPr="00610088">
        <w:rPr>
          <w:lang w:val="en-GB"/>
        </w:rPr>
        <w:t>some staff think methyldopa is first line for non-pregnant hypertension</w:t>
      </w:r>
      <w:r w:rsidR="00B73049" w:rsidRPr="00610088">
        <w:rPr>
          <w:lang w:val="en-GB"/>
        </w:rPr>
        <w:t xml:space="preserve">.  </w:t>
      </w:r>
    </w:p>
    <w:p w14:paraId="22825FA3" w14:textId="65F3F4F6" w:rsidR="00D15C14" w:rsidRPr="00610088" w:rsidRDefault="00D15C14" w:rsidP="001B16D1">
      <w:pPr>
        <w:rPr>
          <w:lang w:val="en-GB"/>
        </w:rPr>
      </w:pPr>
    </w:p>
    <w:p w14:paraId="04F173C9" w14:textId="65CF276C" w:rsidR="0044074E" w:rsidRPr="00610088" w:rsidRDefault="0044074E" w:rsidP="001B16D1">
      <w:pPr>
        <w:rPr>
          <w:lang w:val="en-GB"/>
        </w:rPr>
      </w:pPr>
      <w:r w:rsidRPr="00610088">
        <w:rPr>
          <w:lang w:val="en-GB"/>
        </w:rPr>
        <w:t xml:space="preserve">A 2017 survey of all 1284 health facilities in the country showed that </w:t>
      </w:r>
      <w:r w:rsidRPr="00610088">
        <w:rPr>
          <w:b/>
          <w:bCs/>
          <w:lang w:val="en-GB"/>
        </w:rPr>
        <w:t>diabetes services</w:t>
      </w:r>
      <w:r w:rsidRPr="00610088">
        <w:rPr>
          <w:lang w:val="en-GB"/>
        </w:rPr>
        <w:t xml:space="preserve"> (diagnosis and/or management) were available in 11% of facilities, with 79% of hospitals, 25% of CHCs, 5% of CHPs, 2% of MCHPs and 34% of clinics</w:t>
      </w:r>
      <w:r w:rsidR="00B44215" w:rsidRPr="00610088">
        <w:rPr>
          <w:lang w:val="en-GB"/>
        </w:rPr>
        <w:t xml:space="preserve"> providing these services</w:t>
      </w:r>
      <w:r w:rsidRPr="00610088">
        <w:rPr>
          <w:lang w:val="en-GB"/>
        </w:rPr>
        <w:t>. Only 9% of government-managed facilities provided these services as compared to 52% of private facilities. Diabetes services are more available in urban facilities (34%) than in rural facilities (7%).</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p>
    <w:p w14:paraId="4C5AD3CA" w14:textId="3F1FEF05" w:rsidR="00DE6921" w:rsidRPr="00610088" w:rsidRDefault="00DE6921" w:rsidP="001B16D1">
      <w:pPr>
        <w:rPr>
          <w:lang w:val="en-GB"/>
        </w:rPr>
      </w:pPr>
      <w:r w:rsidRPr="00610088">
        <w:rPr>
          <w:lang w:val="en-GB"/>
        </w:rPr>
        <w:t xml:space="preserve">Of all the people over 40 years </w:t>
      </w:r>
      <w:r w:rsidR="003B79DA" w:rsidRPr="00610088">
        <w:rPr>
          <w:lang w:val="en-GB"/>
        </w:rPr>
        <w:t xml:space="preserve">that knew they had </w:t>
      </w:r>
      <w:r w:rsidRPr="00610088">
        <w:rPr>
          <w:lang w:val="en-GB"/>
        </w:rPr>
        <w:t>a high fasting blood glucose in the recent Bo</w:t>
      </w:r>
      <w:r w:rsidR="002F142B" w:rsidRPr="00610088">
        <w:rPr>
          <w:lang w:val="en-GB"/>
        </w:rPr>
        <w:t xml:space="preserve"> District</w:t>
      </w:r>
      <w:r w:rsidRPr="00610088">
        <w:rPr>
          <w:lang w:val="en-GB"/>
        </w:rPr>
        <w:t xml:space="preserve"> CVD risk factor study</w:t>
      </w:r>
      <w:r w:rsidR="003B79DA" w:rsidRPr="00610088">
        <w:rPr>
          <w:lang w:val="en-GB"/>
        </w:rPr>
        <w:t xml:space="preserve"> (preliminary analysis)</w:t>
      </w:r>
      <w:r w:rsidRPr="00610088">
        <w:rPr>
          <w:lang w:val="en-GB"/>
        </w:rPr>
        <w:t>, only 43% had been screened before, 32.9% had been diagnosed with diabetes, 19% were treated and 8.6% actually had a controlled diabetes. Only</w:t>
      </w:r>
      <w:r w:rsidR="00A71DF7" w:rsidRPr="00610088">
        <w:rPr>
          <w:lang w:val="en-GB"/>
        </w:rPr>
        <w:t xml:space="preserve"> 22% of people who knew they had diabetes accessed health care in the last 3 months, mostly at a hospital and seen by a medical doctor. 10% actually attended because of the diabetes mellitus. The people who did not access health care thought it was not necessary (34%) or it was too expensive (30%).</w:t>
      </w:r>
      <w:r w:rsidRPr="00610088">
        <w:rPr>
          <w:vertAlign w:val="superscript"/>
          <w:lang w:val="en-GB"/>
        </w:rPr>
        <w:t xml:space="preserve"> </w:t>
      </w:r>
      <w:r w:rsidRPr="00610088">
        <w:rPr>
          <w:vertAlign w:val="superscript"/>
          <w:lang w:val="en-GB"/>
        </w:rPr>
        <w:fldChar w:fldCharType="begin"/>
      </w:r>
      <w:r w:rsidRPr="00610088">
        <w:rPr>
          <w:vertAlign w:val="superscript"/>
          <w:lang w:val="en-GB"/>
        </w:rPr>
        <w:instrText xml:space="preserve"> NOTEREF _Ref17030981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157</w:t>
      </w:r>
      <w:r w:rsidRPr="00610088">
        <w:rPr>
          <w:vertAlign w:val="superscript"/>
          <w:lang w:val="en-GB"/>
        </w:rPr>
        <w:fldChar w:fldCharType="end"/>
      </w:r>
      <w:r w:rsidRPr="00610088">
        <w:rPr>
          <w:lang w:val="en-GB"/>
        </w:rPr>
        <w:t xml:space="preserve"> This indicates </w:t>
      </w:r>
      <w:r w:rsidR="00A71DF7" w:rsidRPr="00610088">
        <w:rPr>
          <w:lang w:val="en-GB"/>
        </w:rPr>
        <w:t xml:space="preserve">awareness, </w:t>
      </w:r>
      <w:r w:rsidRPr="00610088">
        <w:rPr>
          <w:lang w:val="en-GB"/>
        </w:rPr>
        <w:t xml:space="preserve">access and availability problems in all stages in the diabetes continuum of care. </w:t>
      </w:r>
    </w:p>
    <w:p w14:paraId="2B56DEFD" w14:textId="77777777" w:rsidR="008F61A1" w:rsidRPr="00610088" w:rsidRDefault="008F61A1" w:rsidP="001B16D1">
      <w:pPr>
        <w:rPr>
          <w:lang w:val="en-GB"/>
        </w:rPr>
      </w:pPr>
    </w:p>
    <w:p w14:paraId="707BE4D0" w14:textId="670A8972" w:rsidR="00E27982" w:rsidRPr="00610088" w:rsidRDefault="0044074E" w:rsidP="001B16D1">
      <w:pPr>
        <w:rPr>
          <w:lang w:val="en-GB"/>
        </w:rPr>
      </w:pPr>
      <w:r w:rsidRPr="00610088">
        <w:rPr>
          <w:lang w:val="en-GB"/>
        </w:rPr>
        <w:t>The same</w:t>
      </w:r>
      <w:r w:rsidR="008F61A1" w:rsidRPr="00610088">
        <w:rPr>
          <w:lang w:val="en-GB"/>
        </w:rPr>
        <w:t xml:space="preserve"> 2017</w:t>
      </w:r>
      <w:r w:rsidRPr="00610088">
        <w:rPr>
          <w:lang w:val="en-GB"/>
        </w:rPr>
        <w:t xml:space="preserve"> survey shows that </w:t>
      </w:r>
      <w:r w:rsidRPr="00610088">
        <w:rPr>
          <w:b/>
          <w:bCs/>
          <w:lang w:val="en-GB"/>
        </w:rPr>
        <w:t>cardiovascular services</w:t>
      </w:r>
      <w:r w:rsidRPr="00610088">
        <w:rPr>
          <w:lang w:val="en-GB"/>
        </w:rPr>
        <w:t xml:space="preserve"> (diagnosis and/or management) were available at</w:t>
      </w:r>
      <w:r w:rsidR="00B44215" w:rsidRPr="00610088">
        <w:rPr>
          <w:lang w:val="en-GB"/>
        </w:rPr>
        <w:t xml:space="preserve"> 20% of facilities, provided by</w:t>
      </w:r>
      <w:r w:rsidRPr="00610088">
        <w:rPr>
          <w:lang w:val="en-GB"/>
        </w:rPr>
        <w:t xml:space="preserve"> 7</w:t>
      </w:r>
      <w:r w:rsidR="00B44215" w:rsidRPr="00610088">
        <w:rPr>
          <w:lang w:val="en-GB"/>
        </w:rPr>
        <w:t>5</w:t>
      </w:r>
      <w:r w:rsidRPr="00610088">
        <w:rPr>
          <w:lang w:val="en-GB"/>
        </w:rPr>
        <w:t xml:space="preserve">% hospitals, </w:t>
      </w:r>
      <w:r w:rsidR="00B44215" w:rsidRPr="00610088">
        <w:rPr>
          <w:lang w:val="en-GB"/>
        </w:rPr>
        <w:t>36</w:t>
      </w:r>
      <w:r w:rsidRPr="00610088">
        <w:rPr>
          <w:lang w:val="en-GB"/>
        </w:rPr>
        <w:t xml:space="preserve">% of CHCs, </w:t>
      </w:r>
      <w:r w:rsidR="00B44215" w:rsidRPr="00610088">
        <w:rPr>
          <w:lang w:val="en-GB"/>
        </w:rPr>
        <w:t>17</w:t>
      </w:r>
      <w:r w:rsidRPr="00610088">
        <w:rPr>
          <w:lang w:val="en-GB"/>
        </w:rPr>
        <w:t xml:space="preserve">% of CHPs, </w:t>
      </w:r>
      <w:r w:rsidR="00B44215" w:rsidRPr="00610088">
        <w:rPr>
          <w:lang w:val="en-GB"/>
        </w:rPr>
        <w:t>10</w:t>
      </w:r>
      <w:r w:rsidRPr="00610088">
        <w:rPr>
          <w:lang w:val="en-GB"/>
        </w:rPr>
        <w:t>% of MCHPs and 3</w:t>
      </w:r>
      <w:r w:rsidR="00B44215" w:rsidRPr="00610088">
        <w:rPr>
          <w:lang w:val="en-GB"/>
        </w:rPr>
        <w:t>6</w:t>
      </w:r>
      <w:r w:rsidRPr="00610088">
        <w:rPr>
          <w:lang w:val="en-GB"/>
        </w:rPr>
        <w:t xml:space="preserve">% of clinics. Only </w:t>
      </w:r>
      <w:r w:rsidR="00B44215" w:rsidRPr="00610088">
        <w:rPr>
          <w:lang w:val="en-GB"/>
        </w:rPr>
        <w:t>17</w:t>
      </w:r>
      <w:r w:rsidRPr="00610088">
        <w:rPr>
          <w:lang w:val="en-GB"/>
        </w:rPr>
        <w:t>% of government-managed facilities provided these services as compared to 5</w:t>
      </w:r>
      <w:r w:rsidR="00B44215" w:rsidRPr="00610088">
        <w:rPr>
          <w:lang w:val="en-GB"/>
        </w:rPr>
        <w:t>6</w:t>
      </w:r>
      <w:r w:rsidRPr="00610088">
        <w:rPr>
          <w:lang w:val="en-GB"/>
        </w:rPr>
        <w:t xml:space="preserve">% of private facilities. </w:t>
      </w:r>
      <w:r w:rsidR="00B44215" w:rsidRPr="00610088">
        <w:rPr>
          <w:lang w:val="en-GB"/>
        </w:rPr>
        <w:t>Cardiovascular ser</w:t>
      </w:r>
      <w:r w:rsidRPr="00610088">
        <w:rPr>
          <w:lang w:val="en-GB"/>
        </w:rPr>
        <w:t>vices are more available in urban facilities (</w:t>
      </w:r>
      <w:r w:rsidR="00B44215" w:rsidRPr="00610088">
        <w:rPr>
          <w:lang w:val="en-GB"/>
        </w:rPr>
        <w:t>45</w:t>
      </w:r>
      <w:r w:rsidRPr="00610088">
        <w:rPr>
          <w:lang w:val="en-GB"/>
        </w:rPr>
        <w:t>%) than in rural facilities (</w:t>
      </w:r>
      <w:r w:rsidR="00B44215" w:rsidRPr="00610088">
        <w:rPr>
          <w:lang w:val="en-GB"/>
        </w:rPr>
        <w:t>15</w:t>
      </w:r>
      <w:r w:rsidRPr="00610088">
        <w:rPr>
          <w:lang w:val="en-GB"/>
        </w:rPr>
        <w:t>%).</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p>
    <w:p w14:paraId="0D011FF6" w14:textId="7F33C860" w:rsidR="001251D9" w:rsidRPr="00610088" w:rsidRDefault="001251D9" w:rsidP="001B16D1">
      <w:pPr>
        <w:rPr>
          <w:rFonts w:eastAsiaTheme="minorEastAsia"/>
          <w:i/>
          <w:iCs/>
          <w:lang w:val="en-GB"/>
        </w:rPr>
      </w:pPr>
    </w:p>
    <w:p w14:paraId="2BEF994A" w14:textId="07BF2135" w:rsidR="001251D9" w:rsidRPr="00610088" w:rsidRDefault="001251D9" w:rsidP="001B16D1">
      <w:pPr>
        <w:rPr>
          <w:vertAlign w:val="superscript"/>
          <w:lang w:val="en-GB"/>
        </w:rPr>
      </w:pPr>
      <w:r w:rsidRPr="00610088">
        <w:rPr>
          <w:lang w:val="en-GB"/>
        </w:rPr>
        <w:t xml:space="preserve">King’s Sierra Leone Partnership will support the establishment of </w:t>
      </w:r>
      <w:r w:rsidR="0005389B" w:rsidRPr="00610088">
        <w:rPr>
          <w:b/>
          <w:bCs/>
          <w:lang w:val="en-GB"/>
        </w:rPr>
        <w:t>specialised stroke care</w:t>
      </w:r>
      <w:r w:rsidRPr="00610088">
        <w:rPr>
          <w:lang w:val="en-GB"/>
        </w:rPr>
        <w:t xml:space="preserve"> at Connaught hospital by </w:t>
      </w:r>
      <w:r w:rsidR="0005389B" w:rsidRPr="00610088">
        <w:rPr>
          <w:lang w:val="en-GB"/>
        </w:rPr>
        <w:t xml:space="preserve">end of </w:t>
      </w:r>
      <w:r w:rsidRPr="00610088">
        <w:rPr>
          <w:lang w:val="en-GB"/>
        </w:rPr>
        <w:t>2020</w:t>
      </w:r>
      <w:r w:rsidR="0005389B" w:rsidRPr="00610088">
        <w:rPr>
          <w:lang w:val="en-GB"/>
        </w:rPr>
        <w:t>, providing</w:t>
      </w:r>
      <w:r w:rsidRPr="00610088">
        <w:rPr>
          <w:lang w:val="en-GB"/>
        </w:rPr>
        <w:t xml:space="preserve"> specialised stroke care aiming to improve stroke outcomes. In 2021 the project intends to share implementation lessons and advise on appropriate levels of care and care pathways at other hospitals in 2021. Subsequently, in 2022, King’s Sierra Leone Partnership together with </w:t>
      </w:r>
      <w:r w:rsidRPr="00610088">
        <w:rPr>
          <w:lang w:val="en-GB"/>
        </w:rPr>
        <w:lastRenderedPageBreak/>
        <w:t>COMAHS (College of Medicine and Allied Health Sciences) intends to publish the specific stroke outcomes, risk factors and epidemiology.</w:t>
      </w:r>
      <w:r w:rsidR="0024345C" w:rsidRPr="00610088">
        <w:rPr>
          <w:lang w:val="en-GB"/>
        </w:rPr>
        <w:t xml:space="preserve"> </w:t>
      </w:r>
      <w:r w:rsidR="0024345C" w:rsidRPr="00610088">
        <w:rPr>
          <w:vertAlign w:val="superscript"/>
          <w:lang w:val="en-GB"/>
        </w:rPr>
        <w:fldChar w:fldCharType="begin"/>
      </w:r>
      <w:r w:rsidR="0024345C" w:rsidRPr="00610088">
        <w:rPr>
          <w:vertAlign w:val="superscript"/>
          <w:lang w:val="en-GB"/>
        </w:rPr>
        <w:instrText xml:space="preserve"> NOTEREF _Ref17397286 \h  \* MERGEFORMAT </w:instrText>
      </w:r>
      <w:r w:rsidR="0024345C" w:rsidRPr="00610088">
        <w:rPr>
          <w:vertAlign w:val="superscript"/>
          <w:lang w:val="en-GB"/>
        </w:rPr>
      </w:r>
      <w:r w:rsidR="0024345C" w:rsidRPr="00610088">
        <w:rPr>
          <w:vertAlign w:val="superscript"/>
          <w:lang w:val="en-GB"/>
        </w:rPr>
        <w:fldChar w:fldCharType="separate"/>
      </w:r>
      <w:r w:rsidR="00CB360C">
        <w:rPr>
          <w:vertAlign w:val="superscript"/>
          <w:lang w:val="en-GB"/>
        </w:rPr>
        <w:t>130</w:t>
      </w:r>
      <w:r w:rsidR="0024345C" w:rsidRPr="00610088">
        <w:rPr>
          <w:vertAlign w:val="superscript"/>
          <w:lang w:val="en-GB"/>
        </w:rPr>
        <w:fldChar w:fldCharType="end"/>
      </w:r>
      <w:r w:rsidR="0024345C" w:rsidRPr="00610088">
        <w:rPr>
          <w:vertAlign w:val="superscript"/>
          <w:lang w:val="en-GB"/>
        </w:rPr>
        <w:t xml:space="preserve">, </w:t>
      </w:r>
      <w:r w:rsidR="0024345C" w:rsidRPr="00610088">
        <w:rPr>
          <w:vertAlign w:val="superscript"/>
          <w:lang w:val="en-GB"/>
        </w:rPr>
        <w:fldChar w:fldCharType="begin"/>
      </w:r>
      <w:r w:rsidR="0024345C" w:rsidRPr="00610088">
        <w:rPr>
          <w:vertAlign w:val="superscript"/>
          <w:lang w:val="en-GB"/>
        </w:rPr>
        <w:instrText xml:space="preserve"> NOTEREF _Ref17397459 \h  \* MERGEFORMAT </w:instrText>
      </w:r>
      <w:r w:rsidR="0024345C" w:rsidRPr="00610088">
        <w:rPr>
          <w:vertAlign w:val="superscript"/>
          <w:lang w:val="en-GB"/>
        </w:rPr>
      </w:r>
      <w:r w:rsidR="0024345C" w:rsidRPr="00610088">
        <w:rPr>
          <w:vertAlign w:val="superscript"/>
          <w:lang w:val="en-GB"/>
        </w:rPr>
        <w:fldChar w:fldCharType="separate"/>
      </w:r>
      <w:r w:rsidR="00CB360C">
        <w:rPr>
          <w:vertAlign w:val="superscript"/>
          <w:lang w:val="en-GB"/>
        </w:rPr>
        <w:t>212</w:t>
      </w:r>
      <w:r w:rsidR="0024345C" w:rsidRPr="00610088">
        <w:rPr>
          <w:vertAlign w:val="superscript"/>
          <w:lang w:val="en-GB"/>
        </w:rPr>
        <w:fldChar w:fldCharType="end"/>
      </w:r>
    </w:p>
    <w:p w14:paraId="55307C57" w14:textId="401EFC08" w:rsidR="00287E22" w:rsidRPr="00610088" w:rsidRDefault="00287E22" w:rsidP="001B16D1">
      <w:pPr>
        <w:rPr>
          <w:vertAlign w:val="superscript"/>
          <w:lang w:val="en-GB"/>
        </w:rPr>
      </w:pPr>
    </w:p>
    <w:p w14:paraId="43293503" w14:textId="5B4B1482" w:rsidR="00287E22" w:rsidRPr="00610088" w:rsidRDefault="00287E22" w:rsidP="001B16D1">
      <w:pPr>
        <w:rPr>
          <w:lang w:val="en-GB"/>
        </w:rPr>
      </w:pPr>
      <w:r w:rsidRPr="00610088">
        <w:rPr>
          <w:lang w:val="en-GB"/>
        </w:rPr>
        <w:t xml:space="preserve">In the STEPS 2009 survey </w:t>
      </w:r>
      <w:r w:rsidR="00F45E9D" w:rsidRPr="00610088">
        <w:rPr>
          <w:lang w:val="en-GB"/>
        </w:rPr>
        <w:fldChar w:fldCharType="begin"/>
      </w:r>
      <w:r w:rsidR="00F45E9D" w:rsidRPr="00610088">
        <w:rPr>
          <w:lang w:val="en-GB"/>
        </w:rPr>
        <w:instrText xml:space="preserve"> NOTEREF _Ref17032158 \f \h </w:instrText>
      </w:r>
      <w:r w:rsidR="001B16D1">
        <w:rPr>
          <w:lang w:val="en-GB"/>
        </w:rPr>
        <w:instrText xml:space="preserve"> \* MERGEFORMAT </w:instrText>
      </w:r>
      <w:r w:rsidR="00F45E9D" w:rsidRPr="00610088">
        <w:rPr>
          <w:lang w:val="en-GB"/>
        </w:rPr>
      </w:r>
      <w:r w:rsidR="00F45E9D" w:rsidRPr="00610088">
        <w:rPr>
          <w:lang w:val="en-GB"/>
        </w:rPr>
        <w:fldChar w:fldCharType="separate"/>
      </w:r>
      <w:r w:rsidR="00CB360C" w:rsidRPr="00CB360C">
        <w:rPr>
          <w:rStyle w:val="EndnoteReference"/>
        </w:rPr>
        <w:t>174</w:t>
      </w:r>
      <w:r w:rsidR="00F45E9D" w:rsidRPr="00610088">
        <w:rPr>
          <w:lang w:val="en-GB"/>
        </w:rPr>
        <w:fldChar w:fldCharType="end"/>
      </w:r>
      <w:r w:rsidR="00F45E9D" w:rsidRPr="00610088">
        <w:rPr>
          <w:vertAlign w:val="superscript"/>
          <w:lang w:val="en-GB"/>
        </w:rPr>
        <w:t xml:space="preserve">, </w:t>
      </w:r>
      <w:r w:rsidR="00F45E9D" w:rsidRPr="00610088">
        <w:rPr>
          <w:lang w:val="en-GB"/>
        </w:rPr>
        <w:fldChar w:fldCharType="begin"/>
      </w:r>
      <w:r w:rsidR="00F45E9D" w:rsidRPr="00610088">
        <w:rPr>
          <w:lang w:val="en-GB"/>
        </w:rPr>
        <w:instrText xml:space="preserve"> NOTEREF _Ref17040725 \f \h </w:instrText>
      </w:r>
      <w:r w:rsidR="001B16D1">
        <w:rPr>
          <w:lang w:val="en-GB"/>
        </w:rPr>
        <w:instrText xml:space="preserve"> \* MERGEFORMAT </w:instrText>
      </w:r>
      <w:r w:rsidR="00F45E9D" w:rsidRPr="00610088">
        <w:rPr>
          <w:lang w:val="en-GB"/>
        </w:rPr>
      </w:r>
      <w:r w:rsidR="00F45E9D" w:rsidRPr="00610088">
        <w:rPr>
          <w:lang w:val="en-GB"/>
        </w:rPr>
        <w:fldChar w:fldCharType="separate"/>
      </w:r>
      <w:r w:rsidR="00CB360C" w:rsidRPr="00CB360C">
        <w:rPr>
          <w:rStyle w:val="EndnoteReference"/>
        </w:rPr>
        <w:t>175</w:t>
      </w:r>
      <w:r w:rsidR="00F45E9D" w:rsidRPr="00610088">
        <w:rPr>
          <w:lang w:val="en-GB"/>
        </w:rPr>
        <w:fldChar w:fldCharType="end"/>
      </w:r>
      <w:r w:rsidR="00F45E9D" w:rsidRPr="00610088">
        <w:rPr>
          <w:lang w:val="en-GB"/>
        </w:rPr>
        <w:t xml:space="preserve"> </w:t>
      </w:r>
      <w:r w:rsidRPr="00610088">
        <w:rPr>
          <w:lang w:val="en-GB"/>
        </w:rPr>
        <w:t xml:space="preserve">there were 34.8% of adults with </w:t>
      </w:r>
      <w:r w:rsidRPr="00610088">
        <w:rPr>
          <w:b/>
          <w:bCs/>
          <w:lang w:val="en-GB"/>
        </w:rPr>
        <w:t>high blood pressure</w:t>
      </w:r>
      <w:r w:rsidRPr="00610088">
        <w:rPr>
          <w:lang w:val="en-GB"/>
        </w:rPr>
        <w:t xml:space="preserve"> (or already on </w:t>
      </w:r>
      <w:r w:rsidR="00826E74">
        <w:rPr>
          <w:lang w:val="en-GB"/>
        </w:rPr>
        <w:t>blood pressure</w:t>
      </w:r>
      <w:r w:rsidRPr="00610088">
        <w:rPr>
          <w:lang w:val="en-GB"/>
        </w:rPr>
        <w:t xml:space="preserve"> medication), however 93.2% (M 94.1%, F 92.4%) of the respondents with raised blood pressure were currently not on medication for this. </w:t>
      </w:r>
    </w:p>
    <w:p w14:paraId="1EE39AF8" w14:textId="4DBAC976" w:rsidR="00287E22" w:rsidRPr="00610088" w:rsidRDefault="00287E22" w:rsidP="001B16D1">
      <w:pPr>
        <w:rPr>
          <w:lang w:val="en-GB"/>
        </w:rPr>
      </w:pPr>
      <w:r w:rsidRPr="00610088">
        <w:rPr>
          <w:lang w:val="en-GB"/>
        </w:rPr>
        <w:t xml:space="preserve">Of all the people over 40 years with a raised blood pressure in the recent Bo </w:t>
      </w:r>
      <w:r w:rsidR="002F142B" w:rsidRPr="00610088">
        <w:rPr>
          <w:lang w:val="en-GB"/>
        </w:rPr>
        <w:t xml:space="preserve">District </w:t>
      </w:r>
      <w:r w:rsidRPr="00610088">
        <w:rPr>
          <w:lang w:val="en-GB"/>
        </w:rPr>
        <w:t>CVD risk factor study</w:t>
      </w:r>
      <w:r w:rsidR="003B79DA" w:rsidRPr="00610088">
        <w:rPr>
          <w:lang w:val="en-GB"/>
        </w:rPr>
        <w:t xml:space="preserve"> (preliminary analysis)</w:t>
      </w:r>
      <w:r w:rsidRPr="00610088">
        <w:rPr>
          <w:lang w:val="en-GB"/>
        </w:rPr>
        <w:t>, only 59.2% had been screened before, 33.2% had been diagnosed with hypertension, 14.7% were treated and 4.6% actually had a controlled hypertension. Only 10% of people who knew they had hypertension accessed health care in the last 3 months, mostly at a hospital and seen by a medical doctor. 70% actually attended because of the hypertension. The people who did not access health care thought it was not necessary (63%) or it was too expensive (37%).</w:t>
      </w:r>
      <w:r w:rsidRPr="00610088">
        <w:rPr>
          <w:vertAlign w:val="superscript"/>
          <w:lang w:val="en-GB"/>
        </w:rPr>
        <w:t xml:space="preserve"> </w:t>
      </w:r>
      <w:r w:rsidRPr="00610088">
        <w:rPr>
          <w:vertAlign w:val="superscript"/>
          <w:lang w:val="en-GB"/>
        </w:rPr>
        <w:fldChar w:fldCharType="begin"/>
      </w:r>
      <w:r w:rsidRPr="00610088">
        <w:rPr>
          <w:vertAlign w:val="superscript"/>
          <w:lang w:val="en-GB"/>
        </w:rPr>
        <w:instrText xml:space="preserve"> NOTEREF _Ref17030981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157</w:t>
      </w:r>
      <w:r w:rsidRPr="00610088">
        <w:rPr>
          <w:vertAlign w:val="superscript"/>
          <w:lang w:val="en-GB"/>
        </w:rPr>
        <w:fldChar w:fldCharType="end"/>
      </w:r>
      <w:r w:rsidRPr="00610088">
        <w:rPr>
          <w:lang w:val="en-GB"/>
        </w:rPr>
        <w:t xml:space="preserve"> This indicates awareness, access and availability problems in all stages in the hypertension continuum of care. </w:t>
      </w:r>
    </w:p>
    <w:p w14:paraId="56D4D12E" w14:textId="3D69AAE0" w:rsidR="00E27982" w:rsidRPr="00610088" w:rsidRDefault="00E27982" w:rsidP="001B16D1">
      <w:pPr>
        <w:rPr>
          <w:lang w:val="en-GB"/>
        </w:rPr>
      </w:pPr>
    </w:p>
    <w:p w14:paraId="4B7C77E9" w14:textId="29B9C7CE" w:rsidR="008F61A1" w:rsidRPr="00610088" w:rsidRDefault="004E4E29" w:rsidP="001B16D1">
      <w:pPr>
        <w:rPr>
          <w:lang w:val="en-GB"/>
        </w:rPr>
      </w:pPr>
      <w:r w:rsidRPr="00610088">
        <w:rPr>
          <w:lang w:val="en-GB"/>
        </w:rPr>
        <w:t xml:space="preserve">The </w:t>
      </w:r>
      <w:r w:rsidR="00E27982" w:rsidRPr="00610088">
        <w:rPr>
          <w:lang w:val="en-GB"/>
        </w:rPr>
        <w:t>CHO</w:t>
      </w:r>
      <w:r w:rsidRPr="00610088">
        <w:rPr>
          <w:lang w:val="en-GB"/>
        </w:rPr>
        <w:t>-</w:t>
      </w:r>
      <w:r w:rsidR="00E27982" w:rsidRPr="00610088">
        <w:rPr>
          <w:lang w:val="en-GB"/>
        </w:rPr>
        <w:t xml:space="preserve">MLTP program </w:t>
      </w:r>
      <w:r w:rsidR="00E27982" w:rsidRPr="00610088">
        <w:rPr>
          <w:vertAlign w:val="superscript"/>
          <w:lang w:val="en-GB"/>
        </w:rPr>
        <w:fldChar w:fldCharType="begin"/>
      </w:r>
      <w:r w:rsidR="00E27982" w:rsidRPr="00610088">
        <w:rPr>
          <w:vertAlign w:val="superscript"/>
          <w:lang w:val="en-GB"/>
        </w:rPr>
        <w:instrText xml:space="preserve"> NOTEREF _Ref17258554 \h  \* MERGEFORMAT </w:instrText>
      </w:r>
      <w:r w:rsidR="00E27982" w:rsidRPr="00610088">
        <w:rPr>
          <w:vertAlign w:val="superscript"/>
          <w:lang w:val="en-GB"/>
        </w:rPr>
      </w:r>
      <w:r w:rsidR="00E27982" w:rsidRPr="00610088">
        <w:rPr>
          <w:vertAlign w:val="superscript"/>
          <w:lang w:val="en-GB"/>
        </w:rPr>
        <w:fldChar w:fldCharType="separate"/>
      </w:r>
      <w:r w:rsidR="00CB360C">
        <w:rPr>
          <w:vertAlign w:val="superscript"/>
          <w:lang w:val="en-GB"/>
        </w:rPr>
        <w:t>203</w:t>
      </w:r>
      <w:r w:rsidR="00E27982" w:rsidRPr="00610088">
        <w:rPr>
          <w:vertAlign w:val="superscript"/>
          <w:lang w:val="en-GB"/>
        </w:rPr>
        <w:fldChar w:fldCharType="end"/>
      </w:r>
      <w:r w:rsidR="00E27982" w:rsidRPr="00610088">
        <w:rPr>
          <w:vertAlign w:val="superscript"/>
          <w:lang w:val="en-GB"/>
        </w:rPr>
        <w:t>,</w:t>
      </w:r>
      <w:r w:rsidR="00E27982" w:rsidRPr="00610088">
        <w:rPr>
          <w:vertAlign w:val="superscript"/>
          <w:lang w:val="en-GB"/>
        </w:rPr>
        <w:fldChar w:fldCharType="begin"/>
      </w:r>
      <w:r w:rsidR="00E27982" w:rsidRPr="00610088">
        <w:rPr>
          <w:vertAlign w:val="superscript"/>
          <w:lang w:val="en-GB"/>
        </w:rPr>
        <w:instrText xml:space="preserve"> NOTEREF _Ref17258556 \h  \* MERGEFORMAT </w:instrText>
      </w:r>
      <w:r w:rsidR="00E27982" w:rsidRPr="00610088">
        <w:rPr>
          <w:vertAlign w:val="superscript"/>
          <w:lang w:val="en-GB"/>
        </w:rPr>
      </w:r>
      <w:r w:rsidR="00E27982" w:rsidRPr="00610088">
        <w:rPr>
          <w:vertAlign w:val="superscript"/>
          <w:lang w:val="en-GB"/>
        </w:rPr>
        <w:fldChar w:fldCharType="separate"/>
      </w:r>
      <w:r w:rsidR="00CB360C">
        <w:rPr>
          <w:vertAlign w:val="superscript"/>
          <w:lang w:val="en-GB"/>
        </w:rPr>
        <w:t>204</w:t>
      </w:r>
      <w:r w:rsidR="00E27982" w:rsidRPr="00610088">
        <w:rPr>
          <w:vertAlign w:val="superscript"/>
          <w:lang w:val="en-GB"/>
        </w:rPr>
        <w:fldChar w:fldCharType="end"/>
      </w:r>
      <w:r w:rsidR="00E27982" w:rsidRPr="00610088">
        <w:rPr>
          <w:lang w:val="en-GB"/>
        </w:rPr>
        <w:t xml:space="preserve"> conducted a quality improvement </w:t>
      </w:r>
      <w:r w:rsidR="00E27982" w:rsidRPr="00610088">
        <w:rPr>
          <w:b/>
          <w:bCs/>
          <w:lang w:val="en-GB"/>
        </w:rPr>
        <w:t>hypertension screening</w:t>
      </w:r>
      <w:r w:rsidR="00956A0E" w:rsidRPr="00610088">
        <w:rPr>
          <w:b/>
          <w:bCs/>
          <w:lang w:val="en-GB"/>
        </w:rPr>
        <w:t xml:space="preserve"> </w:t>
      </w:r>
      <w:r w:rsidR="00956A0E" w:rsidRPr="00610088">
        <w:rPr>
          <w:lang w:val="en-GB"/>
        </w:rPr>
        <w:t>project</w:t>
      </w:r>
      <w:r w:rsidR="000C4BF8" w:rsidRPr="00610088">
        <w:rPr>
          <w:lang w:val="en-GB"/>
        </w:rPr>
        <w:t xml:space="preserve"> </w:t>
      </w:r>
      <w:r w:rsidR="00E27982" w:rsidRPr="00610088">
        <w:rPr>
          <w:lang w:val="en-GB"/>
        </w:rPr>
        <w:t>in 69 CHCs in 10 districts. Of the 34,607 eligible adul</w:t>
      </w:r>
      <w:r w:rsidR="00956A0E" w:rsidRPr="00610088">
        <w:rPr>
          <w:lang w:val="en-GB"/>
        </w:rPr>
        <w:t>t outpatients</w:t>
      </w:r>
      <w:r w:rsidR="00E27982" w:rsidRPr="00610088">
        <w:rPr>
          <w:lang w:val="en-GB"/>
        </w:rPr>
        <w:t xml:space="preserve"> ≥ 20yrs 23,701 (68%) were screened for hypertension</w:t>
      </w:r>
      <w:r w:rsidR="00956A0E" w:rsidRPr="00610088">
        <w:rPr>
          <w:lang w:val="en-GB"/>
        </w:rPr>
        <w:t>, of which 2</w:t>
      </w:r>
      <w:r w:rsidR="00E27982" w:rsidRPr="00610088">
        <w:rPr>
          <w:lang w:val="en-GB"/>
        </w:rPr>
        <w:t>,696</w:t>
      </w:r>
      <w:r w:rsidR="00956A0E" w:rsidRPr="00610088">
        <w:rPr>
          <w:lang w:val="en-GB"/>
        </w:rPr>
        <w:t xml:space="preserve"> </w:t>
      </w:r>
      <w:r w:rsidR="00E27982" w:rsidRPr="00610088">
        <w:rPr>
          <w:lang w:val="en-GB"/>
        </w:rPr>
        <w:t xml:space="preserve">(11%) </w:t>
      </w:r>
      <w:r w:rsidR="00956A0E" w:rsidRPr="00610088">
        <w:rPr>
          <w:lang w:val="en-GB"/>
        </w:rPr>
        <w:t>had</w:t>
      </w:r>
      <w:r w:rsidR="00E27982" w:rsidRPr="00610088">
        <w:rPr>
          <w:lang w:val="en-GB"/>
        </w:rPr>
        <w:t xml:space="preserve"> elevated </w:t>
      </w:r>
      <w:r w:rsidR="00956A0E" w:rsidRPr="00610088">
        <w:rPr>
          <w:lang w:val="en-GB"/>
        </w:rPr>
        <w:t>b</w:t>
      </w:r>
      <w:r w:rsidR="00E27982" w:rsidRPr="00610088">
        <w:rPr>
          <w:lang w:val="en-GB"/>
        </w:rPr>
        <w:t xml:space="preserve">lood </w:t>
      </w:r>
      <w:r w:rsidR="00956A0E" w:rsidRPr="00610088">
        <w:rPr>
          <w:lang w:val="en-GB"/>
        </w:rPr>
        <w:t>p</w:t>
      </w:r>
      <w:r w:rsidR="00E27982" w:rsidRPr="00610088">
        <w:rPr>
          <w:lang w:val="en-GB"/>
        </w:rPr>
        <w:t xml:space="preserve">ressure using the WHO </w:t>
      </w:r>
      <w:r w:rsidR="00956A0E" w:rsidRPr="00610088">
        <w:rPr>
          <w:lang w:val="en-GB"/>
        </w:rPr>
        <w:t>d</w:t>
      </w:r>
      <w:r w:rsidR="00E27982" w:rsidRPr="00610088">
        <w:rPr>
          <w:lang w:val="en-GB"/>
        </w:rPr>
        <w:t>efinition</w:t>
      </w:r>
      <w:r w:rsidR="00956A0E" w:rsidRPr="00610088">
        <w:rPr>
          <w:lang w:val="en-GB"/>
        </w:rPr>
        <w:t xml:space="preserve"> </w:t>
      </w:r>
      <w:r w:rsidR="00E27982" w:rsidRPr="00610088">
        <w:rPr>
          <w:lang w:val="en-GB"/>
        </w:rPr>
        <w:t>(≥140/90mmHg) and 1,592 (59%) were initiated on drug</w:t>
      </w:r>
      <w:r w:rsidR="00956A0E" w:rsidRPr="00610088">
        <w:rPr>
          <w:lang w:val="en-GB"/>
        </w:rPr>
        <w:t>s and</w:t>
      </w:r>
      <w:r w:rsidR="00E27982" w:rsidRPr="00610088">
        <w:rPr>
          <w:lang w:val="en-GB"/>
        </w:rPr>
        <w:t xml:space="preserve"> non-pharmacologic treatment.</w:t>
      </w:r>
      <w:r w:rsidR="00956A0E" w:rsidRPr="00610088">
        <w:rPr>
          <w:lang w:val="en-GB"/>
        </w:rPr>
        <w:t xml:space="preserve"> The program noted that there were no national guidelines or SOPs on hypertension treatment and control at the PHUs. </w:t>
      </w:r>
    </w:p>
    <w:p w14:paraId="544FF115" w14:textId="19E09876" w:rsidR="00E27982" w:rsidRPr="00610088" w:rsidRDefault="00E27982" w:rsidP="001B16D1">
      <w:pPr>
        <w:rPr>
          <w:lang w:val="en-GB"/>
        </w:rPr>
      </w:pPr>
    </w:p>
    <w:p w14:paraId="44E85B20" w14:textId="5A072231" w:rsidR="00E412C1" w:rsidRPr="00610088" w:rsidRDefault="00E412C1" w:rsidP="001B16D1">
      <w:pPr>
        <w:rPr>
          <w:lang w:val="en-GB"/>
        </w:rPr>
      </w:pPr>
      <w:r w:rsidRPr="00610088">
        <w:rPr>
          <w:b/>
          <w:bCs/>
          <w:lang w:val="en-GB"/>
        </w:rPr>
        <w:t xml:space="preserve">Chronic respiratory disease </w:t>
      </w:r>
      <w:r w:rsidR="002B6A70">
        <w:rPr>
          <w:b/>
          <w:bCs/>
          <w:lang w:val="en-GB"/>
        </w:rPr>
        <w:t xml:space="preserve">(CRD) </w:t>
      </w:r>
      <w:r w:rsidRPr="00610088">
        <w:rPr>
          <w:b/>
          <w:bCs/>
          <w:lang w:val="en-GB"/>
        </w:rPr>
        <w:t>services</w:t>
      </w:r>
      <w:r w:rsidRPr="00610088">
        <w:rPr>
          <w:lang w:val="en-GB"/>
        </w:rPr>
        <w:t xml:space="preserve"> (diagnosis and/or management) were available at </w:t>
      </w:r>
      <w:r w:rsidRPr="00610088">
        <w:rPr>
          <w:szCs w:val="21"/>
          <w:lang w:val="en-GB"/>
        </w:rPr>
        <w:t>15% of facilities</w:t>
      </w:r>
      <w:r w:rsidR="008F61A1" w:rsidRPr="00610088">
        <w:rPr>
          <w:szCs w:val="21"/>
          <w:lang w:val="en-GB"/>
        </w:rPr>
        <w:t xml:space="preserve"> in 2017</w:t>
      </w:r>
      <w:r w:rsidRPr="00610088">
        <w:rPr>
          <w:szCs w:val="21"/>
          <w:lang w:val="en-GB"/>
        </w:rPr>
        <w:t xml:space="preserve">, with 74% of the hospitals; 32% of the CHCs; 27% of the clinics; 9% CHPs and 6% of the MCHPs providing these services. </w:t>
      </w:r>
      <w:r w:rsidRPr="00610088">
        <w:rPr>
          <w:lang w:val="en-GB"/>
        </w:rPr>
        <w:t>Only 13% of government-managed facilities provided these services as compared to 46% of private facilities. CRD services are more available in urban facilities (36%) than in rural facilities (11%)</w:t>
      </w:r>
      <w:r w:rsidRPr="00610088">
        <w:rPr>
          <w:szCs w:val="21"/>
          <w:lang w:val="en-GB"/>
        </w:rPr>
        <w:t xml:space="preserve"> </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p>
    <w:p w14:paraId="7859F0E5" w14:textId="77777777" w:rsidR="003A0670" w:rsidRPr="00610088" w:rsidRDefault="003A0670" w:rsidP="0044074E">
      <w:pPr>
        <w:rPr>
          <w:lang w:val="en-GB"/>
        </w:rPr>
      </w:pPr>
    </w:p>
    <w:p w14:paraId="57D15E5A" w14:textId="758E2889" w:rsidR="003A0670" w:rsidRPr="00610088" w:rsidRDefault="003A0670" w:rsidP="00504B06">
      <w:pPr>
        <w:jc w:val="both"/>
        <w:rPr>
          <w:lang w:val="en-GB"/>
        </w:rPr>
      </w:pPr>
      <w:bookmarkStart w:id="77" w:name="_Hlk70680993"/>
      <w:r w:rsidRPr="00610088">
        <w:rPr>
          <w:b/>
          <w:bCs/>
          <w:lang w:val="en-GB"/>
        </w:rPr>
        <w:t>Cancer</w:t>
      </w:r>
      <w:r w:rsidRPr="00610088">
        <w:rPr>
          <w:lang w:val="en-GB"/>
        </w:rPr>
        <w:t xml:space="preserve"> detection services are limited in Sierra Leone. A few NGOs train women on how to conduct </w:t>
      </w:r>
    </w:p>
    <w:p w14:paraId="7FC074E4" w14:textId="456BC21C" w:rsidR="003A0670" w:rsidRPr="00610088" w:rsidRDefault="003A0670" w:rsidP="00504B06">
      <w:pPr>
        <w:jc w:val="both"/>
        <w:rPr>
          <w:vertAlign w:val="superscript"/>
          <w:lang w:val="en-GB"/>
        </w:rPr>
      </w:pPr>
      <w:r w:rsidRPr="00610088">
        <w:rPr>
          <w:lang w:val="en-GB"/>
        </w:rPr>
        <w:t>Clinical Breast Examination to check for lumps and physical changes that might indicate breast cancer. They also give advice for further investigation and treatment for symptomatic women.</w:t>
      </w:r>
      <w:r w:rsidRPr="00610088">
        <w:rPr>
          <w:vertAlign w:val="superscript"/>
          <w:lang w:val="en-GB"/>
        </w:rPr>
        <w:t xml:space="preserve"> </w:t>
      </w:r>
      <w:r w:rsidRPr="00610088">
        <w:rPr>
          <w:vertAlign w:val="superscript"/>
          <w:lang w:val="en-GB"/>
        </w:rPr>
        <w:fldChar w:fldCharType="begin"/>
      </w:r>
      <w:r w:rsidRPr="00610088">
        <w:rPr>
          <w:vertAlign w:val="superscript"/>
          <w:lang w:val="en-GB"/>
        </w:rPr>
        <w:instrText xml:space="preserve"> NOTEREF _Ref23914859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92</w:t>
      </w:r>
      <w:r w:rsidRPr="00610088">
        <w:rPr>
          <w:vertAlign w:val="superscript"/>
          <w:lang w:val="en-GB"/>
        </w:rPr>
        <w:fldChar w:fldCharType="end"/>
      </w:r>
      <w:r w:rsidRPr="00610088">
        <w:rPr>
          <w:vertAlign w:val="superscript"/>
          <w:lang w:val="en-GB"/>
        </w:rPr>
        <w:t xml:space="preserve"> </w:t>
      </w:r>
    </w:p>
    <w:p w14:paraId="760B8892" w14:textId="43B9CB55" w:rsidR="003A0670" w:rsidRPr="00610088" w:rsidRDefault="003A0670" w:rsidP="00504B06">
      <w:pPr>
        <w:jc w:val="both"/>
        <w:rPr>
          <w:lang w:val="en-GB"/>
        </w:rPr>
      </w:pPr>
      <w:r w:rsidRPr="00610088">
        <w:rPr>
          <w:b/>
          <w:bCs/>
          <w:lang w:val="en-GB"/>
        </w:rPr>
        <w:t>Cervical cancer services</w:t>
      </w:r>
      <w:r w:rsidRPr="00610088">
        <w:rPr>
          <w:lang w:val="en-GB"/>
        </w:rPr>
        <w:t xml:space="preserve"> were only available at 3% of the facilities in 2017, with only 2% of 1203 public facilities providing the service, and 20% of the private facilities. Availability is higher in urban (11%) than in rural (2%) facilities. </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p>
    <w:p w14:paraId="6C0F8B9D" w14:textId="4140918F" w:rsidR="00C5696C" w:rsidRPr="00610088" w:rsidRDefault="003A0670" w:rsidP="00504B06">
      <w:pPr>
        <w:jc w:val="both"/>
        <w:rPr>
          <w:lang w:val="en-GB"/>
        </w:rPr>
      </w:pPr>
      <w:r w:rsidRPr="00610088">
        <w:rPr>
          <w:lang w:val="en-GB"/>
        </w:rPr>
        <w:t xml:space="preserve">There are limited qualified staff and appropriate equipment for all specialities involved in </w:t>
      </w:r>
      <w:r w:rsidRPr="00610088">
        <w:rPr>
          <w:b/>
          <w:bCs/>
          <w:lang w:val="en-GB"/>
        </w:rPr>
        <w:t>cancer services</w:t>
      </w:r>
      <w:r w:rsidRPr="00610088">
        <w:rPr>
          <w:lang w:val="en-GB"/>
        </w:rPr>
        <w:t>.</w:t>
      </w:r>
      <w:r w:rsidR="00421202" w:rsidRPr="00610088">
        <w:rPr>
          <w:lang w:val="en-GB"/>
        </w:rPr>
        <w:t xml:space="preserve"> In 2016 there were no oncologists in the country, oncological surgery is limited as is chemotherapy</w:t>
      </w:r>
      <w:r w:rsidRPr="00610088">
        <w:rPr>
          <w:lang w:val="en-GB"/>
        </w:rPr>
        <w:t xml:space="preserve"> </w:t>
      </w:r>
      <w:r w:rsidR="00FA2C30" w:rsidRPr="00610088">
        <w:rPr>
          <w:lang w:val="en-GB"/>
        </w:rPr>
        <w:fldChar w:fldCharType="begin"/>
      </w:r>
      <w:r w:rsidR="00FA2C30" w:rsidRPr="00610088">
        <w:rPr>
          <w:lang w:val="en-GB"/>
        </w:rPr>
        <w:instrText xml:space="preserve"> NOTEREF _Ref23914859 \h  \* MERGEFORMAT </w:instrText>
      </w:r>
      <w:r w:rsidR="00FA2C30" w:rsidRPr="00610088">
        <w:rPr>
          <w:lang w:val="en-GB"/>
        </w:rPr>
      </w:r>
      <w:r w:rsidR="00FA2C30" w:rsidRPr="00610088">
        <w:rPr>
          <w:lang w:val="en-GB"/>
        </w:rPr>
        <w:fldChar w:fldCharType="separate"/>
      </w:r>
      <w:r w:rsidR="00CB360C" w:rsidRPr="00CB360C">
        <w:rPr>
          <w:vertAlign w:val="superscript"/>
          <w:lang w:val="en-GB"/>
        </w:rPr>
        <w:t>92</w:t>
      </w:r>
      <w:r w:rsidR="00FA2C30" w:rsidRPr="00610088">
        <w:rPr>
          <w:lang w:val="en-GB"/>
        </w:rPr>
        <w:fldChar w:fldCharType="end"/>
      </w:r>
      <w:r w:rsidR="00FA2C30" w:rsidRPr="00610088">
        <w:rPr>
          <w:lang w:val="en-GB"/>
        </w:rPr>
        <w:t xml:space="preserve"> . </w:t>
      </w:r>
      <w:r w:rsidR="00851C97" w:rsidRPr="00610088">
        <w:rPr>
          <w:lang w:val="en-GB"/>
        </w:rPr>
        <w:t xml:space="preserve">The first ever </w:t>
      </w:r>
      <w:r w:rsidRPr="00610088">
        <w:rPr>
          <w:lang w:val="en-GB"/>
        </w:rPr>
        <w:t xml:space="preserve">radiotherapy </w:t>
      </w:r>
      <w:r w:rsidR="00851C97" w:rsidRPr="00610088">
        <w:rPr>
          <w:lang w:val="en-GB"/>
        </w:rPr>
        <w:t xml:space="preserve">facility </w:t>
      </w:r>
      <w:r w:rsidRPr="00610088">
        <w:rPr>
          <w:lang w:val="en-GB"/>
        </w:rPr>
        <w:t>i</w:t>
      </w:r>
      <w:r w:rsidR="00851C97" w:rsidRPr="00610088">
        <w:rPr>
          <w:lang w:val="en-GB"/>
        </w:rPr>
        <w:t>n country is</w:t>
      </w:r>
      <w:r w:rsidRPr="00610088">
        <w:rPr>
          <w:lang w:val="en-GB"/>
        </w:rPr>
        <w:t xml:space="preserve"> currently in development </w:t>
      </w:r>
      <w:r w:rsidRPr="00610088">
        <w:rPr>
          <w:rStyle w:val="EndnoteReference"/>
          <w:lang w:val="en-GB"/>
        </w:rPr>
        <w:endnoteReference w:id="77"/>
      </w:r>
      <w:r w:rsidRPr="00610088">
        <w:rPr>
          <w:lang w:val="en-GB"/>
        </w:rPr>
        <w:t xml:space="preserve"> </w:t>
      </w:r>
      <w:r w:rsidR="00CF28D8" w:rsidRPr="00610088">
        <w:rPr>
          <w:lang w:val="en-GB"/>
        </w:rPr>
        <w:t>by the Nuclear Safety and Radiation Protection Authority (NSPRA), an entity under the Ministry of Energy, together with the International Atomic Energy Agency (IAEA)</w:t>
      </w:r>
      <w:r w:rsidR="00851C97" w:rsidRPr="00610088">
        <w:rPr>
          <w:lang w:val="en-GB"/>
        </w:rPr>
        <w:t xml:space="preserve">. The </w:t>
      </w:r>
      <w:proofErr w:type="spellStart"/>
      <w:r w:rsidR="00156C15">
        <w:rPr>
          <w:lang w:val="en-GB"/>
        </w:rPr>
        <w:t>MoHS</w:t>
      </w:r>
      <w:proofErr w:type="spellEnd"/>
      <w:r w:rsidR="00851C97" w:rsidRPr="00610088">
        <w:rPr>
          <w:lang w:val="en-GB"/>
        </w:rPr>
        <w:t xml:space="preserve"> radiologist stated in the September 2019 IAEA bulletin that the President</w:t>
      </w:r>
      <w:r w:rsidR="00FA2C30" w:rsidRPr="00610088">
        <w:rPr>
          <w:lang w:val="en-GB"/>
        </w:rPr>
        <w:t xml:space="preserve">’s </w:t>
      </w:r>
      <w:r w:rsidR="00851C97" w:rsidRPr="00610088">
        <w:rPr>
          <w:lang w:val="en-GB"/>
        </w:rPr>
        <w:t>flagship program aims to make publicly available by 2023</w:t>
      </w:r>
      <w:r w:rsidR="00FA2C30" w:rsidRPr="00610088">
        <w:rPr>
          <w:lang w:val="en-GB"/>
        </w:rPr>
        <w:t xml:space="preserve"> radiotherapy and nuclear medicine services at Lakka Hospital</w:t>
      </w:r>
      <w:r w:rsidR="00851C97" w:rsidRPr="00610088">
        <w:rPr>
          <w:lang w:val="en-GB"/>
        </w:rPr>
        <w:t xml:space="preserve">. </w:t>
      </w:r>
      <w:r w:rsidR="00851C97" w:rsidRPr="00610088">
        <w:rPr>
          <w:rStyle w:val="EndnoteReference"/>
          <w:lang w:val="en-GB"/>
        </w:rPr>
        <w:endnoteReference w:id="78"/>
      </w:r>
      <w:r w:rsidR="00FA2C30" w:rsidRPr="00610088">
        <w:rPr>
          <w:lang w:val="en-GB"/>
        </w:rPr>
        <w:t xml:space="preserve"> </w:t>
      </w:r>
      <w:r w:rsidR="0039514C" w:rsidRPr="00610088">
        <w:rPr>
          <w:lang w:val="en-GB"/>
        </w:rPr>
        <w:t>Histop</w:t>
      </w:r>
      <w:r w:rsidR="00FA2C30" w:rsidRPr="00610088">
        <w:rPr>
          <w:lang w:val="en-GB"/>
        </w:rPr>
        <w:t>athology services are limited</w:t>
      </w:r>
      <w:r w:rsidR="0039514C" w:rsidRPr="00610088">
        <w:rPr>
          <w:lang w:val="en-GB"/>
        </w:rPr>
        <w:t xml:space="preserve"> and only </w:t>
      </w:r>
      <w:r w:rsidR="000A1AFC" w:rsidRPr="00610088">
        <w:rPr>
          <w:lang w:val="en-GB"/>
        </w:rPr>
        <w:t xml:space="preserve">erratically </w:t>
      </w:r>
      <w:r w:rsidR="0039514C" w:rsidRPr="00610088">
        <w:rPr>
          <w:lang w:val="en-GB"/>
        </w:rPr>
        <w:t>available in Freetown at</w:t>
      </w:r>
      <w:r w:rsidR="00FA2C30" w:rsidRPr="00610088">
        <w:rPr>
          <w:lang w:val="en-GB"/>
        </w:rPr>
        <w:t xml:space="preserve"> one public </w:t>
      </w:r>
      <w:r w:rsidR="0039514C" w:rsidRPr="00610088">
        <w:rPr>
          <w:lang w:val="en-GB"/>
        </w:rPr>
        <w:t>(</w:t>
      </w:r>
      <w:r w:rsidR="00FA2C30" w:rsidRPr="00610088">
        <w:rPr>
          <w:lang w:val="en-GB"/>
        </w:rPr>
        <w:t>Connaught</w:t>
      </w:r>
      <w:r w:rsidR="0039514C" w:rsidRPr="00610088">
        <w:rPr>
          <w:lang w:val="en-GB"/>
        </w:rPr>
        <w:t>) and one private</w:t>
      </w:r>
      <w:r w:rsidR="00FA2C30" w:rsidRPr="00610088">
        <w:rPr>
          <w:lang w:val="en-GB"/>
        </w:rPr>
        <w:t xml:space="preserve"> hospita</w:t>
      </w:r>
      <w:r w:rsidR="0039514C" w:rsidRPr="00610088">
        <w:rPr>
          <w:lang w:val="en-GB"/>
        </w:rPr>
        <w:t>l (</w:t>
      </w:r>
      <w:proofErr w:type="spellStart"/>
      <w:r w:rsidR="0039514C" w:rsidRPr="00610088">
        <w:rPr>
          <w:lang w:val="en-GB"/>
        </w:rPr>
        <w:t>Choithram</w:t>
      </w:r>
      <w:proofErr w:type="spellEnd"/>
      <w:r w:rsidR="0039514C" w:rsidRPr="00610088">
        <w:rPr>
          <w:lang w:val="en-GB"/>
        </w:rPr>
        <w:t xml:space="preserve"> Memorial hospital)</w:t>
      </w:r>
      <w:r w:rsidR="00FA2C30" w:rsidRPr="00610088">
        <w:rPr>
          <w:lang w:val="en-GB"/>
        </w:rPr>
        <w:t>. Diagnostic imaging is also limited, with only few CT</w:t>
      </w:r>
      <w:r w:rsidR="002B6A70">
        <w:rPr>
          <w:lang w:val="en-GB"/>
        </w:rPr>
        <w:t xml:space="preserve"> (Computer Tomography)</w:t>
      </w:r>
      <w:r w:rsidR="00FA2C30" w:rsidRPr="00610088">
        <w:rPr>
          <w:lang w:val="en-GB"/>
        </w:rPr>
        <w:t>-scanners, X-ray and ultrasound machines.</w:t>
      </w:r>
      <w:r w:rsidR="00FA2C30" w:rsidRPr="00610088">
        <w:rPr>
          <w:vertAlign w:val="superscript"/>
          <w:lang w:val="en-GB"/>
        </w:rPr>
        <w:t xml:space="preserve"> </w:t>
      </w:r>
      <w:r w:rsidR="00FA2C30" w:rsidRPr="00610088">
        <w:rPr>
          <w:vertAlign w:val="superscript"/>
          <w:lang w:val="en-GB"/>
        </w:rPr>
        <w:fldChar w:fldCharType="begin"/>
      </w:r>
      <w:r w:rsidR="00FA2C30" w:rsidRPr="00610088">
        <w:rPr>
          <w:vertAlign w:val="superscript"/>
          <w:lang w:val="en-GB"/>
        </w:rPr>
        <w:instrText xml:space="preserve"> NOTEREF _Ref23914859 \h  \* MERGEFORMAT </w:instrText>
      </w:r>
      <w:r w:rsidR="00FA2C30" w:rsidRPr="00610088">
        <w:rPr>
          <w:vertAlign w:val="superscript"/>
          <w:lang w:val="en-GB"/>
        </w:rPr>
      </w:r>
      <w:r w:rsidR="00FA2C30" w:rsidRPr="00610088">
        <w:rPr>
          <w:vertAlign w:val="superscript"/>
          <w:lang w:val="en-GB"/>
        </w:rPr>
        <w:fldChar w:fldCharType="separate"/>
      </w:r>
      <w:r w:rsidR="00CB360C">
        <w:rPr>
          <w:vertAlign w:val="superscript"/>
          <w:lang w:val="en-GB"/>
        </w:rPr>
        <w:t>92</w:t>
      </w:r>
      <w:r w:rsidR="00FA2C30" w:rsidRPr="00610088">
        <w:rPr>
          <w:vertAlign w:val="superscript"/>
          <w:lang w:val="en-GB"/>
        </w:rPr>
        <w:fldChar w:fldCharType="end"/>
      </w:r>
      <w:r w:rsidR="00FA2C30" w:rsidRPr="00610088">
        <w:rPr>
          <w:vertAlign w:val="superscript"/>
          <w:lang w:val="en-GB"/>
        </w:rPr>
        <w:t xml:space="preserve"> </w:t>
      </w:r>
      <w:r w:rsidR="00FA2C30" w:rsidRPr="00610088">
        <w:rPr>
          <w:lang w:val="en-GB"/>
        </w:rPr>
        <w:t xml:space="preserve"> </w:t>
      </w:r>
    </w:p>
    <w:p w14:paraId="5D3662E7" w14:textId="0A7D138F" w:rsidR="002F142B" w:rsidRPr="00610088" w:rsidRDefault="002F142B" w:rsidP="00504B06">
      <w:pPr>
        <w:jc w:val="both"/>
        <w:rPr>
          <w:lang w:val="en-GB"/>
        </w:rPr>
      </w:pPr>
    </w:p>
    <w:p w14:paraId="487BA592" w14:textId="0B2AC9D1" w:rsidR="002F142B" w:rsidRPr="00610088" w:rsidRDefault="002F142B" w:rsidP="00504B06">
      <w:pPr>
        <w:jc w:val="both"/>
        <w:rPr>
          <w:lang w:val="en-GB"/>
        </w:rPr>
      </w:pPr>
      <w:r w:rsidRPr="001B16D1">
        <w:t xml:space="preserve">Several of the children’s cancers that are more commonly diagnosed in Sierra Leone are potentially curable. A service has been established (since 2017) at </w:t>
      </w:r>
      <w:r w:rsidRPr="001B16D1">
        <w:rPr>
          <w:b/>
          <w:bCs/>
        </w:rPr>
        <w:t>Ola During Children’s Hospital</w:t>
      </w:r>
      <w:r w:rsidRPr="001B16D1">
        <w:t xml:space="preserve">, which focuses on the </w:t>
      </w:r>
      <w:r w:rsidRPr="001B16D1">
        <w:rPr>
          <w:b/>
          <w:bCs/>
        </w:rPr>
        <w:t>delivery of chemotherapy</w:t>
      </w:r>
      <w:r w:rsidRPr="001B16D1">
        <w:t xml:space="preserve"> for Burkitt’s lymphoma, Wilm</w:t>
      </w:r>
      <w:r w:rsidR="00826E74" w:rsidRPr="001B16D1">
        <w:t>s’</w:t>
      </w:r>
      <w:r w:rsidRPr="001B16D1">
        <w:t xml:space="preserve"> </w:t>
      </w:r>
      <w:proofErr w:type="spellStart"/>
      <w:r w:rsidRPr="001B16D1">
        <w:t>tumour</w:t>
      </w:r>
      <w:proofErr w:type="spellEnd"/>
      <w:r w:rsidRPr="001B16D1">
        <w:t xml:space="preserve"> and Retinoblastoma for children with potentially curable disease and delivers effective </w:t>
      </w:r>
      <w:r w:rsidRPr="001B16D1">
        <w:rPr>
          <w:b/>
          <w:bCs/>
        </w:rPr>
        <w:t xml:space="preserve">palliative care </w:t>
      </w:r>
      <w:r w:rsidRPr="001B16D1">
        <w:t xml:space="preserve">for others.  The service is delivered in partnership with the </w:t>
      </w:r>
      <w:proofErr w:type="spellStart"/>
      <w:r w:rsidRPr="001B16D1">
        <w:t>paediatric</w:t>
      </w:r>
      <w:proofErr w:type="spellEnd"/>
      <w:r w:rsidRPr="001B16D1">
        <w:t xml:space="preserve"> surgical team at Connaught and ophthalmology team at </w:t>
      </w:r>
      <w:proofErr w:type="spellStart"/>
      <w:r w:rsidRPr="001B16D1">
        <w:t>Sightsavers</w:t>
      </w:r>
      <w:proofErr w:type="spellEnd"/>
      <w:r w:rsidRPr="001B16D1">
        <w:t xml:space="preserve"> in Freetown and strongly supported by a </w:t>
      </w:r>
      <w:proofErr w:type="spellStart"/>
      <w:r w:rsidRPr="001B16D1">
        <w:t>paediatric</w:t>
      </w:r>
      <w:proofErr w:type="spellEnd"/>
      <w:r w:rsidRPr="001B16D1">
        <w:t xml:space="preserve"> team from Wales,</w:t>
      </w:r>
      <w:r w:rsidR="00400D15" w:rsidRPr="001B16D1">
        <w:t xml:space="preserve"> </w:t>
      </w:r>
      <w:r w:rsidRPr="001B16D1">
        <w:t>U</w:t>
      </w:r>
      <w:r w:rsidR="00826E74" w:rsidRPr="001B16D1">
        <w:t>nited Kingdom</w:t>
      </w:r>
      <w:r w:rsidRPr="001B16D1">
        <w:t xml:space="preserve"> (see also Annex 4).  Over 80 children have been managed through the unit of whom about 35% have received chemotherapy.  The lead doctor is currently supported by World Child Cancer (see also Annex 4) to undergo a 2-year training program in Ghana. It is hoped that the service will expand to treat children with </w:t>
      </w:r>
      <w:proofErr w:type="spellStart"/>
      <w:r w:rsidRPr="001B16D1">
        <w:t>leukaemia</w:t>
      </w:r>
      <w:proofErr w:type="spellEnd"/>
      <w:r w:rsidRPr="001B16D1">
        <w:t xml:space="preserve"> and other cancers as it develops. As noted above the diagnostic facilities (imaging and </w:t>
      </w:r>
      <w:r w:rsidRPr="00610088">
        <w:rPr>
          <w:lang w:val="en-GB"/>
        </w:rPr>
        <w:t xml:space="preserve">pathology) available </w:t>
      </w:r>
      <w:r w:rsidRPr="00610088">
        <w:rPr>
          <w:lang w:val="en-GB"/>
        </w:rPr>
        <w:lastRenderedPageBreak/>
        <w:t>to support this service are very limited and the provision of chemotherapy and supportive drugs needs to be sustainable.</w:t>
      </w:r>
      <w:r w:rsidR="002579F7" w:rsidRPr="00610088">
        <w:rPr>
          <w:vertAlign w:val="superscript"/>
          <w:lang w:val="en-GB"/>
        </w:rPr>
        <w:t xml:space="preserve"> </w:t>
      </w:r>
      <w:r w:rsidR="002579F7" w:rsidRPr="00610088">
        <w:rPr>
          <w:vertAlign w:val="superscript"/>
          <w:lang w:val="en-GB"/>
        </w:rPr>
        <w:fldChar w:fldCharType="begin"/>
      </w:r>
      <w:r w:rsidR="002579F7" w:rsidRPr="00610088">
        <w:rPr>
          <w:vertAlign w:val="superscript"/>
          <w:lang w:val="en-GB"/>
        </w:rPr>
        <w:instrText xml:space="preserve"> NOTEREF _Ref32575237 \h  \* MERGEFORMAT </w:instrText>
      </w:r>
      <w:r w:rsidR="002579F7" w:rsidRPr="00610088">
        <w:rPr>
          <w:vertAlign w:val="superscript"/>
          <w:lang w:val="en-GB"/>
        </w:rPr>
      </w:r>
      <w:r w:rsidR="002579F7" w:rsidRPr="00610088">
        <w:rPr>
          <w:vertAlign w:val="superscript"/>
          <w:lang w:val="en-GB"/>
        </w:rPr>
        <w:fldChar w:fldCharType="separate"/>
      </w:r>
      <w:r w:rsidR="00CB360C">
        <w:rPr>
          <w:vertAlign w:val="superscript"/>
          <w:lang w:val="en-GB"/>
        </w:rPr>
        <w:t>79</w:t>
      </w:r>
      <w:r w:rsidR="002579F7" w:rsidRPr="00610088">
        <w:rPr>
          <w:vertAlign w:val="superscript"/>
          <w:lang w:val="en-GB"/>
        </w:rPr>
        <w:fldChar w:fldCharType="end"/>
      </w:r>
      <w:r w:rsidR="002579F7" w:rsidRPr="00610088">
        <w:rPr>
          <w:vertAlign w:val="superscript"/>
          <w:lang w:val="en-GB"/>
        </w:rPr>
        <w:t>,</w:t>
      </w:r>
      <w:r w:rsidR="002579F7" w:rsidRPr="00610088">
        <w:rPr>
          <w:vertAlign w:val="superscript"/>
          <w:lang w:val="en-GB"/>
        </w:rPr>
        <w:fldChar w:fldCharType="begin"/>
      </w:r>
      <w:r w:rsidR="002579F7" w:rsidRPr="00610088">
        <w:rPr>
          <w:vertAlign w:val="superscript"/>
          <w:lang w:val="en-GB"/>
        </w:rPr>
        <w:instrText xml:space="preserve"> NOTEREF _Ref32574577 \h  \* MERGEFORMAT </w:instrText>
      </w:r>
      <w:r w:rsidR="002579F7" w:rsidRPr="00610088">
        <w:rPr>
          <w:vertAlign w:val="superscript"/>
          <w:lang w:val="en-GB"/>
        </w:rPr>
      </w:r>
      <w:r w:rsidR="002579F7" w:rsidRPr="00610088">
        <w:rPr>
          <w:vertAlign w:val="superscript"/>
          <w:lang w:val="en-GB"/>
        </w:rPr>
        <w:fldChar w:fldCharType="separate"/>
      </w:r>
      <w:r w:rsidR="00CB360C">
        <w:rPr>
          <w:vertAlign w:val="superscript"/>
          <w:lang w:val="en-GB"/>
        </w:rPr>
        <w:t>133</w:t>
      </w:r>
      <w:r w:rsidR="002579F7" w:rsidRPr="00610088">
        <w:rPr>
          <w:vertAlign w:val="superscript"/>
          <w:lang w:val="en-GB"/>
        </w:rPr>
        <w:fldChar w:fldCharType="end"/>
      </w:r>
    </w:p>
    <w:p w14:paraId="37A13C0E" w14:textId="3F89B509" w:rsidR="002579F7" w:rsidRPr="00610088" w:rsidRDefault="002579F7" w:rsidP="00504B06">
      <w:pPr>
        <w:jc w:val="both"/>
        <w:rPr>
          <w:lang w:val="en-GB"/>
        </w:rPr>
      </w:pPr>
    </w:p>
    <w:p w14:paraId="3CBE35A1" w14:textId="71925ADF" w:rsidR="00CF28D8" w:rsidRPr="00610088" w:rsidRDefault="00FA2C30" w:rsidP="00504B06">
      <w:pPr>
        <w:jc w:val="both"/>
        <w:rPr>
          <w:vertAlign w:val="superscript"/>
          <w:lang w:val="en-GB"/>
        </w:rPr>
      </w:pPr>
      <w:r w:rsidRPr="00610088">
        <w:rPr>
          <w:lang w:val="en-GB"/>
        </w:rPr>
        <w:t xml:space="preserve">The 2016 </w:t>
      </w:r>
      <w:proofErr w:type="spellStart"/>
      <w:r w:rsidRPr="00610088">
        <w:rPr>
          <w:lang w:val="en-GB"/>
        </w:rPr>
        <w:t>imPACT</w:t>
      </w:r>
      <w:proofErr w:type="spellEnd"/>
      <w:r w:rsidRPr="00610088">
        <w:rPr>
          <w:lang w:val="en-GB"/>
        </w:rPr>
        <w:t xml:space="preserve"> mission found that the majority (80%) of cancer patients present with locally advanced and/or metastatic disease due t</w:t>
      </w:r>
      <w:r w:rsidR="00421202" w:rsidRPr="00610088">
        <w:rPr>
          <w:lang w:val="en-GB"/>
        </w:rPr>
        <w:t>o a range of reasons including lack of access to health care and initial treatment by traditional healers.</w:t>
      </w:r>
      <w:r w:rsidR="00421202" w:rsidRPr="00610088">
        <w:rPr>
          <w:vertAlign w:val="superscript"/>
          <w:lang w:val="en-GB"/>
        </w:rPr>
        <w:fldChar w:fldCharType="begin"/>
      </w:r>
      <w:r w:rsidR="00421202" w:rsidRPr="00610088">
        <w:rPr>
          <w:vertAlign w:val="superscript"/>
          <w:lang w:val="en-GB"/>
        </w:rPr>
        <w:instrText xml:space="preserve"> NOTEREF _Ref23914859 \h  \* MERGEFORMAT </w:instrText>
      </w:r>
      <w:r w:rsidR="00421202" w:rsidRPr="00610088">
        <w:rPr>
          <w:vertAlign w:val="superscript"/>
          <w:lang w:val="en-GB"/>
        </w:rPr>
      </w:r>
      <w:r w:rsidR="00421202" w:rsidRPr="00610088">
        <w:rPr>
          <w:vertAlign w:val="superscript"/>
          <w:lang w:val="en-GB"/>
        </w:rPr>
        <w:fldChar w:fldCharType="separate"/>
      </w:r>
      <w:r w:rsidR="00CB360C">
        <w:rPr>
          <w:vertAlign w:val="superscript"/>
          <w:lang w:val="en-GB"/>
        </w:rPr>
        <w:t>92</w:t>
      </w:r>
      <w:r w:rsidR="00421202" w:rsidRPr="00610088">
        <w:rPr>
          <w:vertAlign w:val="superscript"/>
          <w:lang w:val="en-GB"/>
        </w:rPr>
        <w:fldChar w:fldCharType="end"/>
      </w:r>
      <w:r w:rsidR="00421202" w:rsidRPr="00610088">
        <w:rPr>
          <w:lang w:val="en-GB"/>
        </w:rPr>
        <w:t xml:space="preserve"> </w:t>
      </w:r>
      <w:r w:rsidR="00421202" w:rsidRPr="00610088">
        <w:rPr>
          <w:b/>
          <w:bCs/>
          <w:lang w:val="en-GB"/>
        </w:rPr>
        <w:t>Palliative care</w:t>
      </w:r>
      <w:r w:rsidR="00421202" w:rsidRPr="00610088">
        <w:rPr>
          <w:lang w:val="en-GB"/>
        </w:rPr>
        <w:t xml:space="preserve"> is therefore crucial, but is limited to a few actors including a palliative care clinic at Connaught hospital and the Shepherd’s Hospice, both in Freetown. As of 2016 palliative was not part of the physician’s training curriculum. Access to strong opioids is also limited</w:t>
      </w:r>
      <w:bookmarkEnd w:id="77"/>
      <w:r w:rsidR="002957EE" w:rsidRPr="00610088">
        <w:rPr>
          <w:lang w:val="en-GB"/>
        </w:rPr>
        <w:t>.</w:t>
      </w:r>
      <w:r w:rsidR="00421202" w:rsidRPr="00610088">
        <w:rPr>
          <w:lang w:val="en-GB"/>
        </w:rPr>
        <w:t xml:space="preserve"> </w:t>
      </w:r>
      <w:r w:rsidR="00421202" w:rsidRPr="00610088">
        <w:rPr>
          <w:vertAlign w:val="superscript"/>
          <w:lang w:val="en-GB"/>
        </w:rPr>
        <w:fldChar w:fldCharType="begin"/>
      </w:r>
      <w:r w:rsidR="00421202" w:rsidRPr="00610088">
        <w:rPr>
          <w:vertAlign w:val="superscript"/>
          <w:lang w:val="en-GB"/>
        </w:rPr>
        <w:instrText xml:space="preserve"> NOTEREF _Ref23914859 \h  \* MERGEFORMAT </w:instrText>
      </w:r>
      <w:r w:rsidR="00421202" w:rsidRPr="00610088">
        <w:rPr>
          <w:vertAlign w:val="superscript"/>
          <w:lang w:val="en-GB"/>
        </w:rPr>
      </w:r>
      <w:r w:rsidR="00421202" w:rsidRPr="00610088">
        <w:rPr>
          <w:vertAlign w:val="superscript"/>
          <w:lang w:val="en-GB"/>
        </w:rPr>
        <w:fldChar w:fldCharType="separate"/>
      </w:r>
      <w:r w:rsidR="00CB360C">
        <w:rPr>
          <w:vertAlign w:val="superscript"/>
          <w:lang w:val="en-GB"/>
        </w:rPr>
        <w:t>92</w:t>
      </w:r>
      <w:r w:rsidR="00421202" w:rsidRPr="00610088">
        <w:rPr>
          <w:vertAlign w:val="superscript"/>
          <w:lang w:val="en-GB"/>
        </w:rPr>
        <w:fldChar w:fldCharType="end"/>
      </w:r>
      <w:r w:rsidR="00421202" w:rsidRPr="00610088">
        <w:rPr>
          <w:vertAlign w:val="superscript"/>
          <w:lang w:val="en-GB"/>
        </w:rPr>
        <w:t xml:space="preserve">  </w:t>
      </w:r>
    </w:p>
    <w:p w14:paraId="45FF8EF2" w14:textId="3B686D29" w:rsidR="00E905DD" w:rsidRPr="00610088" w:rsidRDefault="002957EE" w:rsidP="001B16D1">
      <w:pPr>
        <w:rPr>
          <w:lang w:val="en-GB"/>
        </w:rPr>
      </w:pPr>
      <w:r w:rsidRPr="00610088">
        <w:rPr>
          <w:lang w:val="en-GB"/>
        </w:rPr>
        <w:t xml:space="preserve">The </w:t>
      </w:r>
      <w:r w:rsidR="00E905DD" w:rsidRPr="00610088">
        <w:rPr>
          <w:b/>
          <w:bCs/>
          <w:lang w:val="en-GB"/>
        </w:rPr>
        <w:t xml:space="preserve">Connaught </w:t>
      </w:r>
      <w:r w:rsidRPr="00610088">
        <w:rPr>
          <w:b/>
          <w:bCs/>
          <w:lang w:val="en-GB"/>
        </w:rPr>
        <w:t xml:space="preserve">Palliative </w:t>
      </w:r>
      <w:r w:rsidR="00E905DD" w:rsidRPr="00610088">
        <w:rPr>
          <w:b/>
          <w:bCs/>
          <w:lang w:val="en-GB"/>
        </w:rPr>
        <w:t xml:space="preserve">Care </w:t>
      </w:r>
      <w:r w:rsidR="00DB6A1C" w:rsidRPr="00610088">
        <w:rPr>
          <w:b/>
          <w:bCs/>
          <w:lang w:val="en-GB"/>
        </w:rPr>
        <w:t>Unit</w:t>
      </w:r>
      <w:r w:rsidR="00E905DD" w:rsidRPr="00610088">
        <w:rPr>
          <w:b/>
          <w:bCs/>
          <w:lang w:val="en-GB"/>
        </w:rPr>
        <w:t xml:space="preserve"> (CPC</w:t>
      </w:r>
      <w:r w:rsidR="00DB6A1C" w:rsidRPr="00610088">
        <w:rPr>
          <w:b/>
          <w:bCs/>
          <w:lang w:val="en-GB"/>
        </w:rPr>
        <w:t>U</w:t>
      </w:r>
      <w:r w:rsidR="00E905DD" w:rsidRPr="00610088">
        <w:rPr>
          <w:b/>
          <w:bCs/>
          <w:lang w:val="en-GB"/>
        </w:rPr>
        <w:t>)</w:t>
      </w:r>
      <w:r w:rsidRPr="00610088">
        <w:rPr>
          <w:lang w:val="en-GB"/>
        </w:rPr>
        <w:t xml:space="preserve"> at the Connaught hospital is provi</w:t>
      </w:r>
      <w:r w:rsidR="00C5696C" w:rsidRPr="00610088">
        <w:rPr>
          <w:lang w:val="en-GB"/>
        </w:rPr>
        <w:t>di</w:t>
      </w:r>
      <w:r w:rsidRPr="00610088">
        <w:rPr>
          <w:lang w:val="en-GB"/>
        </w:rPr>
        <w:t xml:space="preserve">ng palliative care services at the </w:t>
      </w:r>
      <w:r w:rsidR="00C012E3" w:rsidRPr="00610088">
        <w:rPr>
          <w:lang w:val="en-GB"/>
        </w:rPr>
        <w:t xml:space="preserve">Connaught </w:t>
      </w:r>
      <w:r w:rsidRPr="00610088">
        <w:rPr>
          <w:lang w:val="en-GB"/>
        </w:rPr>
        <w:t xml:space="preserve">hospital and </w:t>
      </w:r>
      <w:proofErr w:type="gramStart"/>
      <w:r w:rsidRPr="00610088">
        <w:rPr>
          <w:lang w:val="en-GB"/>
        </w:rPr>
        <w:t>home based</w:t>
      </w:r>
      <w:proofErr w:type="gramEnd"/>
      <w:r w:rsidRPr="00610088">
        <w:rPr>
          <w:lang w:val="en-GB"/>
        </w:rPr>
        <w:t xml:space="preserve"> care services</w:t>
      </w:r>
      <w:r w:rsidR="00E905DD" w:rsidRPr="00610088">
        <w:rPr>
          <w:lang w:val="en-GB"/>
        </w:rPr>
        <w:t xml:space="preserve"> since September 2018</w:t>
      </w:r>
      <w:r w:rsidR="00DB6A1C" w:rsidRPr="00610088">
        <w:rPr>
          <w:lang w:val="en-GB"/>
        </w:rPr>
        <w:t>, initially set up</w:t>
      </w:r>
      <w:r w:rsidR="00C012E3" w:rsidRPr="00610088">
        <w:rPr>
          <w:lang w:val="en-GB"/>
        </w:rPr>
        <w:t xml:space="preserve"> in association with King’s Sierra Leone</w:t>
      </w:r>
      <w:r w:rsidRPr="00610088">
        <w:rPr>
          <w:lang w:val="en-GB"/>
        </w:rPr>
        <w:t xml:space="preserve">. The </w:t>
      </w:r>
      <w:r w:rsidR="00C012E3" w:rsidRPr="00610088">
        <w:rPr>
          <w:lang w:val="en-GB"/>
        </w:rPr>
        <w:t>CPC</w:t>
      </w:r>
      <w:r w:rsidR="00DB6A1C" w:rsidRPr="00610088">
        <w:rPr>
          <w:lang w:val="en-GB"/>
        </w:rPr>
        <w:t>U</w:t>
      </w:r>
      <w:r w:rsidRPr="00610088">
        <w:rPr>
          <w:lang w:val="en-GB"/>
        </w:rPr>
        <w:t xml:space="preserve"> is also involved in sourcing opioid supplies, palliative care training of PC</w:t>
      </w:r>
      <w:r w:rsidR="00DB6A1C" w:rsidRPr="00610088">
        <w:rPr>
          <w:lang w:val="en-GB"/>
        </w:rPr>
        <w:t>U</w:t>
      </w:r>
      <w:r w:rsidRPr="00610088">
        <w:rPr>
          <w:lang w:val="en-GB"/>
        </w:rPr>
        <w:t xml:space="preserve"> team members and hospital staff, teaching medical student</w:t>
      </w:r>
      <w:r w:rsidR="00C5696C" w:rsidRPr="00610088">
        <w:rPr>
          <w:lang w:val="en-GB"/>
        </w:rPr>
        <w:t>s</w:t>
      </w:r>
      <w:r w:rsidRPr="00610088">
        <w:rPr>
          <w:lang w:val="en-GB"/>
        </w:rPr>
        <w:t xml:space="preserve">, supporting palliative and cancer care at ODCH, networking with other cancer and palliative care organisations and research. </w:t>
      </w:r>
      <w:bookmarkStart w:id="78" w:name="_Ref32575237"/>
      <w:r w:rsidRPr="00610088">
        <w:rPr>
          <w:rStyle w:val="EndnoteReference"/>
          <w:lang w:val="en-GB"/>
        </w:rPr>
        <w:endnoteReference w:id="79"/>
      </w:r>
      <w:bookmarkEnd w:id="78"/>
      <w:r w:rsidR="00E905DD" w:rsidRPr="00610088">
        <w:rPr>
          <w:lang w:val="en-GB"/>
        </w:rPr>
        <w:t xml:space="preserve"> </w:t>
      </w:r>
      <w:r w:rsidR="00C012E3" w:rsidRPr="00610088">
        <w:rPr>
          <w:lang w:val="en-GB"/>
        </w:rPr>
        <w:t xml:space="preserve">The team consists of a specialist palliative care doctor, a registered nurse and 2 SECHNs. </w:t>
      </w:r>
      <w:r w:rsidR="00E905DD" w:rsidRPr="00610088">
        <w:rPr>
          <w:lang w:val="en-GB"/>
        </w:rPr>
        <w:t>In its first 15 months the CPC</w:t>
      </w:r>
      <w:r w:rsidR="00DB6A1C" w:rsidRPr="00610088">
        <w:rPr>
          <w:lang w:val="en-GB"/>
        </w:rPr>
        <w:t>U</w:t>
      </w:r>
      <w:r w:rsidR="00E905DD" w:rsidRPr="00610088">
        <w:rPr>
          <w:lang w:val="en-GB"/>
        </w:rPr>
        <w:t xml:space="preserve"> saw 168 patients</w:t>
      </w:r>
      <w:r w:rsidR="00212143" w:rsidRPr="00610088">
        <w:rPr>
          <w:lang w:val="en-GB"/>
        </w:rPr>
        <w:t xml:space="preserve"> </w:t>
      </w:r>
      <w:r w:rsidR="00212143" w:rsidRPr="00610088">
        <w:rPr>
          <w:vertAlign w:val="superscript"/>
          <w:lang w:val="en-GB"/>
        </w:rPr>
        <w:fldChar w:fldCharType="begin"/>
      </w:r>
      <w:r w:rsidR="00212143" w:rsidRPr="00610088">
        <w:rPr>
          <w:vertAlign w:val="superscript"/>
          <w:lang w:val="en-GB"/>
        </w:rPr>
        <w:instrText xml:space="preserve"> NOTEREF _Ref32242606 \h  \* MERGEFORMAT </w:instrText>
      </w:r>
      <w:r w:rsidR="00212143" w:rsidRPr="00610088">
        <w:rPr>
          <w:vertAlign w:val="superscript"/>
          <w:lang w:val="en-GB"/>
        </w:rPr>
      </w:r>
      <w:r w:rsidR="00212143" w:rsidRPr="00610088">
        <w:rPr>
          <w:vertAlign w:val="superscript"/>
          <w:lang w:val="en-GB"/>
        </w:rPr>
        <w:fldChar w:fldCharType="separate"/>
      </w:r>
      <w:r w:rsidR="00CB360C">
        <w:rPr>
          <w:vertAlign w:val="superscript"/>
          <w:lang w:val="en-GB"/>
        </w:rPr>
        <w:t>134</w:t>
      </w:r>
      <w:r w:rsidR="00212143" w:rsidRPr="00610088">
        <w:rPr>
          <w:vertAlign w:val="superscript"/>
          <w:lang w:val="en-GB"/>
        </w:rPr>
        <w:fldChar w:fldCharType="end"/>
      </w:r>
      <w:r w:rsidR="00435967" w:rsidRPr="00610088">
        <w:rPr>
          <w:lang w:val="en-GB"/>
        </w:rPr>
        <w:t>: on average 11 patients (range 4-21) per month</w:t>
      </w:r>
      <w:r w:rsidR="00E905DD" w:rsidRPr="00610088">
        <w:rPr>
          <w:lang w:val="en-GB"/>
        </w:rPr>
        <w:t xml:space="preserve">, 95% of those were referred for cancer. </w:t>
      </w:r>
      <w:r w:rsidR="00C5696C" w:rsidRPr="00610088">
        <w:rPr>
          <w:lang w:val="en-GB"/>
        </w:rPr>
        <w:t>Referrals came not only from inside the hospital, but also from a variety of outside locations.</w:t>
      </w:r>
      <w:r w:rsidR="00E905DD" w:rsidRPr="00610088">
        <w:rPr>
          <w:lang w:val="en-GB"/>
        </w:rPr>
        <w:t xml:space="preserve"> 68% of their patients were female, due to the largest group being breast cancer patients. 25% of the referrals were under 16 years, with among them almost equal males (48.5%) and females (51.5%)</w:t>
      </w:r>
      <w:r w:rsidR="00C5696C" w:rsidRPr="00610088">
        <w:rPr>
          <w:lang w:val="en-GB"/>
        </w:rPr>
        <w:t xml:space="preserve">. </w:t>
      </w:r>
      <w:r w:rsidR="0007397D" w:rsidRPr="00610088">
        <w:rPr>
          <w:lang w:val="en-GB"/>
        </w:rPr>
        <w:t>The most common conditions among adult (&gt;18 years) palliative patients were breast cancer and hepatocellular cancer, followed by abdominal (including ovarian) and cervical cancer. The most common conditions among paediatric palliative patients were Burkitt’s lymphoma and retinoblastoma, followed by Wilm</w:t>
      </w:r>
      <w:r w:rsidR="00A00B4E" w:rsidRPr="00610088">
        <w:rPr>
          <w:lang w:val="en-GB"/>
        </w:rPr>
        <w:t>s’</w:t>
      </w:r>
      <w:r w:rsidR="0007397D" w:rsidRPr="00610088">
        <w:rPr>
          <w:lang w:val="en-GB"/>
        </w:rPr>
        <w:t xml:space="preserve"> nephroblastoma and rhabdomyosarcoma. </w:t>
      </w:r>
    </w:p>
    <w:p w14:paraId="0FE6A2CA" w14:textId="540BAF87" w:rsidR="00F34A24" w:rsidRPr="00610088" w:rsidRDefault="00F34A24" w:rsidP="001B16D1">
      <w:pPr>
        <w:rPr>
          <w:lang w:val="en-GB"/>
        </w:rPr>
      </w:pPr>
      <w:r w:rsidRPr="00610088">
        <w:rPr>
          <w:bCs/>
          <w:lang w:val="en-GB"/>
        </w:rPr>
        <w:t>A scoping exercise</w:t>
      </w:r>
      <w:r w:rsidRPr="00610088">
        <w:rPr>
          <w:lang w:val="en-GB"/>
        </w:rPr>
        <w:t xml:space="preserve"> </w:t>
      </w:r>
      <w:r w:rsidR="00C012E3" w:rsidRPr="00610088">
        <w:rPr>
          <w:lang w:val="en-GB"/>
        </w:rPr>
        <w:t>by the CPC</w:t>
      </w:r>
      <w:r w:rsidR="00DB6A1C" w:rsidRPr="00610088">
        <w:rPr>
          <w:lang w:val="en-GB"/>
        </w:rPr>
        <w:t>U</w:t>
      </w:r>
      <w:r w:rsidR="00C012E3" w:rsidRPr="00610088">
        <w:rPr>
          <w:lang w:val="en-GB"/>
        </w:rPr>
        <w:t xml:space="preserve"> in</w:t>
      </w:r>
      <w:r w:rsidRPr="00610088">
        <w:rPr>
          <w:lang w:val="en-GB"/>
        </w:rPr>
        <w:t xml:space="preserve"> June 2019</w:t>
      </w:r>
      <w:r w:rsidR="00C012E3" w:rsidRPr="00610088">
        <w:rPr>
          <w:vertAlign w:val="superscript"/>
          <w:lang w:val="en-GB"/>
        </w:rPr>
        <w:fldChar w:fldCharType="begin"/>
      </w:r>
      <w:r w:rsidR="00C012E3" w:rsidRPr="00610088">
        <w:rPr>
          <w:vertAlign w:val="superscript"/>
          <w:lang w:val="en-GB"/>
        </w:rPr>
        <w:instrText xml:space="preserve"> NOTEREF _Ref32575237 \h  \* MERGEFORMAT </w:instrText>
      </w:r>
      <w:r w:rsidR="00C012E3" w:rsidRPr="00610088">
        <w:rPr>
          <w:vertAlign w:val="superscript"/>
          <w:lang w:val="en-GB"/>
        </w:rPr>
      </w:r>
      <w:r w:rsidR="00C012E3" w:rsidRPr="00610088">
        <w:rPr>
          <w:vertAlign w:val="superscript"/>
          <w:lang w:val="en-GB"/>
        </w:rPr>
        <w:fldChar w:fldCharType="separate"/>
      </w:r>
      <w:r w:rsidR="00CB360C">
        <w:rPr>
          <w:vertAlign w:val="superscript"/>
          <w:lang w:val="en-GB"/>
        </w:rPr>
        <w:t>79</w:t>
      </w:r>
      <w:r w:rsidR="00C012E3" w:rsidRPr="00610088">
        <w:rPr>
          <w:vertAlign w:val="superscript"/>
          <w:lang w:val="en-GB"/>
        </w:rPr>
        <w:fldChar w:fldCharType="end"/>
      </w:r>
      <w:r w:rsidR="00C012E3" w:rsidRPr="00610088">
        <w:rPr>
          <w:vertAlign w:val="superscript"/>
          <w:lang w:val="en-GB"/>
        </w:rPr>
        <w:t xml:space="preserve"> </w:t>
      </w:r>
      <w:r w:rsidR="00C012E3" w:rsidRPr="00610088">
        <w:rPr>
          <w:lang w:val="en-GB"/>
        </w:rPr>
        <w:t xml:space="preserve">found that only </w:t>
      </w:r>
      <w:r w:rsidRPr="00610088">
        <w:rPr>
          <w:lang w:val="en-GB"/>
        </w:rPr>
        <w:t>2 of the 14</w:t>
      </w:r>
      <w:r w:rsidR="00C012E3" w:rsidRPr="00610088">
        <w:rPr>
          <w:lang w:val="en-GB"/>
        </w:rPr>
        <w:t xml:space="preserve"> districts</w:t>
      </w:r>
      <w:r w:rsidRPr="00610088">
        <w:rPr>
          <w:lang w:val="en-GB"/>
        </w:rPr>
        <w:t xml:space="preserve"> had any designated doctor, nurse or team in the</w:t>
      </w:r>
      <w:r w:rsidR="00C012E3" w:rsidRPr="00610088">
        <w:rPr>
          <w:lang w:val="en-GB"/>
        </w:rPr>
        <w:t xml:space="preserve"> hospital</w:t>
      </w:r>
      <w:r w:rsidRPr="00610088">
        <w:rPr>
          <w:lang w:val="en-GB"/>
        </w:rPr>
        <w:t xml:space="preserve"> to look after palliative care patients. Most had availability of drugs on Step 1 and Step 2 of the WHO analgesic ladder</w:t>
      </w:r>
      <w:r w:rsidR="00C012E3" w:rsidRPr="00610088">
        <w:rPr>
          <w:rStyle w:val="EndnoteReference"/>
          <w:lang w:val="en-GB"/>
        </w:rPr>
        <w:endnoteReference w:id="80"/>
      </w:r>
      <w:r w:rsidRPr="00610088">
        <w:rPr>
          <w:lang w:val="en-GB"/>
        </w:rPr>
        <w:t xml:space="preserve"> for cancer pain, but only 2 (14%) had access to oral morphine, which is part of the essential package of palliative care and pain relief health services</w:t>
      </w:r>
      <w:r w:rsidRPr="00610088">
        <w:rPr>
          <w:rStyle w:val="EndnoteReference"/>
          <w:lang w:val="en-GB"/>
        </w:rPr>
        <w:endnoteReference w:id="81"/>
      </w:r>
      <w:r w:rsidRPr="00610088">
        <w:rPr>
          <w:lang w:val="en-GB"/>
        </w:rPr>
        <w:t>.</w:t>
      </w:r>
    </w:p>
    <w:p w14:paraId="7B48E815" w14:textId="0DC4AD57" w:rsidR="00F34A24" w:rsidRPr="00610088" w:rsidRDefault="00F34A24" w:rsidP="001B16D1">
      <w:pPr>
        <w:rPr>
          <w:lang w:val="en-GB"/>
        </w:rPr>
      </w:pPr>
      <w:r w:rsidRPr="00610088">
        <w:rPr>
          <w:lang w:val="en-GB"/>
        </w:rPr>
        <w:t>In the 2 facilities which had palliative care personnel, these were primarily for HIV counselling, which historically has been linked to palliative care but as HIV is now treatable as a chronic disease, palliative care needs are becoming more focused on patients with cancer and end organ failure.</w:t>
      </w:r>
      <w:r w:rsidR="00C012E3" w:rsidRPr="00610088">
        <w:rPr>
          <w:lang w:val="en-GB"/>
        </w:rPr>
        <w:t xml:space="preserve"> </w:t>
      </w:r>
      <w:r w:rsidRPr="00610088">
        <w:rPr>
          <w:lang w:val="en-GB"/>
        </w:rPr>
        <w:t>All respondents were interested in further training in palliative care and commented on the need for a palliative care service to be established in their hospital.</w:t>
      </w:r>
    </w:p>
    <w:p w14:paraId="437697E4" w14:textId="77777777" w:rsidR="00F34A24" w:rsidRPr="00610088" w:rsidRDefault="00F34A24" w:rsidP="00F34A24">
      <w:pPr>
        <w:rPr>
          <w:lang w:val="en-GB"/>
        </w:rPr>
      </w:pPr>
    </w:p>
    <w:p w14:paraId="47D29219" w14:textId="0E61F114" w:rsidR="0044074E" w:rsidRPr="00610088" w:rsidRDefault="00D05C84" w:rsidP="001B16D1">
      <w:pPr>
        <w:rPr>
          <w:lang w:val="en-GB"/>
        </w:rPr>
      </w:pPr>
      <w:r w:rsidRPr="00610088">
        <w:rPr>
          <w:b/>
          <w:bCs/>
          <w:lang w:val="en-GB"/>
        </w:rPr>
        <w:t>Basic surgical services</w:t>
      </w:r>
      <w:r w:rsidR="00D620FF" w:rsidRPr="00610088">
        <w:rPr>
          <w:lang w:val="en-GB"/>
        </w:rPr>
        <w:t xml:space="preserve"> (ranging from more complex like cricothyroidotomy to simple procedures like suturing)</w:t>
      </w:r>
      <w:r w:rsidRPr="00610088">
        <w:rPr>
          <w:lang w:val="en-GB"/>
        </w:rPr>
        <w:t xml:space="preserve"> </w:t>
      </w:r>
      <w:r w:rsidR="00950685" w:rsidRPr="00610088">
        <w:rPr>
          <w:lang w:val="en-GB"/>
        </w:rPr>
        <w:t>were</w:t>
      </w:r>
      <w:r w:rsidRPr="00610088">
        <w:rPr>
          <w:lang w:val="en-GB"/>
        </w:rPr>
        <w:t xml:space="preserve"> available in 59% </w:t>
      </w:r>
      <w:r w:rsidR="00D620FF" w:rsidRPr="00610088">
        <w:rPr>
          <w:lang w:val="en-GB"/>
        </w:rPr>
        <w:t xml:space="preserve">(district range 14% Port </w:t>
      </w:r>
      <w:proofErr w:type="spellStart"/>
      <w:r w:rsidR="00D620FF" w:rsidRPr="00610088">
        <w:rPr>
          <w:lang w:val="en-GB"/>
        </w:rPr>
        <w:t>Loko</w:t>
      </w:r>
      <w:proofErr w:type="spellEnd"/>
      <w:r w:rsidR="00400D15">
        <w:rPr>
          <w:lang w:val="en-GB"/>
        </w:rPr>
        <w:t xml:space="preserve"> district</w:t>
      </w:r>
      <w:r w:rsidR="00D620FF" w:rsidRPr="00610088">
        <w:rPr>
          <w:lang w:val="en-GB"/>
        </w:rPr>
        <w:t xml:space="preserve"> to 70% Tonkolili</w:t>
      </w:r>
      <w:r w:rsidR="00400D15">
        <w:rPr>
          <w:lang w:val="en-GB"/>
        </w:rPr>
        <w:t xml:space="preserve"> district</w:t>
      </w:r>
      <w:r w:rsidR="00D620FF" w:rsidRPr="00610088">
        <w:rPr>
          <w:lang w:val="en-GB"/>
        </w:rPr>
        <w:t xml:space="preserve">) </w:t>
      </w:r>
      <w:r w:rsidRPr="00610088">
        <w:rPr>
          <w:lang w:val="en-GB"/>
        </w:rPr>
        <w:t xml:space="preserve">of the 1284 health </w:t>
      </w:r>
      <w:r w:rsidR="00D620FF" w:rsidRPr="00610088">
        <w:rPr>
          <w:lang w:val="en-GB"/>
        </w:rPr>
        <w:t>facilities</w:t>
      </w:r>
      <w:r w:rsidR="00950685" w:rsidRPr="00610088">
        <w:rPr>
          <w:lang w:val="en-GB"/>
        </w:rPr>
        <w:t xml:space="preserve"> in 2017</w:t>
      </w:r>
      <w:r w:rsidR="00D620FF" w:rsidRPr="00610088">
        <w:rPr>
          <w:lang w:val="en-GB"/>
        </w:rPr>
        <w:t xml:space="preserve">, mostly at hospitals – where 9 out of 10 provide these services. </w:t>
      </w:r>
      <w:r w:rsidRPr="00610088">
        <w:rPr>
          <w:lang w:val="en-GB"/>
        </w:rPr>
        <w:t xml:space="preserve"> 54% of the primary health care facilities offered incision and drainage of abscesses and suturing</w:t>
      </w:r>
      <w:r w:rsidR="003C280B" w:rsidRPr="00610088">
        <w:rPr>
          <w:lang w:val="en-GB"/>
        </w:rPr>
        <w:t>. There is not much difference between urban and rural (44% vs 45%) and public and private (45% vs 52%)</w:t>
      </w:r>
      <w:r w:rsidRPr="00610088">
        <w:rPr>
          <w:lang w:val="en-GB"/>
        </w:rPr>
        <w:t>.</w:t>
      </w:r>
      <w:r w:rsidR="00D620FF" w:rsidRPr="00610088">
        <w:rPr>
          <w:lang w:val="en-GB"/>
        </w:rPr>
        <w:t xml:space="preserve"> </w:t>
      </w:r>
      <w:r w:rsidR="00D620FF" w:rsidRPr="00610088">
        <w:rPr>
          <w:vertAlign w:val="superscript"/>
          <w:lang w:val="en-GB"/>
        </w:rPr>
        <w:fldChar w:fldCharType="begin"/>
      </w:r>
      <w:r w:rsidR="00D620FF" w:rsidRPr="00610088">
        <w:rPr>
          <w:vertAlign w:val="superscript"/>
          <w:lang w:val="en-GB"/>
        </w:rPr>
        <w:instrText xml:space="preserve"> NOTEREF _Ref17185534 \h  \* MERGEFORMAT </w:instrText>
      </w:r>
      <w:r w:rsidR="00D620FF" w:rsidRPr="00610088">
        <w:rPr>
          <w:vertAlign w:val="superscript"/>
          <w:lang w:val="en-GB"/>
        </w:rPr>
      </w:r>
      <w:r w:rsidR="00D620FF" w:rsidRPr="00610088">
        <w:rPr>
          <w:vertAlign w:val="superscript"/>
          <w:lang w:val="en-GB"/>
        </w:rPr>
        <w:fldChar w:fldCharType="separate"/>
      </w:r>
      <w:r w:rsidR="00CB360C">
        <w:rPr>
          <w:vertAlign w:val="superscript"/>
          <w:lang w:val="en-GB"/>
        </w:rPr>
        <w:t>108</w:t>
      </w:r>
      <w:r w:rsidR="00D620FF" w:rsidRPr="00610088">
        <w:rPr>
          <w:vertAlign w:val="superscript"/>
          <w:lang w:val="en-GB"/>
        </w:rPr>
        <w:fldChar w:fldCharType="end"/>
      </w:r>
      <w:r w:rsidR="00D620FF" w:rsidRPr="00610088">
        <w:rPr>
          <w:vertAlign w:val="superscript"/>
          <w:lang w:val="en-GB"/>
        </w:rPr>
        <w:t xml:space="preserve"> </w:t>
      </w:r>
      <w:r w:rsidR="00D620FF" w:rsidRPr="00610088">
        <w:rPr>
          <w:lang w:val="en-GB"/>
        </w:rPr>
        <w:t xml:space="preserve"> </w:t>
      </w:r>
    </w:p>
    <w:p w14:paraId="355B31C1" w14:textId="2CB79239" w:rsidR="00AC1C54" w:rsidRPr="00610088" w:rsidRDefault="003C280B" w:rsidP="001B16D1">
      <w:pPr>
        <w:rPr>
          <w:lang w:val="en-GB"/>
        </w:rPr>
      </w:pPr>
      <w:r w:rsidRPr="00610088">
        <w:rPr>
          <w:szCs w:val="21"/>
          <w:lang w:val="en-GB"/>
        </w:rPr>
        <w:t xml:space="preserve">87% of the 54 hospitals offered </w:t>
      </w:r>
      <w:r w:rsidRPr="00610088">
        <w:rPr>
          <w:b/>
          <w:bCs/>
          <w:szCs w:val="21"/>
          <w:lang w:val="en-GB"/>
        </w:rPr>
        <w:t>comprehensive surgical services</w:t>
      </w:r>
      <w:r w:rsidR="00950685" w:rsidRPr="00610088">
        <w:rPr>
          <w:szCs w:val="21"/>
          <w:lang w:val="en-GB"/>
        </w:rPr>
        <w:t xml:space="preserve"> in 2017</w:t>
      </w:r>
      <w:r w:rsidRPr="00610088">
        <w:rPr>
          <w:szCs w:val="21"/>
          <w:lang w:val="en-GB"/>
        </w:rPr>
        <w:t xml:space="preserve">, however they do not all provide the same set of services. For example, 4% of hospitals offered obstetric fistula repair while 57% of hospitals offered elective hernia repair. </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r w:rsidR="00241074" w:rsidRPr="00610088">
        <w:rPr>
          <w:lang w:val="en-GB"/>
        </w:rPr>
        <w:t xml:space="preserve">In a study in 2012 there was an </w:t>
      </w:r>
      <w:r w:rsidR="00241074" w:rsidRPr="00610088">
        <w:rPr>
          <w:b/>
          <w:bCs/>
          <w:lang w:val="en-GB"/>
        </w:rPr>
        <w:t>unmet surgical need</w:t>
      </w:r>
      <w:r w:rsidR="00241074" w:rsidRPr="00610088">
        <w:rPr>
          <w:lang w:val="en-GB"/>
        </w:rPr>
        <w:t xml:space="preserve"> of more than 90%.</w:t>
      </w:r>
      <w:r w:rsidR="00241074" w:rsidRPr="00610088">
        <w:rPr>
          <w:rStyle w:val="EndnoteReference"/>
          <w:lang w:val="en-GB"/>
        </w:rPr>
        <w:endnoteReference w:id="82"/>
      </w:r>
    </w:p>
    <w:p w14:paraId="39215873" w14:textId="77777777" w:rsidR="00D146B7" w:rsidRPr="00610088" w:rsidRDefault="00D146B7" w:rsidP="001B16D1">
      <w:pPr>
        <w:rPr>
          <w:lang w:val="en-GB"/>
        </w:rPr>
      </w:pPr>
    </w:p>
    <w:p w14:paraId="302B37C1" w14:textId="2E37F337" w:rsidR="00AC1C54" w:rsidRPr="00610088" w:rsidRDefault="00241074" w:rsidP="001B16D1">
      <w:pPr>
        <w:rPr>
          <w:vertAlign w:val="superscript"/>
          <w:lang w:val="en-GB"/>
        </w:rPr>
      </w:pPr>
      <w:r w:rsidRPr="00610088">
        <w:rPr>
          <w:lang w:val="en-GB"/>
        </w:rPr>
        <w:t xml:space="preserve">There are </w:t>
      </w:r>
      <w:r w:rsidRPr="00610088">
        <w:rPr>
          <w:b/>
          <w:bCs/>
          <w:lang w:val="en-GB"/>
        </w:rPr>
        <w:t>physiotherapy/rehabilitation</w:t>
      </w:r>
      <w:r w:rsidRPr="00610088">
        <w:rPr>
          <w:lang w:val="en-GB"/>
        </w:rPr>
        <w:t xml:space="preserve"> units in 6 districts, with plans to scale this up to 10 districts.</w:t>
      </w:r>
      <w:r w:rsidRPr="00610088">
        <w:rPr>
          <w:vertAlign w:val="superscript"/>
          <w:lang w:val="en-GB"/>
        </w:rPr>
        <w:fldChar w:fldCharType="begin"/>
      </w:r>
      <w:r w:rsidRPr="00610088">
        <w:rPr>
          <w:vertAlign w:val="superscript"/>
          <w:lang w:val="en-GB"/>
        </w:rPr>
        <w:instrText xml:space="preserve"> NOTEREF _Ref32682013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55</w:t>
      </w:r>
      <w:r w:rsidRPr="00610088">
        <w:rPr>
          <w:vertAlign w:val="superscript"/>
          <w:lang w:val="en-GB"/>
        </w:rPr>
        <w:fldChar w:fldCharType="end"/>
      </w:r>
      <w:r w:rsidRPr="00610088">
        <w:rPr>
          <w:vertAlign w:val="superscript"/>
          <w:lang w:val="en-GB"/>
        </w:rPr>
        <w:t xml:space="preserve"> </w:t>
      </w:r>
    </w:p>
    <w:p w14:paraId="14221B66" w14:textId="7B81DBB6" w:rsidR="003C280B" w:rsidRPr="00610088" w:rsidRDefault="003C280B" w:rsidP="001B16D1">
      <w:pPr>
        <w:rPr>
          <w:lang w:val="en-GB"/>
        </w:rPr>
      </w:pPr>
    </w:p>
    <w:p w14:paraId="1CC4227A" w14:textId="77B15A2D" w:rsidR="00950685" w:rsidRPr="00610088" w:rsidRDefault="00950685" w:rsidP="001B16D1">
      <w:pPr>
        <w:rPr>
          <w:lang w:val="en-GB"/>
        </w:rPr>
      </w:pPr>
      <w:r w:rsidRPr="00610088">
        <w:rPr>
          <w:lang w:val="en-GB"/>
        </w:rPr>
        <w:t xml:space="preserve">4% of the 1284 health facilities provided </w:t>
      </w:r>
      <w:r w:rsidRPr="00610088">
        <w:rPr>
          <w:b/>
          <w:bCs/>
          <w:lang w:val="en-GB"/>
        </w:rPr>
        <w:t>b</w:t>
      </w:r>
      <w:r w:rsidR="003C280B" w:rsidRPr="00610088">
        <w:rPr>
          <w:b/>
          <w:bCs/>
          <w:lang w:val="en-GB"/>
        </w:rPr>
        <w:t>lood transfusion</w:t>
      </w:r>
      <w:r w:rsidR="003C280B" w:rsidRPr="00610088">
        <w:rPr>
          <w:lang w:val="en-GB"/>
        </w:rPr>
        <w:t xml:space="preserve"> services</w:t>
      </w:r>
      <w:r w:rsidRPr="00610088">
        <w:rPr>
          <w:lang w:val="en-GB"/>
        </w:rPr>
        <w:t xml:space="preserve"> in 2017 (district range Western Area Rural 0% to Western Area Urban 15%). There is a clear difference between urban (14%) and rural (2%) and between public (2%) and private (31%). </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w:t>
      </w:r>
    </w:p>
    <w:p w14:paraId="2B2B9C7C" w14:textId="431F0A67" w:rsidR="003C280B" w:rsidRPr="00610088" w:rsidRDefault="003C280B" w:rsidP="001B16D1">
      <w:pPr>
        <w:rPr>
          <w:lang w:val="en-GB"/>
        </w:rPr>
      </w:pPr>
    </w:p>
    <w:p w14:paraId="1D494635" w14:textId="6C2E65D5" w:rsidR="00950685" w:rsidRPr="00610088" w:rsidRDefault="003C280B" w:rsidP="001B16D1">
      <w:pPr>
        <w:rPr>
          <w:vertAlign w:val="superscript"/>
          <w:lang w:val="en-GB"/>
        </w:rPr>
      </w:pPr>
      <w:r w:rsidRPr="00610088">
        <w:rPr>
          <w:b/>
          <w:bCs/>
          <w:lang w:val="en-GB"/>
        </w:rPr>
        <w:t>Advanced diagnostic services</w:t>
      </w:r>
      <w:r w:rsidR="00950685" w:rsidRPr="00610088">
        <w:rPr>
          <w:lang w:val="en-GB"/>
        </w:rPr>
        <w:t xml:space="preserve"> were available in only 25% of the 54 hospitals in 2017. The most available test was urine dip stick with microscopy (56%) and the least available was HIV antibody testing (ELISA method) (4%). Availabilities of other NCD relevant test </w:t>
      </w:r>
      <w:r w:rsidR="00CE42AD" w:rsidRPr="00610088">
        <w:rPr>
          <w:lang w:val="en-GB"/>
        </w:rPr>
        <w:t>were</w:t>
      </w:r>
      <w:r w:rsidR="00950685" w:rsidRPr="00610088">
        <w:rPr>
          <w:lang w:val="en-GB"/>
        </w:rPr>
        <w:t xml:space="preserve"> serum electrolytes (15%), liver function test (28%), renal function test (30%) and blood typing and cross matching (33%). </w:t>
      </w:r>
      <w:r w:rsidR="00950685" w:rsidRPr="00610088">
        <w:rPr>
          <w:vertAlign w:val="superscript"/>
          <w:lang w:val="en-GB"/>
        </w:rPr>
        <w:t xml:space="preserve"> </w:t>
      </w:r>
      <w:r w:rsidR="00950685" w:rsidRPr="00610088">
        <w:rPr>
          <w:vertAlign w:val="superscript"/>
          <w:lang w:val="en-GB"/>
        </w:rPr>
        <w:fldChar w:fldCharType="begin"/>
      </w:r>
      <w:r w:rsidR="00950685" w:rsidRPr="00610088">
        <w:rPr>
          <w:vertAlign w:val="superscript"/>
          <w:lang w:val="en-GB"/>
        </w:rPr>
        <w:instrText xml:space="preserve"> NOTEREF _Ref17185534 \h  \* MERGEFORMAT </w:instrText>
      </w:r>
      <w:r w:rsidR="00950685" w:rsidRPr="00610088">
        <w:rPr>
          <w:vertAlign w:val="superscript"/>
          <w:lang w:val="en-GB"/>
        </w:rPr>
      </w:r>
      <w:r w:rsidR="00950685" w:rsidRPr="00610088">
        <w:rPr>
          <w:vertAlign w:val="superscript"/>
          <w:lang w:val="en-GB"/>
        </w:rPr>
        <w:fldChar w:fldCharType="separate"/>
      </w:r>
      <w:r w:rsidR="00CB360C">
        <w:rPr>
          <w:vertAlign w:val="superscript"/>
          <w:lang w:val="en-GB"/>
        </w:rPr>
        <w:t>108</w:t>
      </w:r>
      <w:r w:rsidR="00950685" w:rsidRPr="00610088">
        <w:rPr>
          <w:vertAlign w:val="superscript"/>
          <w:lang w:val="en-GB"/>
        </w:rPr>
        <w:fldChar w:fldCharType="end"/>
      </w:r>
    </w:p>
    <w:p w14:paraId="3251AAE1" w14:textId="02154D5D" w:rsidR="00287E22" w:rsidRPr="00610088" w:rsidRDefault="00287E22" w:rsidP="00D620FF">
      <w:pPr>
        <w:rPr>
          <w:vertAlign w:val="superscript"/>
          <w:lang w:val="en-GB"/>
        </w:rPr>
      </w:pPr>
    </w:p>
    <w:p w14:paraId="03EEA585" w14:textId="2D0223BE" w:rsidR="00CB016D" w:rsidRPr="00610088" w:rsidRDefault="0085645C" w:rsidP="001B16D1">
      <w:pPr>
        <w:rPr>
          <w:lang w:val="en-GB"/>
        </w:rPr>
      </w:pPr>
      <w:r w:rsidRPr="00610088">
        <w:rPr>
          <w:lang w:val="en-GB"/>
        </w:rPr>
        <w:lastRenderedPageBreak/>
        <w:t>The NGO</w:t>
      </w:r>
      <w:r w:rsidR="001517AF" w:rsidRPr="00610088">
        <w:rPr>
          <w:lang w:val="en-GB"/>
        </w:rPr>
        <w:t xml:space="preserve"> </w:t>
      </w:r>
      <w:r w:rsidR="001517AF" w:rsidRPr="00610088">
        <w:rPr>
          <w:b/>
          <w:bCs/>
          <w:lang w:val="en-GB"/>
        </w:rPr>
        <w:t>Sierra Leone Sickle Cell Society</w:t>
      </w:r>
      <w:r w:rsidR="001517AF" w:rsidRPr="00610088">
        <w:rPr>
          <w:lang w:val="en-GB"/>
        </w:rPr>
        <w:t xml:space="preserve"> (SLSCS)</w:t>
      </w:r>
      <w:r w:rsidR="00F11557" w:rsidRPr="00610088">
        <w:rPr>
          <w:lang w:val="en-GB"/>
        </w:rPr>
        <w:t xml:space="preserve"> </w:t>
      </w:r>
      <w:r w:rsidR="00F11557" w:rsidRPr="00610088">
        <w:rPr>
          <w:vertAlign w:val="superscript"/>
          <w:lang w:val="en-GB"/>
        </w:rPr>
        <w:fldChar w:fldCharType="begin"/>
      </w:r>
      <w:r w:rsidR="00F11557" w:rsidRPr="00610088">
        <w:rPr>
          <w:vertAlign w:val="superscript"/>
          <w:lang w:val="en-GB"/>
        </w:rPr>
        <w:instrText xml:space="preserve"> NOTEREF _Ref17388151 \h  \* MERGEFORMAT </w:instrText>
      </w:r>
      <w:r w:rsidR="00F11557" w:rsidRPr="00610088">
        <w:rPr>
          <w:vertAlign w:val="superscript"/>
          <w:lang w:val="en-GB"/>
        </w:rPr>
      </w:r>
      <w:r w:rsidR="00F11557" w:rsidRPr="00610088">
        <w:rPr>
          <w:vertAlign w:val="superscript"/>
          <w:lang w:val="en-GB"/>
        </w:rPr>
        <w:fldChar w:fldCharType="separate"/>
      </w:r>
      <w:r w:rsidR="00CB360C">
        <w:rPr>
          <w:vertAlign w:val="superscript"/>
          <w:lang w:val="en-GB"/>
        </w:rPr>
        <w:t>163</w:t>
      </w:r>
      <w:r w:rsidR="00F11557" w:rsidRPr="00610088">
        <w:rPr>
          <w:vertAlign w:val="superscript"/>
          <w:lang w:val="en-GB"/>
        </w:rPr>
        <w:fldChar w:fldCharType="end"/>
      </w:r>
      <w:r w:rsidR="001517AF" w:rsidRPr="00610088">
        <w:rPr>
          <w:lang w:val="en-GB"/>
        </w:rPr>
        <w:t>,</w:t>
      </w:r>
      <w:r w:rsidRPr="00610088">
        <w:rPr>
          <w:lang w:val="en-GB"/>
        </w:rPr>
        <w:t xml:space="preserve"> founded in 1992, </w:t>
      </w:r>
      <w:r w:rsidR="00F11557" w:rsidRPr="00610088">
        <w:rPr>
          <w:lang w:val="en-GB"/>
        </w:rPr>
        <w:t>provides services to sickle cell patients in the Freetown area. They have o</w:t>
      </w:r>
      <w:r w:rsidR="001517AF" w:rsidRPr="00610088">
        <w:rPr>
          <w:lang w:val="en-GB"/>
        </w:rPr>
        <w:t xml:space="preserve">ver 2500 sickle cell disease (SCD) patients </w:t>
      </w:r>
      <w:r w:rsidR="00F11557" w:rsidRPr="00610088">
        <w:rPr>
          <w:lang w:val="en-GB"/>
        </w:rPr>
        <w:t>on their register and had</w:t>
      </w:r>
      <w:r w:rsidR="001517AF" w:rsidRPr="00610088">
        <w:rPr>
          <w:lang w:val="en-GB"/>
        </w:rPr>
        <w:t xml:space="preserve"> more than 4500 attendances in 2018.</w:t>
      </w:r>
      <w:r w:rsidR="00F11557" w:rsidRPr="00610088">
        <w:rPr>
          <w:lang w:val="en-GB"/>
        </w:rPr>
        <w:t xml:space="preserve"> The health services provided by SLSCS include, among others: identification of SCD patients; counselling of SCD patients and their families; regular care and maintenance treatment for SCD patients (analgesics, antibiotics, vitamins, anti-malarial prophylaxis, bed nets, leg ulcer care, general health maintenance) and referral for specialized care and investigations. The SLSCS also provides support for hospitals admission and treatment costs and financial support for </w:t>
      </w:r>
      <w:r w:rsidR="001517AF" w:rsidRPr="00610088">
        <w:rPr>
          <w:lang w:val="en-GB"/>
        </w:rPr>
        <w:t>socially-challenged families affected by SCD</w:t>
      </w:r>
      <w:r w:rsidR="00F11557" w:rsidRPr="00610088">
        <w:rPr>
          <w:lang w:val="en-GB"/>
        </w:rPr>
        <w:t xml:space="preserve">. The SLSCS is also involved in sickle cell education, awareness raising and SCD research. The SLSCS is advocating for a unified approach to SCD in Sierra Leone which includes standard diagnostic procedures, uniform therapy including hydroxy urea, standard immunization procedures, screening of </w:t>
      </w:r>
      <w:proofErr w:type="spellStart"/>
      <w:r w:rsidR="00F11557" w:rsidRPr="00610088">
        <w:rPr>
          <w:lang w:val="en-GB"/>
        </w:rPr>
        <w:t>newborns</w:t>
      </w:r>
      <w:proofErr w:type="spellEnd"/>
      <w:r w:rsidR="00F11557" w:rsidRPr="00610088">
        <w:rPr>
          <w:lang w:val="en-GB"/>
        </w:rPr>
        <w:t xml:space="preserve"> and improved blood transfusion services. </w:t>
      </w:r>
    </w:p>
    <w:p w14:paraId="0B060238" w14:textId="77777777" w:rsidR="0057323A" w:rsidRPr="00610088" w:rsidRDefault="0057323A" w:rsidP="0057323A">
      <w:pPr>
        <w:rPr>
          <w:lang w:val="en-GB"/>
        </w:rPr>
      </w:pPr>
    </w:p>
    <w:p w14:paraId="008FC23D" w14:textId="77777777" w:rsidR="0057323A" w:rsidRPr="00610088" w:rsidRDefault="0057323A" w:rsidP="00F1043E">
      <w:pPr>
        <w:pStyle w:val="Heading4"/>
        <w:rPr>
          <w:lang w:val="en-GB"/>
        </w:rPr>
      </w:pPr>
      <w:bookmarkStart w:id="79" w:name="_Ref17626899"/>
      <w:r w:rsidRPr="00610088">
        <w:rPr>
          <w:lang w:val="en-GB"/>
        </w:rPr>
        <w:t>Health education</w:t>
      </w:r>
      <w:bookmarkEnd w:id="79"/>
    </w:p>
    <w:p w14:paraId="261B51DD" w14:textId="2A268A59" w:rsidR="0057323A" w:rsidRPr="00610088" w:rsidRDefault="0057323A" w:rsidP="001B16D1">
      <w:pPr>
        <w:rPr>
          <w:lang w:val="en-GB"/>
        </w:rPr>
      </w:pPr>
      <w:r w:rsidRPr="00610088">
        <w:rPr>
          <w:lang w:val="en-GB"/>
        </w:rPr>
        <w:t xml:space="preserve">There are no strategies or other guidelines for NCD health education and only very limited </w:t>
      </w:r>
      <w:r w:rsidR="00D27E1F" w:rsidRPr="00610088">
        <w:rPr>
          <w:lang w:val="en-GB"/>
        </w:rPr>
        <w:t>health education</w:t>
      </w:r>
      <w:r w:rsidRPr="00610088">
        <w:rPr>
          <w:lang w:val="en-GB"/>
        </w:rPr>
        <w:t xml:space="preserve"> materials – often hailing from specific campaigns with a narrow focus (tobacco, salt). The salt reduction campaign is currently ongoing in the country for example. Even the few materials available are hardly found displayed in the PHUs and hospitals visited for the field assessment.</w:t>
      </w:r>
      <w:r w:rsidR="00905A07" w:rsidRPr="00610088">
        <w:rPr>
          <w:rStyle w:val="EndnoteReference"/>
          <w:lang w:val="en-GB"/>
        </w:rPr>
        <w:endnoteReference w:id="83"/>
      </w:r>
      <w:r w:rsidR="00905A07" w:rsidRPr="00610088">
        <w:rPr>
          <w:vertAlign w:val="superscript"/>
          <w:lang w:val="en-GB"/>
        </w:rPr>
        <w:t>,</w:t>
      </w:r>
      <w:r w:rsidR="00905A07" w:rsidRPr="00610088">
        <w:rPr>
          <w:rStyle w:val="EndnoteReference"/>
          <w:lang w:val="en-GB"/>
        </w:rPr>
        <w:endnoteReference w:id="84"/>
      </w:r>
      <w:r w:rsidRPr="00610088">
        <w:rPr>
          <w:vertAlign w:val="superscript"/>
          <w:lang w:val="en-GB"/>
        </w:rPr>
        <w:t xml:space="preserve"> </w:t>
      </w:r>
      <w:r w:rsidR="00905A07" w:rsidRPr="00610088">
        <w:rPr>
          <w:vertAlign w:val="superscript"/>
          <w:lang w:val="en-GB"/>
        </w:rPr>
        <w:t xml:space="preserve"> </w:t>
      </w:r>
      <w:r w:rsidRPr="00610088">
        <w:rPr>
          <w:lang w:val="en-GB"/>
        </w:rPr>
        <w:t xml:space="preserve">The health education appears almost entirely focussed on RMNCAH, nutrition and communicable diseases, as could be seen from the health education schedules in various districts. There are however opportunities to integrate into or </w:t>
      </w:r>
      <w:r w:rsidR="00FC47F6" w:rsidRPr="00610088">
        <w:rPr>
          <w:lang w:val="en-GB"/>
        </w:rPr>
        <w:t>piggyback</w:t>
      </w:r>
      <w:r w:rsidRPr="00610088">
        <w:rPr>
          <w:lang w:val="en-GB"/>
        </w:rPr>
        <w:t xml:space="preserve"> onto the ongoing activities such as council radio hours, </w:t>
      </w:r>
      <w:r w:rsidR="00E01313">
        <w:rPr>
          <w:lang w:val="en-GB"/>
        </w:rPr>
        <w:t>United Nations Children’s Fund (</w:t>
      </w:r>
      <w:r w:rsidRPr="00610088">
        <w:rPr>
          <w:lang w:val="en-GB"/>
        </w:rPr>
        <w:t>UNICEF</w:t>
      </w:r>
      <w:r w:rsidR="00E01313">
        <w:rPr>
          <w:lang w:val="en-GB"/>
        </w:rPr>
        <w:t>)</w:t>
      </w:r>
      <w:r w:rsidRPr="00610088">
        <w:rPr>
          <w:lang w:val="en-GB"/>
        </w:rPr>
        <w:t xml:space="preserve"> supported interactive radio sessions and nutrition education activities, especially the ones related to healthy diet. </w:t>
      </w:r>
    </w:p>
    <w:p w14:paraId="01204B81" w14:textId="77777777" w:rsidR="0057323A" w:rsidRPr="00610088" w:rsidRDefault="0057323A" w:rsidP="001B16D1">
      <w:pPr>
        <w:rPr>
          <w:lang w:val="en-GB"/>
        </w:rPr>
      </w:pPr>
    </w:p>
    <w:p w14:paraId="4EFD4607" w14:textId="77777777" w:rsidR="0057323A" w:rsidRPr="00610088" w:rsidRDefault="0057323A" w:rsidP="001B16D1">
      <w:pPr>
        <w:rPr>
          <w:lang w:val="en-GB"/>
        </w:rPr>
      </w:pPr>
      <w:r w:rsidRPr="00610088">
        <w:rPr>
          <w:lang w:val="en-GB"/>
        </w:rPr>
        <w:t xml:space="preserve">All respondents in the field assessment mentioned low community awareness of NCDs and their risk factors, with the majority also mentioning traditional explanations for the NCDs like witch gun/craft and other traditional belief and myths.  These factors contribute to poor health seeking behaviours for NCDs. Some respondents mentioned that traditional medicine (practitioners) should be incorporated into or linked in some way to the health facility setting to overcome some of these problems. </w:t>
      </w:r>
    </w:p>
    <w:p w14:paraId="6574588A" w14:textId="77777777" w:rsidR="0057323A" w:rsidRPr="00610088" w:rsidRDefault="0057323A" w:rsidP="001B16D1">
      <w:pPr>
        <w:rPr>
          <w:lang w:val="en-GB"/>
        </w:rPr>
      </w:pPr>
    </w:p>
    <w:p w14:paraId="3B759999" w14:textId="09019576" w:rsidR="0057323A" w:rsidRPr="00610088" w:rsidRDefault="0057323A" w:rsidP="001B16D1">
      <w:pPr>
        <w:rPr>
          <w:lang w:val="en-GB"/>
        </w:rPr>
      </w:pPr>
      <w:r w:rsidRPr="00610088">
        <w:rPr>
          <w:lang w:val="en-GB"/>
        </w:rPr>
        <w:t>There are limited health promotion programs for addressing modifiable risk factors in schools; although some workshop respondents mentioned that some education on this is done in the subject “Physical Health Education and promotion”.</w:t>
      </w:r>
    </w:p>
    <w:p w14:paraId="1CCF88D1" w14:textId="60C06F33" w:rsidR="009E1AAB" w:rsidRPr="00610088" w:rsidRDefault="009E1AAB" w:rsidP="001B16D1">
      <w:pPr>
        <w:rPr>
          <w:lang w:val="en-GB"/>
        </w:rPr>
      </w:pPr>
    </w:p>
    <w:p w14:paraId="42E6AA43" w14:textId="21A30640" w:rsidR="009E1AAB" w:rsidRPr="00610088" w:rsidRDefault="009E1AAB" w:rsidP="001B16D1">
      <w:pPr>
        <w:rPr>
          <w:lang w:val="en-GB"/>
        </w:rPr>
      </w:pPr>
      <w:r w:rsidRPr="00610088">
        <w:rPr>
          <w:lang w:val="en-GB"/>
        </w:rPr>
        <w:t xml:space="preserve">The effectiveness of health promotion for NCDs is not documented well for Sierra Leone. Two studies published in 2006 followed up on education in total 1,200 women on breast cancer and the importance of breast health during a “breast week” </w:t>
      </w:r>
      <w:r w:rsidRPr="00610088">
        <w:rPr>
          <w:rStyle w:val="EndnoteReference"/>
          <w:lang w:val="en-GB"/>
        </w:rPr>
        <w:endnoteReference w:id="85"/>
      </w:r>
      <w:r w:rsidRPr="00610088">
        <w:rPr>
          <w:vertAlign w:val="superscript"/>
          <w:lang w:val="en-GB"/>
        </w:rPr>
        <w:t xml:space="preserve">, </w:t>
      </w:r>
      <w:r w:rsidRPr="00610088">
        <w:rPr>
          <w:rStyle w:val="EndnoteReference"/>
          <w:lang w:val="en-GB"/>
        </w:rPr>
        <w:endnoteReference w:id="86"/>
      </w:r>
      <w:r w:rsidRPr="00610088">
        <w:rPr>
          <w:lang w:val="en-GB"/>
        </w:rPr>
        <w:t xml:space="preserve">.  The majority (96.6%) of a 10% sample had some knowledge of breast cancer after the week, indicating they were aware of the dangers. 91.7% of the women had never practised Breast Self-Examination (BSE) before the breast week. One year after the week 95% were able to demonstrate an effective BSE method of undertaking BSE. </w:t>
      </w:r>
    </w:p>
    <w:p w14:paraId="40E2F773" w14:textId="77777777" w:rsidR="002957EE" w:rsidRPr="00610088" w:rsidRDefault="002957EE" w:rsidP="009E1AAB">
      <w:pPr>
        <w:rPr>
          <w:lang w:val="en-GB"/>
        </w:rPr>
      </w:pPr>
    </w:p>
    <w:p w14:paraId="793EE5D1" w14:textId="5E4866B4" w:rsidR="00905A07" w:rsidRPr="00610088" w:rsidRDefault="00905A07" w:rsidP="001B16D1">
      <w:pPr>
        <w:rPr>
          <w:lang w:val="en-GB"/>
        </w:rPr>
      </w:pPr>
      <w:r w:rsidRPr="00610088">
        <w:rPr>
          <w:lang w:val="en-GB"/>
        </w:rPr>
        <w:t xml:space="preserve">“World Cancer day” is commemorated each year in Sierra Leone on the 4th of February and is supported by members of the Sierra Leone Cancer Society, supported by a number of charities and organisations with a focus on cancer within Sierra Leone (Including: </w:t>
      </w:r>
      <w:r w:rsidR="00C012E3" w:rsidRPr="00610088">
        <w:rPr>
          <w:lang w:val="en-GB"/>
        </w:rPr>
        <w:t xml:space="preserve">Thinking </w:t>
      </w:r>
      <w:r w:rsidRPr="00610088">
        <w:rPr>
          <w:lang w:val="en-GB"/>
        </w:rPr>
        <w:t>Pink, Well woman, Sierra Leone Cancer Charity (</w:t>
      </w:r>
      <w:r w:rsidR="00E01313" w:rsidRPr="00E01313">
        <w:rPr>
          <w:lang w:val="en-GB"/>
        </w:rPr>
        <w:t xml:space="preserve">Verna </w:t>
      </w:r>
      <w:proofErr w:type="spellStart"/>
      <w:r w:rsidR="00E01313" w:rsidRPr="00E01313">
        <w:rPr>
          <w:lang w:val="en-GB"/>
        </w:rPr>
        <w:t>Iscandari</w:t>
      </w:r>
      <w:proofErr w:type="spellEnd"/>
      <w:r w:rsidR="00E01313" w:rsidRPr="00E01313">
        <w:rPr>
          <w:lang w:val="en-GB"/>
        </w:rPr>
        <w:t xml:space="preserve">-Johnson Initiative </w:t>
      </w:r>
      <w:r w:rsidR="00E01313">
        <w:rPr>
          <w:lang w:val="en-GB"/>
        </w:rPr>
        <w:t xml:space="preserve">- </w:t>
      </w:r>
      <w:r w:rsidRPr="00610088">
        <w:rPr>
          <w:lang w:val="en-GB"/>
        </w:rPr>
        <w:t>VIJI), South Wales – Sierra Leone Cancer Care Link</w:t>
      </w:r>
      <w:r w:rsidR="00265667" w:rsidRPr="00610088">
        <w:rPr>
          <w:lang w:val="en-GB"/>
        </w:rPr>
        <w:t>, Cancer Registry</w:t>
      </w:r>
      <w:r w:rsidRPr="00610088">
        <w:rPr>
          <w:lang w:val="en-GB"/>
        </w:rPr>
        <w:t>)</w:t>
      </w:r>
      <w:r w:rsidR="00C012E3" w:rsidRPr="00610088">
        <w:rPr>
          <w:vertAlign w:val="superscript"/>
          <w:lang w:val="en-GB"/>
        </w:rPr>
        <w:fldChar w:fldCharType="begin"/>
      </w:r>
      <w:r w:rsidR="00C012E3" w:rsidRPr="00610088">
        <w:rPr>
          <w:vertAlign w:val="superscript"/>
          <w:lang w:val="en-GB"/>
        </w:rPr>
        <w:instrText xml:space="preserve"> NOTEREF _Ref32574577 \h  \* MERGEFORMAT </w:instrText>
      </w:r>
      <w:r w:rsidR="00C012E3" w:rsidRPr="00610088">
        <w:rPr>
          <w:vertAlign w:val="superscript"/>
          <w:lang w:val="en-GB"/>
        </w:rPr>
      </w:r>
      <w:r w:rsidR="00C012E3" w:rsidRPr="00610088">
        <w:rPr>
          <w:vertAlign w:val="superscript"/>
          <w:lang w:val="en-GB"/>
        </w:rPr>
        <w:fldChar w:fldCharType="separate"/>
      </w:r>
      <w:r w:rsidR="00CB360C">
        <w:rPr>
          <w:vertAlign w:val="superscript"/>
          <w:lang w:val="en-GB"/>
        </w:rPr>
        <w:t>133</w:t>
      </w:r>
      <w:r w:rsidR="00C012E3" w:rsidRPr="00610088">
        <w:rPr>
          <w:vertAlign w:val="superscript"/>
          <w:lang w:val="en-GB"/>
        </w:rPr>
        <w:fldChar w:fldCharType="end"/>
      </w:r>
      <w:r w:rsidR="00C012E3" w:rsidRPr="00610088">
        <w:rPr>
          <w:lang w:val="en-GB"/>
        </w:rPr>
        <w:t xml:space="preserve"> The same organisations work throughout the year on cancer prevention and awareness activities, especially regarding breast and cervical cancer.</w:t>
      </w:r>
      <w:r w:rsidR="00C012E3" w:rsidRPr="00610088">
        <w:rPr>
          <w:vertAlign w:val="superscript"/>
          <w:lang w:val="en-GB"/>
        </w:rPr>
        <w:fldChar w:fldCharType="begin"/>
      </w:r>
      <w:r w:rsidR="00C012E3" w:rsidRPr="00610088">
        <w:rPr>
          <w:vertAlign w:val="superscript"/>
          <w:lang w:val="en-GB"/>
        </w:rPr>
        <w:instrText xml:space="preserve"> NOTEREF _Ref32575237 \h  \* MERGEFORMAT </w:instrText>
      </w:r>
      <w:r w:rsidR="00C012E3" w:rsidRPr="00610088">
        <w:rPr>
          <w:vertAlign w:val="superscript"/>
          <w:lang w:val="en-GB"/>
        </w:rPr>
      </w:r>
      <w:r w:rsidR="00C012E3" w:rsidRPr="00610088">
        <w:rPr>
          <w:vertAlign w:val="superscript"/>
          <w:lang w:val="en-GB"/>
        </w:rPr>
        <w:fldChar w:fldCharType="separate"/>
      </w:r>
      <w:r w:rsidR="00CB360C">
        <w:rPr>
          <w:vertAlign w:val="superscript"/>
          <w:lang w:val="en-GB"/>
        </w:rPr>
        <w:t>79</w:t>
      </w:r>
      <w:r w:rsidR="00C012E3" w:rsidRPr="00610088">
        <w:rPr>
          <w:vertAlign w:val="superscript"/>
          <w:lang w:val="en-GB"/>
        </w:rPr>
        <w:fldChar w:fldCharType="end"/>
      </w:r>
    </w:p>
    <w:p w14:paraId="666B77AF" w14:textId="77777777" w:rsidR="001B16D1" w:rsidRDefault="001B16D1" w:rsidP="001B16D1">
      <w:pPr>
        <w:rPr>
          <w:lang w:val="en-GB"/>
        </w:rPr>
      </w:pPr>
    </w:p>
    <w:p w14:paraId="034AC291" w14:textId="7E7EED88" w:rsidR="007B3019" w:rsidRPr="00610088" w:rsidRDefault="00983A91" w:rsidP="001B16D1">
      <w:pPr>
        <w:rPr>
          <w:lang w:val="en-GB"/>
        </w:rPr>
      </w:pPr>
      <w:r w:rsidRPr="00610088">
        <w:rPr>
          <w:lang w:val="en-GB"/>
        </w:rPr>
        <w:t>Transform Freetown 2019-2022</w:t>
      </w:r>
      <w:bookmarkStart w:id="80" w:name="_Ref32689145"/>
      <w:r w:rsidRPr="00610088">
        <w:rPr>
          <w:rStyle w:val="EndnoteReference"/>
          <w:lang w:val="en-GB"/>
        </w:rPr>
        <w:endnoteReference w:id="87"/>
      </w:r>
      <w:bookmarkEnd w:id="80"/>
      <w:r w:rsidRPr="00610088">
        <w:rPr>
          <w:lang w:val="en-GB"/>
        </w:rPr>
        <w:t>, an initiative of the Freetown city council in the areas of Resilience, Human Development, Healthy City and Urban mobility includes a specific target for NCDs (target 2: By 2022, increase by 20% the adoption of healthy behaviours to reduce specific non-communicable conditions (</w:t>
      </w:r>
      <w:r w:rsidRPr="00610088">
        <w:rPr>
          <w:i/>
          <w:iCs/>
          <w:lang w:val="en-GB"/>
        </w:rPr>
        <w:t>diabetes, hypertension, reproductive cancers, mental health and substance abuse</w:t>
      </w:r>
      <w:r w:rsidRPr="00610088">
        <w:rPr>
          <w:lang w:val="en-GB"/>
        </w:rPr>
        <w:t xml:space="preserve">). The NCD Transform Freetown Health Working Group is working on a screening and referral pathway and on the Healthy </w:t>
      </w:r>
      <w:proofErr w:type="spellStart"/>
      <w:r w:rsidRPr="00610088">
        <w:rPr>
          <w:lang w:val="en-GB"/>
        </w:rPr>
        <w:t>Freetonians</w:t>
      </w:r>
      <w:proofErr w:type="spellEnd"/>
      <w:r w:rsidRPr="00610088">
        <w:rPr>
          <w:lang w:val="en-GB"/>
        </w:rPr>
        <w:t xml:space="preserve">’ Campaign: </w:t>
      </w:r>
      <w:proofErr w:type="spellStart"/>
      <w:proofErr w:type="gramStart"/>
      <w:r w:rsidRPr="00610088">
        <w:rPr>
          <w:i/>
          <w:iCs/>
          <w:lang w:val="en-GB"/>
        </w:rPr>
        <w:t>You</w:t>
      </w:r>
      <w:proofErr w:type="spellEnd"/>
      <w:proofErr w:type="gramEnd"/>
      <w:r w:rsidRPr="00610088">
        <w:rPr>
          <w:i/>
          <w:iCs/>
          <w:lang w:val="en-GB"/>
        </w:rPr>
        <w:t xml:space="preserve"> life depend pan you lifestyle</w:t>
      </w:r>
      <w:r w:rsidRPr="00610088">
        <w:rPr>
          <w:lang w:val="en-GB"/>
        </w:rPr>
        <w:t>! which includes health awareness days, health festivals and health promoting schools.</w:t>
      </w:r>
      <w:bookmarkStart w:id="81" w:name="_Ref32689240"/>
      <w:r w:rsidR="004A05C8" w:rsidRPr="00610088">
        <w:rPr>
          <w:rStyle w:val="EndnoteReference"/>
          <w:lang w:val="en-GB"/>
        </w:rPr>
        <w:endnoteReference w:id="88"/>
      </w:r>
      <w:bookmarkEnd w:id="81"/>
      <w:r w:rsidR="00C012E3" w:rsidRPr="00610088">
        <w:rPr>
          <w:vertAlign w:val="superscript"/>
          <w:lang w:val="en-GB"/>
        </w:rPr>
        <w:t>,</w:t>
      </w:r>
      <w:bookmarkStart w:id="82" w:name="_Ref32689255"/>
      <w:r w:rsidRPr="00610088">
        <w:rPr>
          <w:rStyle w:val="EndnoteReference"/>
          <w:lang w:val="en-GB"/>
        </w:rPr>
        <w:endnoteReference w:id="89"/>
      </w:r>
      <w:bookmarkEnd w:id="82"/>
    </w:p>
    <w:p w14:paraId="18FA24A7" w14:textId="2D440CD0" w:rsidR="007B3019" w:rsidRPr="00610088" w:rsidRDefault="007B3019" w:rsidP="007B3019">
      <w:pPr>
        <w:pStyle w:val="Heading4"/>
        <w:rPr>
          <w:lang w:val="en-GB"/>
        </w:rPr>
      </w:pPr>
      <w:r w:rsidRPr="00610088">
        <w:rPr>
          <w:lang w:val="en-GB"/>
        </w:rPr>
        <w:lastRenderedPageBreak/>
        <w:t>PWD access to services</w:t>
      </w:r>
    </w:p>
    <w:p w14:paraId="35D15258" w14:textId="24BFCC8C" w:rsidR="007B3019" w:rsidRPr="00610088" w:rsidRDefault="007B3019" w:rsidP="001B16D1">
      <w:pPr>
        <w:rPr>
          <w:lang w:val="en-GB"/>
        </w:rPr>
      </w:pPr>
      <w:r w:rsidRPr="00610088">
        <w:rPr>
          <w:lang w:val="en-GB"/>
        </w:rPr>
        <w:t>The 2011 UN report on Rights of People with Disabilities in Sierra Leone</w:t>
      </w:r>
      <w:r w:rsidR="00C63E9A" w:rsidRPr="00610088">
        <w:rPr>
          <w:lang w:val="en-GB"/>
        </w:rPr>
        <w:t xml:space="preserve"> </w:t>
      </w:r>
      <w:r w:rsidR="00C63E9A" w:rsidRPr="00610088">
        <w:rPr>
          <w:rStyle w:val="EndnoteReference"/>
          <w:lang w:val="en-GB"/>
        </w:rPr>
        <w:endnoteReference w:id="90"/>
      </w:r>
      <w:r w:rsidRPr="00610088">
        <w:rPr>
          <w:lang w:val="en-GB"/>
        </w:rPr>
        <w:t xml:space="preserve"> noted largely indirect discrimination in health access for PWD with transport, accessibility, affordability and communication obstacles. The report also noted the absence of (allocation of) resources to provide free medical care to PWD. People with mental /psychosocial disabilities were particularly disadvantaged due to stigma.</w:t>
      </w:r>
    </w:p>
    <w:p w14:paraId="299258E7" w14:textId="77777777" w:rsidR="0057323A" w:rsidRPr="00610088" w:rsidRDefault="0057323A" w:rsidP="001B16D1">
      <w:pPr>
        <w:rPr>
          <w:lang w:val="en-GB"/>
        </w:rPr>
      </w:pPr>
    </w:p>
    <w:p w14:paraId="6E6952FB" w14:textId="5AC4AA53" w:rsidR="0057323A" w:rsidRPr="00610088" w:rsidRDefault="0057323A" w:rsidP="00B82C13">
      <w:pPr>
        <w:pStyle w:val="Heading3"/>
        <w:rPr>
          <w:lang w:val="en-GB"/>
        </w:rPr>
      </w:pPr>
      <w:bookmarkStart w:id="83" w:name="_Toc41370551"/>
      <w:r w:rsidRPr="00610088">
        <w:rPr>
          <w:lang w:val="en-GB"/>
        </w:rPr>
        <w:t>Drugs, supplies, equipment</w:t>
      </w:r>
      <w:bookmarkEnd w:id="83"/>
    </w:p>
    <w:p w14:paraId="499FFF1E" w14:textId="77CE718A" w:rsidR="001E5BF3" w:rsidRPr="00610088" w:rsidRDefault="001E5BF3" w:rsidP="001B16D1">
      <w:pPr>
        <w:rPr>
          <w:lang w:val="en-GB"/>
        </w:rPr>
      </w:pPr>
      <w:r w:rsidRPr="00610088">
        <w:rPr>
          <w:lang w:val="en-GB"/>
        </w:rPr>
        <w:t xml:space="preserve">The 2017 SARA survey </w:t>
      </w:r>
      <w:r w:rsidRPr="00610088">
        <w:rPr>
          <w:vertAlign w:val="superscript"/>
          <w:lang w:val="en-GB"/>
        </w:rPr>
        <w:fldChar w:fldCharType="begin"/>
      </w:r>
      <w:r w:rsidRPr="00610088">
        <w:rPr>
          <w:vertAlign w:val="superscript"/>
          <w:lang w:val="en-GB"/>
        </w:rPr>
        <w:instrText xml:space="preserve"> NOTEREF _Ref17185534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108</w:t>
      </w:r>
      <w:r w:rsidRPr="00610088">
        <w:rPr>
          <w:vertAlign w:val="superscript"/>
          <w:lang w:val="en-GB"/>
        </w:rPr>
        <w:fldChar w:fldCharType="end"/>
      </w:r>
      <w:r w:rsidRPr="00610088">
        <w:rPr>
          <w:vertAlign w:val="superscript"/>
          <w:lang w:val="en-GB"/>
        </w:rPr>
        <w:t xml:space="preserve"> </w:t>
      </w:r>
      <w:r w:rsidRPr="00610088">
        <w:rPr>
          <w:lang w:val="en-GB"/>
        </w:rPr>
        <w:t xml:space="preserve"> showed low availability at health facilities of items for cardiovascular diseases (Amlodipine or alternative calcium channel blocker 5%, Aspirin 29%, Beta blocker 5%, Enalapril tablet or alternative </w:t>
      </w:r>
      <w:r w:rsidR="00400D15">
        <w:rPr>
          <w:lang w:val="en-GB"/>
        </w:rPr>
        <w:t>Angiotensin-converting enzyme (</w:t>
      </w:r>
      <w:r w:rsidRPr="00610088">
        <w:rPr>
          <w:lang w:val="en-GB"/>
        </w:rPr>
        <w:t>ACE</w:t>
      </w:r>
      <w:r w:rsidR="00400D15">
        <w:rPr>
          <w:lang w:val="en-GB"/>
        </w:rPr>
        <w:t>)</w:t>
      </w:r>
      <w:r w:rsidRPr="00610088">
        <w:rPr>
          <w:lang w:val="en-GB"/>
        </w:rPr>
        <w:t xml:space="preserve"> inhibitor 4%, thiazide 5%), chronic respiratory diseases (beclomethasone inhaler 2%, salbutamol inhaler 5%), diabetes (insulin regular injection 3%, metformin tablet 5%, </w:t>
      </w:r>
      <w:proofErr w:type="spellStart"/>
      <w:r w:rsidRPr="00610088">
        <w:rPr>
          <w:lang w:val="en-GB"/>
        </w:rPr>
        <w:t>gliben</w:t>
      </w:r>
      <w:r w:rsidR="00703145" w:rsidRPr="00610088">
        <w:rPr>
          <w:lang w:val="en-GB"/>
        </w:rPr>
        <w:t>cl</w:t>
      </w:r>
      <w:r w:rsidRPr="00610088">
        <w:rPr>
          <w:lang w:val="en-GB"/>
        </w:rPr>
        <w:t>amide</w:t>
      </w:r>
      <w:proofErr w:type="spellEnd"/>
      <w:r w:rsidRPr="00610088">
        <w:rPr>
          <w:lang w:val="en-GB"/>
        </w:rPr>
        <w:t xml:space="preserve"> 3%) and other NCD (risk) conditions (omeprazole tablet or alternative 38%, simvastatin tablet or other statin 2%, carbamazepine tablet 1%, Haloperidol tablet 1%). </w:t>
      </w:r>
    </w:p>
    <w:p w14:paraId="0203E109" w14:textId="77777777" w:rsidR="00C55E9D" w:rsidRPr="00610088" w:rsidRDefault="00C55E9D" w:rsidP="001B16D1">
      <w:pPr>
        <w:rPr>
          <w:lang w:val="en-GB"/>
        </w:rPr>
      </w:pPr>
    </w:p>
    <w:p w14:paraId="1FFF6C45" w14:textId="36700BD1" w:rsidR="0057323A" w:rsidRPr="00610088" w:rsidRDefault="001E5BF3" w:rsidP="001B16D1">
      <w:pPr>
        <w:rPr>
          <w:lang w:val="en-GB"/>
        </w:rPr>
      </w:pPr>
      <w:r w:rsidRPr="00610088">
        <w:rPr>
          <w:lang w:val="en-GB"/>
        </w:rPr>
        <w:t>The field assessment and the national level stakeholder consultations in 2019 showed that at all levels there are in</w:t>
      </w:r>
      <w:r w:rsidR="0057323A" w:rsidRPr="00610088">
        <w:rPr>
          <w:lang w:val="en-GB"/>
        </w:rPr>
        <w:t>adequate</w:t>
      </w:r>
      <w:r w:rsidRPr="00610088">
        <w:rPr>
          <w:lang w:val="en-GB"/>
        </w:rPr>
        <w:t xml:space="preserve"> numbers of</w:t>
      </w:r>
      <w:r w:rsidR="0057323A" w:rsidRPr="00610088">
        <w:rPr>
          <w:lang w:val="en-GB"/>
        </w:rPr>
        <w:t xml:space="preserve"> functional BP</w:t>
      </w:r>
      <w:r w:rsidRPr="00610088">
        <w:rPr>
          <w:lang w:val="en-GB"/>
        </w:rPr>
        <w:t xml:space="preserve"> and blood glucose</w:t>
      </w:r>
      <w:r w:rsidR="0057323A" w:rsidRPr="00610088">
        <w:rPr>
          <w:lang w:val="en-GB"/>
        </w:rPr>
        <w:t xml:space="preserve"> machines</w:t>
      </w:r>
      <w:r w:rsidRPr="00610088">
        <w:rPr>
          <w:lang w:val="en-GB"/>
        </w:rPr>
        <w:t xml:space="preserve"> in public facilities, while oxygen concentrators are a challenge at hospital level. </w:t>
      </w:r>
      <w:r w:rsidR="0057323A" w:rsidRPr="00610088">
        <w:rPr>
          <w:lang w:val="en-GB"/>
        </w:rPr>
        <w:t xml:space="preserve"> </w:t>
      </w:r>
      <w:r w:rsidRPr="00610088">
        <w:rPr>
          <w:lang w:val="en-GB"/>
        </w:rPr>
        <w:t xml:space="preserve">There are almost no NCD drugs or supplies in public facilities, also due to a non-functional cost recovery system. During the field assessment mostly </w:t>
      </w:r>
      <w:r w:rsidR="0057323A" w:rsidRPr="00610088">
        <w:rPr>
          <w:lang w:val="en-GB"/>
        </w:rPr>
        <w:t>FHCI, RH/FP and Communicable disease (TB/HIV, malaria) supplies</w:t>
      </w:r>
      <w:r w:rsidRPr="00610088">
        <w:rPr>
          <w:lang w:val="en-GB"/>
        </w:rPr>
        <w:t xml:space="preserve"> were met at the facilities and the district and hospital medical stores.  There are a few exceptions in facilities and districts where a local council has a supplementary drug budget or where NGOs are supporting (</w:t>
      </w:r>
      <w:proofErr w:type="gramStart"/>
      <w:r w:rsidRPr="00610088">
        <w:rPr>
          <w:lang w:val="en-GB"/>
        </w:rPr>
        <w:t>e.g.</w:t>
      </w:r>
      <w:proofErr w:type="gramEnd"/>
      <w:r w:rsidRPr="00610088">
        <w:rPr>
          <w:lang w:val="en-GB"/>
        </w:rPr>
        <w:t xml:space="preserve"> Bo city council and NGO PIH in </w:t>
      </w:r>
      <w:proofErr w:type="spellStart"/>
      <w:r w:rsidRPr="00610088">
        <w:rPr>
          <w:lang w:val="en-GB"/>
        </w:rPr>
        <w:t>Kono</w:t>
      </w:r>
      <w:proofErr w:type="spellEnd"/>
      <w:r w:rsidRPr="00610088">
        <w:rPr>
          <w:lang w:val="en-GB"/>
        </w:rPr>
        <w:t xml:space="preserve"> Government Hospital). </w:t>
      </w:r>
    </w:p>
    <w:p w14:paraId="73FCF658" w14:textId="77777777" w:rsidR="001E5BF3" w:rsidRPr="00610088" w:rsidRDefault="001E5BF3" w:rsidP="001B16D1">
      <w:pPr>
        <w:rPr>
          <w:lang w:val="en-GB"/>
        </w:rPr>
      </w:pPr>
    </w:p>
    <w:p w14:paraId="0D5CADA0" w14:textId="4AE95AC0" w:rsidR="000C4BF8" w:rsidRPr="00610088" w:rsidRDefault="000C4BF8" w:rsidP="001B16D1">
      <w:pPr>
        <w:rPr>
          <w:lang w:val="en-GB"/>
        </w:rPr>
      </w:pPr>
      <w:r w:rsidRPr="00610088">
        <w:rPr>
          <w:lang w:val="en-GB"/>
        </w:rPr>
        <w:t xml:space="preserve">During the CHO-MLTP program </w:t>
      </w:r>
      <w:r w:rsidRPr="00610088">
        <w:rPr>
          <w:vertAlign w:val="superscript"/>
          <w:lang w:val="en-GB"/>
        </w:rPr>
        <w:fldChar w:fldCharType="begin"/>
      </w:r>
      <w:r w:rsidRPr="00610088">
        <w:rPr>
          <w:vertAlign w:val="superscript"/>
          <w:lang w:val="en-GB"/>
        </w:rPr>
        <w:instrText xml:space="preserve"> NOTEREF _Ref17258554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203</w:t>
      </w:r>
      <w:r w:rsidRPr="00610088">
        <w:rPr>
          <w:vertAlign w:val="superscript"/>
          <w:lang w:val="en-GB"/>
        </w:rPr>
        <w:fldChar w:fldCharType="end"/>
      </w:r>
      <w:r w:rsidRPr="00610088">
        <w:rPr>
          <w:vertAlign w:val="superscript"/>
          <w:lang w:val="en-GB"/>
        </w:rPr>
        <w:t>,</w:t>
      </w:r>
      <w:r w:rsidRPr="00610088">
        <w:rPr>
          <w:vertAlign w:val="superscript"/>
          <w:lang w:val="en-GB"/>
        </w:rPr>
        <w:fldChar w:fldCharType="begin"/>
      </w:r>
      <w:r w:rsidRPr="00610088">
        <w:rPr>
          <w:vertAlign w:val="superscript"/>
          <w:lang w:val="en-GB"/>
        </w:rPr>
        <w:instrText xml:space="preserve"> NOTEREF _Ref17258556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204</w:t>
      </w:r>
      <w:r w:rsidRPr="00610088">
        <w:rPr>
          <w:vertAlign w:val="superscript"/>
          <w:lang w:val="en-GB"/>
        </w:rPr>
        <w:fldChar w:fldCharType="end"/>
      </w:r>
      <w:r w:rsidRPr="00610088">
        <w:rPr>
          <w:lang w:val="en-GB"/>
        </w:rPr>
        <w:t xml:space="preserve"> hypertension screening intervention it was noted that there were inadequate </w:t>
      </w:r>
      <w:r w:rsidR="00400D15">
        <w:rPr>
          <w:lang w:val="en-GB"/>
        </w:rPr>
        <w:t>blood pressure (BP)</w:t>
      </w:r>
      <w:r w:rsidRPr="00610088">
        <w:rPr>
          <w:lang w:val="en-GB"/>
        </w:rPr>
        <w:t xml:space="preserve"> machines for hypertension screening and lack of different BP cuff sizes for accurate BP reading. CDC</w:t>
      </w:r>
      <w:r w:rsidR="002E6DF3">
        <w:rPr>
          <w:lang w:val="en-GB"/>
        </w:rPr>
        <w:t xml:space="preserve"> (</w:t>
      </w:r>
      <w:proofErr w:type="spellStart"/>
      <w:r w:rsidR="002E6DF3">
        <w:rPr>
          <w:lang w:val="en-GB"/>
        </w:rPr>
        <w:t>Centers</w:t>
      </w:r>
      <w:proofErr w:type="spellEnd"/>
      <w:r w:rsidR="002E6DF3">
        <w:rPr>
          <w:lang w:val="en-GB"/>
        </w:rPr>
        <w:t xml:space="preserve"> for Disease Control and Prevention)</w:t>
      </w:r>
      <w:r w:rsidRPr="00610088">
        <w:rPr>
          <w:lang w:val="en-GB"/>
        </w:rPr>
        <w:t xml:space="preserve"> capacitated the 69 participating CHCs (in 10 districts) with BP machines which facilitated BP checks. </w:t>
      </w:r>
      <w:r w:rsidR="00B96B3A" w:rsidRPr="00610088">
        <w:rPr>
          <w:lang w:val="en-GB"/>
        </w:rPr>
        <w:t xml:space="preserve">The program also noted that there was a widespread stock out of basic essential anti-hypertensive drugs at the primary health care facilities. </w:t>
      </w:r>
    </w:p>
    <w:p w14:paraId="133D4AC5" w14:textId="77777777" w:rsidR="000C4BF8" w:rsidRPr="00610088" w:rsidRDefault="000C4BF8" w:rsidP="0057323A">
      <w:pPr>
        <w:rPr>
          <w:lang w:val="en-GB"/>
        </w:rPr>
      </w:pPr>
    </w:p>
    <w:p w14:paraId="22063A20" w14:textId="77777777" w:rsidR="0057323A" w:rsidRPr="00610088" w:rsidRDefault="0057323A" w:rsidP="00B82C13">
      <w:pPr>
        <w:pStyle w:val="Heading3"/>
        <w:rPr>
          <w:lang w:val="en-GB"/>
        </w:rPr>
      </w:pPr>
      <w:bookmarkStart w:id="84" w:name="_Toc41370552"/>
      <w:r w:rsidRPr="00610088">
        <w:rPr>
          <w:lang w:val="en-GB"/>
        </w:rPr>
        <w:t>M&amp;E including surveillance and research</w:t>
      </w:r>
      <w:bookmarkEnd w:id="84"/>
    </w:p>
    <w:p w14:paraId="7EB7A50A" w14:textId="473EE325" w:rsidR="008259C9" w:rsidRPr="00610088" w:rsidRDefault="008259C9" w:rsidP="001B16D1">
      <w:pPr>
        <w:rPr>
          <w:lang w:val="en-GB"/>
        </w:rPr>
      </w:pPr>
      <w:r w:rsidRPr="00610088">
        <w:rPr>
          <w:lang w:val="en-GB"/>
        </w:rPr>
        <w:t xml:space="preserve">Regular DHIS / </w:t>
      </w:r>
      <w:proofErr w:type="spellStart"/>
      <w:r w:rsidR="00156C15">
        <w:rPr>
          <w:lang w:val="en-GB"/>
        </w:rPr>
        <w:t>MoHS</w:t>
      </w:r>
      <w:proofErr w:type="spellEnd"/>
      <w:r w:rsidRPr="00610088">
        <w:rPr>
          <w:lang w:val="en-GB"/>
        </w:rPr>
        <w:t xml:space="preserve"> data collection forms and patient registers are used for NCD service data. This includes PHU forms on morbidity (</w:t>
      </w:r>
      <w:r w:rsidR="00AF38D4">
        <w:rPr>
          <w:lang w:val="en-GB"/>
        </w:rPr>
        <w:t>PHU data collection form 1 (</w:t>
      </w:r>
      <w:r w:rsidRPr="00610088">
        <w:rPr>
          <w:lang w:val="en-GB"/>
        </w:rPr>
        <w:t>PHUF1</w:t>
      </w:r>
      <w:r w:rsidR="00AF38D4">
        <w:rPr>
          <w:lang w:val="en-GB"/>
        </w:rPr>
        <w:t>)</w:t>
      </w:r>
      <w:r w:rsidRPr="00610088">
        <w:rPr>
          <w:lang w:val="en-GB"/>
        </w:rPr>
        <w:t>) and mortality (PHUF5) and the hospital in- and outpatient forms (F1, F2). Some relevant information is also found on PHUF7 (semi-permanent data)</w:t>
      </w:r>
      <w:r w:rsidR="00BF31B7" w:rsidRPr="00610088">
        <w:rPr>
          <w:lang w:val="en-GB"/>
        </w:rPr>
        <w:t xml:space="preserve"> </w:t>
      </w:r>
      <w:proofErr w:type="gramStart"/>
      <w:r w:rsidR="00BF31B7" w:rsidRPr="00610088">
        <w:rPr>
          <w:lang w:val="en-GB"/>
        </w:rPr>
        <w:t>e.g.</w:t>
      </w:r>
      <w:proofErr w:type="gramEnd"/>
      <w:r w:rsidR="00BF31B7" w:rsidRPr="00610088">
        <w:rPr>
          <w:lang w:val="en-GB"/>
        </w:rPr>
        <w:t xml:space="preserve"> presence/functioning of equipment like </w:t>
      </w:r>
      <w:r w:rsidRPr="00610088">
        <w:rPr>
          <w:lang w:val="en-GB"/>
        </w:rPr>
        <w:t>BP machine, stethoscope, oxygen cylinder</w:t>
      </w:r>
      <w:r w:rsidR="00BF31B7" w:rsidRPr="00610088">
        <w:rPr>
          <w:lang w:val="en-GB"/>
        </w:rPr>
        <w:t xml:space="preserve"> and scales. The </w:t>
      </w:r>
      <w:r w:rsidR="00AF38D4">
        <w:rPr>
          <w:lang w:val="en-GB"/>
        </w:rPr>
        <w:t>Report Request Issue Voucher (</w:t>
      </w:r>
      <w:r w:rsidR="00BF31B7" w:rsidRPr="00610088">
        <w:rPr>
          <w:lang w:val="en-GB"/>
        </w:rPr>
        <w:t>RRIV</w:t>
      </w:r>
      <w:r w:rsidR="00AF38D4">
        <w:rPr>
          <w:lang w:val="en-GB"/>
        </w:rPr>
        <w:t>)</w:t>
      </w:r>
      <w:r w:rsidR="00BF31B7" w:rsidRPr="00610088">
        <w:rPr>
          <w:lang w:val="en-GB"/>
        </w:rPr>
        <w:t xml:space="preserve"> forms capture supply, use and stock level of drugs and other supplies, which includes some NCD items. </w:t>
      </w:r>
    </w:p>
    <w:p w14:paraId="6CADADAD" w14:textId="5DECA767" w:rsidR="008259C9" w:rsidRPr="00610088" w:rsidRDefault="008259C9" w:rsidP="001B16D1">
      <w:pPr>
        <w:rPr>
          <w:lang w:val="en-GB"/>
        </w:rPr>
      </w:pPr>
    </w:p>
    <w:p w14:paraId="7FE9B46D" w14:textId="72CF35F1" w:rsidR="0057323A" w:rsidRPr="00610088" w:rsidRDefault="008259C9" w:rsidP="001B16D1">
      <w:pPr>
        <w:rPr>
          <w:lang w:val="en-GB"/>
        </w:rPr>
      </w:pPr>
      <w:r w:rsidRPr="00610088">
        <w:rPr>
          <w:lang w:val="en-GB"/>
        </w:rPr>
        <w:t>There is however l</w:t>
      </w:r>
      <w:r w:rsidR="000C4BF8" w:rsidRPr="00610088">
        <w:rPr>
          <w:lang w:val="en-GB"/>
        </w:rPr>
        <w:t xml:space="preserve">imited provision for NCD individual and aggregated data in the current DHIS data tools (forms and registers). For </w:t>
      </w:r>
      <w:proofErr w:type="gramStart"/>
      <w:r w:rsidR="000C4BF8" w:rsidRPr="00610088">
        <w:rPr>
          <w:lang w:val="en-GB"/>
        </w:rPr>
        <w:t>example</w:t>
      </w:r>
      <w:proofErr w:type="gramEnd"/>
      <w:r w:rsidR="000C4BF8" w:rsidRPr="00610088">
        <w:rPr>
          <w:lang w:val="en-GB"/>
        </w:rPr>
        <w:t xml:space="preserve"> the during the CHO-MLTP </w:t>
      </w:r>
      <w:r w:rsidR="000C4BF8" w:rsidRPr="00610088">
        <w:rPr>
          <w:vertAlign w:val="superscript"/>
          <w:lang w:val="en-GB"/>
        </w:rPr>
        <w:fldChar w:fldCharType="begin"/>
      </w:r>
      <w:r w:rsidR="000C4BF8" w:rsidRPr="00610088">
        <w:rPr>
          <w:vertAlign w:val="superscript"/>
          <w:lang w:val="en-GB"/>
        </w:rPr>
        <w:instrText xml:space="preserve"> NOTEREF _Ref17258554 \h  \* MERGEFORMAT </w:instrText>
      </w:r>
      <w:r w:rsidR="000C4BF8" w:rsidRPr="00610088">
        <w:rPr>
          <w:vertAlign w:val="superscript"/>
          <w:lang w:val="en-GB"/>
        </w:rPr>
      </w:r>
      <w:r w:rsidR="000C4BF8" w:rsidRPr="00610088">
        <w:rPr>
          <w:vertAlign w:val="superscript"/>
          <w:lang w:val="en-GB"/>
        </w:rPr>
        <w:fldChar w:fldCharType="separate"/>
      </w:r>
      <w:r w:rsidR="00CB360C">
        <w:rPr>
          <w:vertAlign w:val="superscript"/>
          <w:lang w:val="en-GB"/>
        </w:rPr>
        <w:t>203</w:t>
      </w:r>
      <w:r w:rsidR="000C4BF8" w:rsidRPr="00610088">
        <w:rPr>
          <w:vertAlign w:val="superscript"/>
          <w:lang w:val="en-GB"/>
        </w:rPr>
        <w:fldChar w:fldCharType="end"/>
      </w:r>
      <w:r w:rsidR="000C4BF8" w:rsidRPr="00610088">
        <w:rPr>
          <w:vertAlign w:val="superscript"/>
          <w:lang w:val="en-GB"/>
        </w:rPr>
        <w:t>,</w:t>
      </w:r>
      <w:r w:rsidR="000C4BF8" w:rsidRPr="00610088">
        <w:rPr>
          <w:vertAlign w:val="superscript"/>
          <w:lang w:val="en-GB"/>
        </w:rPr>
        <w:fldChar w:fldCharType="begin"/>
      </w:r>
      <w:r w:rsidR="000C4BF8" w:rsidRPr="00610088">
        <w:rPr>
          <w:vertAlign w:val="superscript"/>
          <w:lang w:val="en-GB"/>
        </w:rPr>
        <w:instrText xml:space="preserve"> NOTEREF _Ref17258556 \h  \* MERGEFORMAT </w:instrText>
      </w:r>
      <w:r w:rsidR="000C4BF8" w:rsidRPr="00610088">
        <w:rPr>
          <w:vertAlign w:val="superscript"/>
          <w:lang w:val="en-GB"/>
        </w:rPr>
      </w:r>
      <w:r w:rsidR="000C4BF8" w:rsidRPr="00610088">
        <w:rPr>
          <w:vertAlign w:val="superscript"/>
          <w:lang w:val="en-GB"/>
        </w:rPr>
        <w:fldChar w:fldCharType="separate"/>
      </w:r>
      <w:r w:rsidR="00CB360C">
        <w:rPr>
          <w:vertAlign w:val="superscript"/>
          <w:lang w:val="en-GB"/>
        </w:rPr>
        <w:t>204</w:t>
      </w:r>
      <w:r w:rsidR="000C4BF8" w:rsidRPr="00610088">
        <w:rPr>
          <w:vertAlign w:val="superscript"/>
          <w:lang w:val="en-GB"/>
        </w:rPr>
        <w:fldChar w:fldCharType="end"/>
      </w:r>
      <w:r w:rsidR="000C4BF8" w:rsidRPr="00610088">
        <w:rPr>
          <w:lang w:val="en-GB"/>
        </w:rPr>
        <w:t xml:space="preserve"> hypertension screening intervention it was noted that there is no allocated space in the PHU OPD</w:t>
      </w:r>
      <w:r w:rsidR="001D1F74">
        <w:rPr>
          <w:lang w:val="en-GB"/>
        </w:rPr>
        <w:t xml:space="preserve"> (outpatient department)</w:t>
      </w:r>
      <w:r w:rsidR="000C4BF8" w:rsidRPr="00610088">
        <w:rPr>
          <w:lang w:val="en-GB"/>
        </w:rPr>
        <w:t xml:space="preserve"> register to document the blood pressure value.  </w:t>
      </w:r>
      <w:r w:rsidR="00BF31B7" w:rsidRPr="00610088">
        <w:rPr>
          <w:lang w:val="en-GB"/>
        </w:rPr>
        <w:t xml:space="preserve">On the morbidity forms many NCD conditions, like CRD, are missing. </w:t>
      </w:r>
    </w:p>
    <w:p w14:paraId="16CCB569" w14:textId="77777777" w:rsidR="008259C9" w:rsidRPr="00610088" w:rsidRDefault="008259C9" w:rsidP="001B16D1">
      <w:pPr>
        <w:rPr>
          <w:lang w:val="en-GB"/>
        </w:rPr>
      </w:pPr>
    </w:p>
    <w:p w14:paraId="35EDDAC4" w14:textId="58DD185D" w:rsidR="008259C9" w:rsidRPr="00610088" w:rsidRDefault="008259C9" w:rsidP="001B16D1">
      <w:pPr>
        <w:rPr>
          <w:lang w:val="en-GB"/>
        </w:rPr>
      </w:pPr>
      <w:r w:rsidRPr="00610088">
        <w:rPr>
          <w:lang w:val="en-GB"/>
        </w:rPr>
        <w:t xml:space="preserve">PIH developed separate NCD forms and register for use the OPD of the </w:t>
      </w:r>
      <w:proofErr w:type="spellStart"/>
      <w:r w:rsidRPr="00610088">
        <w:rPr>
          <w:lang w:val="en-GB"/>
        </w:rPr>
        <w:t>Kono</w:t>
      </w:r>
      <w:proofErr w:type="spellEnd"/>
      <w:r w:rsidRPr="00610088">
        <w:rPr>
          <w:lang w:val="en-GB"/>
        </w:rPr>
        <w:t xml:space="preserve"> Government Hospital, while a same exercise is ongoing at the OPD of Bo Government Hospital. </w:t>
      </w:r>
    </w:p>
    <w:p w14:paraId="490BF838" w14:textId="6B3E51D6" w:rsidR="008259C9" w:rsidRPr="00610088" w:rsidRDefault="008259C9" w:rsidP="001B16D1">
      <w:pPr>
        <w:rPr>
          <w:lang w:val="en-GB"/>
        </w:rPr>
      </w:pPr>
    </w:p>
    <w:p w14:paraId="58366EE4" w14:textId="6A6F7005" w:rsidR="00A33BF5" w:rsidRPr="00610088" w:rsidRDefault="008259C9" w:rsidP="001B16D1">
      <w:pPr>
        <w:rPr>
          <w:lang w:val="en-GB"/>
        </w:rPr>
      </w:pPr>
      <w:r w:rsidRPr="00610088">
        <w:rPr>
          <w:lang w:val="en-GB"/>
        </w:rPr>
        <w:t xml:space="preserve">The national cancer registry was launched in </w:t>
      </w:r>
      <w:r w:rsidR="00205604" w:rsidRPr="00610088">
        <w:rPr>
          <w:lang w:val="en-GB"/>
        </w:rPr>
        <w:t xml:space="preserve">June 2012 </w:t>
      </w:r>
      <w:r w:rsidR="004839BA" w:rsidRPr="00610088">
        <w:rPr>
          <w:lang w:val="en-GB"/>
        </w:rPr>
        <w:t>with funding from the Sierra Leone Cancer Charity (VIJI)</w:t>
      </w:r>
      <w:r w:rsidR="00A00B4E" w:rsidRPr="00610088">
        <w:rPr>
          <w:vertAlign w:val="superscript"/>
          <w:lang w:val="en-GB"/>
        </w:rPr>
        <w:fldChar w:fldCharType="begin"/>
      </w:r>
      <w:r w:rsidR="00A00B4E" w:rsidRPr="00610088">
        <w:rPr>
          <w:vertAlign w:val="superscript"/>
          <w:lang w:val="en-GB"/>
        </w:rPr>
        <w:instrText xml:space="preserve"> NOTEREF _Ref32574577 \h  \* MERGEFORMAT </w:instrText>
      </w:r>
      <w:r w:rsidR="00A00B4E" w:rsidRPr="00610088">
        <w:rPr>
          <w:vertAlign w:val="superscript"/>
          <w:lang w:val="en-GB"/>
        </w:rPr>
      </w:r>
      <w:r w:rsidR="00A00B4E" w:rsidRPr="00610088">
        <w:rPr>
          <w:vertAlign w:val="superscript"/>
          <w:lang w:val="en-GB"/>
        </w:rPr>
        <w:fldChar w:fldCharType="separate"/>
      </w:r>
      <w:r w:rsidR="00CB360C">
        <w:rPr>
          <w:vertAlign w:val="superscript"/>
          <w:lang w:val="en-GB"/>
        </w:rPr>
        <w:t>133</w:t>
      </w:r>
      <w:r w:rsidR="00A00B4E" w:rsidRPr="00610088">
        <w:rPr>
          <w:vertAlign w:val="superscript"/>
          <w:lang w:val="en-GB"/>
        </w:rPr>
        <w:fldChar w:fldCharType="end"/>
      </w:r>
      <w:r w:rsidR="004839BA" w:rsidRPr="00610088">
        <w:rPr>
          <w:lang w:val="en-GB"/>
        </w:rPr>
        <w:t xml:space="preserve"> </w:t>
      </w:r>
      <w:r w:rsidRPr="00610088">
        <w:rPr>
          <w:lang w:val="en-GB"/>
        </w:rPr>
        <w:t>and collects data from 18, mostly urban, health facilities in Western Area Urban and Rural districts.</w:t>
      </w:r>
      <w:bookmarkStart w:id="85" w:name="_Ref32574477"/>
      <w:r w:rsidR="00C63E9A" w:rsidRPr="00610088">
        <w:rPr>
          <w:rStyle w:val="EndnoteReference"/>
          <w:lang w:val="en-GB"/>
        </w:rPr>
        <w:endnoteReference w:id="91"/>
      </w:r>
      <w:bookmarkEnd w:id="85"/>
      <w:r w:rsidRPr="00610088">
        <w:rPr>
          <w:lang w:val="en-GB"/>
        </w:rPr>
        <w:t xml:space="preserve"> </w:t>
      </w:r>
      <w:r w:rsidR="00795B1B" w:rsidRPr="00610088">
        <w:rPr>
          <w:lang w:val="en-GB"/>
        </w:rPr>
        <w:t>The registry works with one (1) registrar and three (3) data collectors, who do this work mostly on voluntary basis.</w:t>
      </w:r>
      <w:r w:rsidR="002C0824" w:rsidRPr="00610088">
        <w:rPr>
          <w:lang w:val="en-GB"/>
        </w:rPr>
        <w:t xml:space="preserve"> There is no</w:t>
      </w:r>
      <w:r w:rsidR="00A33BF5" w:rsidRPr="00610088">
        <w:rPr>
          <w:lang w:val="en-GB"/>
        </w:rPr>
        <w:t xml:space="preserve"> Sierra Leone</w:t>
      </w:r>
      <w:r w:rsidR="002C0824" w:rsidRPr="00610088">
        <w:rPr>
          <w:lang w:val="en-GB"/>
        </w:rPr>
        <w:t xml:space="preserve"> legislative framework for the activities of the cancer registry. </w:t>
      </w:r>
      <w:bookmarkStart w:id="86" w:name="_Ref23914859"/>
      <w:r w:rsidR="00A00B4E" w:rsidRPr="00610088">
        <w:rPr>
          <w:vertAlign w:val="superscript"/>
          <w:lang w:val="en-GB"/>
        </w:rPr>
        <w:fldChar w:fldCharType="begin"/>
      </w:r>
      <w:r w:rsidR="00A00B4E" w:rsidRPr="00610088">
        <w:rPr>
          <w:vertAlign w:val="superscript"/>
          <w:lang w:val="en-GB"/>
        </w:rPr>
        <w:instrText xml:space="preserve"> NOTEREF _Ref32574477 \h  \* MERGEFORMAT </w:instrText>
      </w:r>
      <w:r w:rsidR="00A00B4E" w:rsidRPr="00610088">
        <w:rPr>
          <w:vertAlign w:val="superscript"/>
          <w:lang w:val="en-GB"/>
        </w:rPr>
      </w:r>
      <w:r w:rsidR="00A00B4E" w:rsidRPr="00610088">
        <w:rPr>
          <w:vertAlign w:val="superscript"/>
          <w:lang w:val="en-GB"/>
        </w:rPr>
        <w:fldChar w:fldCharType="separate"/>
      </w:r>
      <w:r w:rsidR="00CB360C">
        <w:rPr>
          <w:vertAlign w:val="superscript"/>
          <w:lang w:val="en-GB"/>
        </w:rPr>
        <w:t>91</w:t>
      </w:r>
      <w:r w:rsidR="00A00B4E" w:rsidRPr="00610088">
        <w:rPr>
          <w:vertAlign w:val="superscript"/>
          <w:lang w:val="en-GB"/>
        </w:rPr>
        <w:fldChar w:fldCharType="end"/>
      </w:r>
      <w:r w:rsidR="00A00B4E" w:rsidRPr="00610088">
        <w:rPr>
          <w:vertAlign w:val="superscript"/>
          <w:lang w:val="en-GB"/>
        </w:rPr>
        <w:t>,</w:t>
      </w:r>
      <w:r w:rsidR="002C0824" w:rsidRPr="00610088">
        <w:rPr>
          <w:rStyle w:val="EndnoteReference"/>
          <w:lang w:val="en-GB"/>
        </w:rPr>
        <w:endnoteReference w:id="92"/>
      </w:r>
      <w:bookmarkEnd w:id="86"/>
      <w:r w:rsidR="00A00B4E" w:rsidRPr="00610088">
        <w:rPr>
          <w:vertAlign w:val="superscript"/>
          <w:lang w:val="en-GB"/>
        </w:rPr>
        <w:t xml:space="preserve"> </w:t>
      </w:r>
      <w:r w:rsidR="004839BA" w:rsidRPr="00610088">
        <w:rPr>
          <w:lang w:val="en-GB"/>
        </w:rPr>
        <w:t xml:space="preserve"> </w:t>
      </w:r>
      <w:r w:rsidR="00A33BF5" w:rsidRPr="00610088">
        <w:rPr>
          <w:lang w:val="en-GB"/>
        </w:rPr>
        <w:t xml:space="preserve">The Sierra Leone Cancer Registry was recognised internationally by </w:t>
      </w:r>
      <w:proofErr w:type="spellStart"/>
      <w:r w:rsidR="00A33BF5" w:rsidRPr="00610088">
        <w:rPr>
          <w:lang w:val="en-GB"/>
        </w:rPr>
        <w:t>Globocan</w:t>
      </w:r>
      <w:proofErr w:type="spellEnd"/>
      <w:r w:rsidR="001D1F74">
        <w:rPr>
          <w:lang w:val="en-GB"/>
        </w:rPr>
        <w:t xml:space="preserve"> (Global Cancer Observatory)</w:t>
      </w:r>
      <w:r w:rsidR="00A33BF5" w:rsidRPr="00610088">
        <w:rPr>
          <w:lang w:val="en-GB"/>
        </w:rPr>
        <w:t xml:space="preserve"> as the 187</w:t>
      </w:r>
      <w:r w:rsidR="00A33BF5" w:rsidRPr="00610088">
        <w:rPr>
          <w:vertAlign w:val="superscript"/>
          <w:lang w:val="en-GB"/>
        </w:rPr>
        <w:t>th</w:t>
      </w:r>
      <w:r w:rsidR="00A33BF5" w:rsidRPr="00610088">
        <w:rPr>
          <w:lang w:val="en-GB"/>
        </w:rPr>
        <w:t xml:space="preserve"> global cancer registry in 2018 and supplies data to inform regional cancer statistics</w:t>
      </w:r>
      <w:r w:rsidR="00CF1229" w:rsidRPr="00610088">
        <w:rPr>
          <w:vertAlign w:val="superscript"/>
          <w:lang w:val="en-GB"/>
        </w:rPr>
        <w:t xml:space="preserve"> </w:t>
      </w:r>
      <w:r w:rsidR="00A00B4E" w:rsidRPr="00610088">
        <w:rPr>
          <w:vertAlign w:val="superscript"/>
          <w:lang w:val="en-GB"/>
        </w:rPr>
        <w:fldChar w:fldCharType="begin"/>
      </w:r>
      <w:r w:rsidR="00A00B4E" w:rsidRPr="00610088">
        <w:rPr>
          <w:vertAlign w:val="superscript"/>
          <w:lang w:val="en-GB"/>
        </w:rPr>
        <w:instrText xml:space="preserve"> NOTEREF _Ref32574477 \h  \* MERGEFORMAT </w:instrText>
      </w:r>
      <w:r w:rsidR="00A00B4E" w:rsidRPr="00610088">
        <w:rPr>
          <w:vertAlign w:val="superscript"/>
          <w:lang w:val="en-GB"/>
        </w:rPr>
      </w:r>
      <w:r w:rsidR="00A00B4E" w:rsidRPr="00610088">
        <w:rPr>
          <w:vertAlign w:val="superscript"/>
          <w:lang w:val="en-GB"/>
        </w:rPr>
        <w:fldChar w:fldCharType="separate"/>
      </w:r>
      <w:r w:rsidR="00CB360C">
        <w:rPr>
          <w:vertAlign w:val="superscript"/>
          <w:lang w:val="en-GB"/>
        </w:rPr>
        <w:t>91</w:t>
      </w:r>
      <w:r w:rsidR="00A00B4E" w:rsidRPr="00610088">
        <w:rPr>
          <w:vertAlign w:val="superscript"/>
          <w:lang w:val="en-GB"/>
        </w:rPr>
        <w:fldChar w:fldCharType="end"/>
      </w:r>
      <w:r w:rsidR="00A00B4E" w:rsidRPr="00610088">
        <w:rPr>
          <w:vertAlign w:val="superscript"/>
          <w:lang w:val="en-GB"/>
        </w:rPr>
        <w:t xml:space="preserve">, </w:t>
      </w:r>
      <w:r w:rsidR="00CF1229" w:rsidRPr="00610088">
        <w:rPr>
          <w:vertAlign w:val="superscript"/>
          <w:lang w:val="en-GB"/>
        </w:rPr>
        <w:fldChar w:fldCharType="begin"/>
      </w:r>
      <w:r w:rsidR="00CF1229" w:rsidRPr="00610088">
        <w:rPr>
          <w:vertAlign w:val="superscript"/>
          <w:lang w:val="en-GB"/>
        </w:rPr>
        <w:instrText xml:space="preserve"> NOTEREF _Ref32402016 \h  \* MERGEFORMAT </w:instrText>
      </w:r>
      <w:r w:rsidR="00CF1229" w:rsidRPr="00610088">
        <w:rPr>
          <w:vertAlign w:val="superscript"/>
          <w:lang w:val="en-GB"/>
        </w:rPr>
      </w:r>
      <w:r w:rsidR="00CF1229" w:rsidRPr="00610088">
        <w:rPr>
          <w:vertAlign w:val="superscript"/>
          <w:lang w:val="en-GB"/>
        </w:rPr>
        <w:fldChar w:fldCharType="separate"/>
      </w:r>
      <w:r w:rsidR="00CB360C">
        <w:rPr>
          <w:vertAlign w:val="superscript"/>
          <w:lang w:val="en-GB"/>
        </w:rPr>
        <w:t>132</w:t>
      </w:r>
      <w:r w:rsidR="00CF1229" w:rsidRPr="00610088">
        <w:rPr>
          <w:vertAlign w:val="superscript"/>
          <w:lang w:val="en-GB"/>
        </w:rPr>
        <w:fldChar w:fldCharType="end"/>
      </w:r>
    </w:p>
    <w:p w14:paraId="528BCCA3" w14:textId="77777777" w:rsidR="00A33BF5" w:rsidRPr="00610088" w:rsidRDefault="00A33BF5" w:rsidP="0057323A">
      <w:pPr>
        <w:rPr>
          <w:lang w:val="en-GB"/>
        </w:rPr>
      </w:pPr>
    </w:p>
    <w:p w14:paraId="4473AAF4" w14:textId="4537C432" w:rsidR="00BF31B7" w:rsidRPr="00610088" w:rsidRDefault="00BF31B7" w:rsidP="001B16D1">
      <w:pPr>
        <w:rPr>
          <w:lang w:val="en-GB"/>
        </w:rPr>
      </w:pPr>
      <w:r w:rsidRPr="00610088">
        <w:rPr>
          <w:lang w:val="en-GB"/>
        </w:rPr>
        <w:lastRenderedPageBreak/>
        <w:t xml:space="preserve">A </w:t>
      </w:r>
      <w:r w:rsidR="00F66AB8" w:rsidRPr="00610088">
        <w:rPr>
          <w:lang w:val="en-GB"/>
        </w:rPr>
        <w:t xml:space="preserve">longitudinal prospective </w:t>
      </w:r>
      <w:r w:rsidRPr="00610088">
        <w:rPr>
          <w:lang w:val="en-GB"/>
        </w:rPr>
        <w:t>stroke register has been established in April 2019 at the tertiary Connaught hospital</w:t>
      </w:r>
      <w:r w:rsidR="00961851" w:rsidRPr="00610088">
        <w:rPr>
          <w:lang w:val="en-GB"/>
        </w:rPr>
        <w:t xml:space="preserve">, this is part of preparations for a stroke study and the set-up of </w:t>
      </w:r>
      <w:r w:rsidR="0005389B" w:rsidRPr="00610088">
        <w:rPr>
          <w:lang w:val="en-GB"/>
        </w:rPr>
        <w:t xml:space="preserve">specialised </w:t>
      </w:r>
      <w:r w:rsidR="00961851" w:rsidRPr="00610088">
        <w:rPr>
          <w:lang w:val="en-GB"/>
        </w:rPr>
        <w:t xml:space="preserve">stroke </w:t>
      </w:r>
      <w:r w:rsidR="0005389B" w:rsidRPr="00610088">
        <w:rPr>
          <w:lang w:val="en-GB"/>
        </w:rPr>
        <w:t>care</w:t>
      </w:r>
      <w:r w:rsidR="00961851" w:rsidRPr="00610088">
        <w:rPr>
          <w:lang w:val="en-GB"/>
        </w:rPr>
        <w:t xml:space="preserve"> at the hospital. </w:t>
      </w:r>
      <w:r w:rsidR="00F66AB8" w:rsidRPr="00610088">
        <w:rPr>
          <w:lang w:val="en-GB"/>
        </w:rPr>
        <w:t>King’s Sierra Leone Partnership together with COMAHS (College of Medicine and Allied Health Sciences) intends to publish the specific stroke outcomes, risk factors and epidemiology in 2022.</w:t>
      </w:r>
      <w:r w:rsidR="00F66AB8" w:rsidRPr="00610088">
        <w:rPr>
          <w:vertAlign w:val="superscript"/>
          <w:lang w:val="en-GB"/>
        </w:rPr>
        <w:t xml:space="preserve"> </w:t>
      </w:r>
      <w:r w:rsidR="00F66AB8" w:rsidRPr="00610088">
        <w:rPr>
          <w:vertAlign w:val="superscript"/>
          <w:lang w:val="en-GB"/>
        </w:rPr>
        <w:fldChar w:fldCharType="begin"/>
      </w:r>
      <w:r w:rsidR="00F66AB8" w:rsidRPr="00610088">
        <w:rPr>
          <w:vertAlign w:val="superscript"/>
          <w:lang w:val="en-GB"/>
        </w:rPr>
        <w:instrText xml:space="preserve"> NOTEREF _Ref17397286 \h  \* MERGEFORMAT </w:instrText>
      </w:r>
      <w:r w:rsidR="00F66AB8" w:rsidRPr="00610088">
        <w:rPr>
          <w:vertAlign w:val="superscript"/>
          <w:lang w:val="en-GB"/>
        </w:rPr>
      </w:r>
      <w:r w:rsidR="00F66AB8" w:rsidRPr="00610088">
        <w:rPr>
          <w:vertAlign w:val="superscript"/>
          <w:lang w:val="en-GB"/>
        </w:rPr>
        <w:fldChar w:fldCharType="separate"/>
      </w:r>
      <w:r w:rsidR="00CB360C">
        <w:rPr>
          <w:vertAlign w:val="superscript"/>
          <w:lang w:val="en-GB"/>
        </w:rPr>
        <w:t>130</w:t>
      </w:r>
      <w:r w:rsidR="00F66AB8" w:rsidRPr="00610088">
        <w:rPr>
          <w:vertAlign w:val="superscript"/>
          <w:lang w:val="en-GB"/>
        </w:rPr>
        <w:fldChar w:fldCharType="end"/>
      </w:r>
      <w:r w:rsidR="00F66AB8" w:rsidRPr="00610088">
        <w:rPr>
          <w:vertAlign w:val="superscript"/>
          <w:lang w:val="en-GB"/>
        </w:rPr>
        <w:t xml:space="preserve">, </w:t>
      </w:r>
      <w:r w:rsidR="00F66AB8" w:rsidRPr="00610088">
        <w:rPr>
          <w:vertAlign w:val="superscript"/>
          <w:lang w:val="en-GB"/>
        </w:rPr>
        <w:fldChar w:fldCharType="begin"/>
      </w:r>
      <w:r w:rsidR="00F66AB8" w:rsidRPr="00610088">
        <w:rPr>
          <w:vertAlign w:val="superscript"/>
          <w:lang w:val="en-GB"/>
        </w:rPr>
        <w:instrText xml:space="preserve"> NOTEREF _Ref17397459 \h  \* MERGEFORMAT </w:instrText>
      </w:r>
      <w:r w:rsidR="00F66AB8" w:rsidRPr="00610088">
        <w:rPr>
          <w:vertAlign w:val="superscript"/>
          <w:lang w:val="en-GB"/>
        </w:rPr>
      </w:r>
      <w:r w:rsidR="00F66AB8" w:rsidRPr="00610088">
        <w:rPr>
          <w:vertAlign w:val="superscript"/>
          <w:lang w:val="en-GB"/>
        </w:rPr>
        <w:fldChar w:fldCharType="separate"/>
      </w:r>
      <w:r w:rsidR="00CB360C">
        <w:rPr>
          <w:vertAlign w:val="superscript"/>
          <w:lang w:val="en-GB"/>
        </w:rPr>
        <w:t>212</w:t>
      </w:r>
      <w:r w:rsidR="00F66AB8" w:rsidRPr="00610088">
        <w:rPr>
          <w:vertAlign w:val="superscript"/>
          <w:lang w:val="en-GB"/>
        </w:rPr>
        <w:fldChar w:fldCharType="end"/>
      </w:r>
    </w:p>
    <w:p w14:paraId="43BBB48E" w14:textId="77777777" w:rsidR="0057323A" w:rsidRPr="00610088" w:rsidRDefault="0057323A" w:rsidP="001B16D1">
      <w:pPr>
        <w:rPr>
          <w:lang w:val="en-GB"/>
        </w:rPr>
      </w:pPr>
    </w:p>
    <w:p w14:paraId="0767EE50" w14:textId="17AD000A" w:rsidR="00AD4C8A" w:rsidRPr="00610088" w:rsidRDefault="0057323A" w:rsidP="001B16D1">
      <w:pPr>
        <w:rPr>
          <w:lang w:val="en-GB"/>
        </w:rPr>
      </w:pPr>
      <w:r w:rsidRPr="00610088">
        <w:rPr>
          <w:lang w:val="en-GB"/>
        </w:rPr>
        <w:t xml:space="preserve">NCD </w:t>
      </w:r>
      <w:r w:rsidR="008259C9" w:rsidRPr="00610088">
        <w:rPr>
          <w:lang w:val="en-GB"/>
        </w:rPr>
        <w:t xml:space="preserve">was </w:t>
      </w:r>
      <w:r w:rsidRPr="00610088">
        <w:rPr>
          <w:lang w:val="en-GB"/>
        </w:rPr>
        <w:t xml:space="preserve">recently integrated in </w:t>
      </w:r>
      <w:r w:rsidR="008259C9" w:rsidRPr="00610088">
        <w:rPr>
          <w:lang w:val="en-GB"/>
        </w:rPr>
        <w:t xml:space="preserve">the </w:t>
      </w:r>
      <w:r w:rsidRPr="00610088">
        <w:rPr>
          <w:lang w:val="en-GB"/>
        </w:rPr>
        <w:t>ISSV</w:t>
      </w:r>
      <w:r w:rsidR="00AD4C8A" w:rsidRPr="00610088">
        <w:rPr>
          <w:lang w:val="en-GB"/>
        </w:rPr>
        <w:t>, which has 2 types of cycles: national to district supervision and district to health facility supervision (PHUs, hospitals). Each type is supposed to take place at least twice a year. B</w:t>
      </w:r>
      <w:r w:rsidRPr="00610088">
        <w:rPr>
          <w:lang w:val="en-GB"/>
        </w:rPr>
        <w:t>eyond that almost no</w:t>
      </w:r>
      <w:r w:rsidR="008259C9" w:rsidRPr="00610088">
        <w:rPr>
          <w:lang w:val="en-GB"/>
        </w:rPr>
        <w:t xml:space="preserve"> (separate)</w:t>
      </w:r>
      <w:r w:rsidRPr="00610088">
        <w:rPr>
          <w:lang w:val="en-GB"/>
        </w:rPr>
        <w:t xml:space="preserve"> NCD supervision </w:t>
      </w:r>
      <w:r w:rsidR="008259C9" w:rsidRPr="00610088">
        <w:rPr>
          <w:lang w:val="en-GB"/>
        </w:rPr>
        <w:t>take place due to funding constraints</w:t>
      </w:r>
      <w:r w:rsidR="00AD4C8A" w:rsidRPr="00610088">
        <w:rPr>
          <w:lang w:val="en-GB"/>
        </w:rPr>
        <w:t>, sometimes limited supervision is done alongside implementation of other NCD activities</w:t>
      </w:r>
      <w:r w:rsidR="00A00B4E" w:rsidRPr="00610088">
        <w:rPr>
          <w:lang w:val="en-GB"/>
        </w:rPr>
        <w:t xml:space="preserve">. </w:t>
      </w:r>
    </w:p>
    <w:p w14:paraId="1BD508D0" w14:textId="77777777" w:rsidR="00AD4C8A" w:rsidRPr="00610088" w:rsidRDefault="00AD4C8A" w:rsidP="001B16D1">
      <w:pPr>
        <w:rPr>
          <w:lang w:val="en-GB"/>
        </w:rPr>
      </w:pPr>
    </w:p>
    <w:p w14:paraId="0F40318A" w14:textId="06BE0459" w:rsidR="00F45E9D" w:rsidRPr="00610088" w:rsidRDefault="00F45E9D" w:rsidP="001B16D1">
      <w:pPr>
        <w:rPr>
          <w:lang w:val="en-GB"/>
        </w:rPr>
      </w:pPr>
      <w:r w:rsidRPr="00610088">
        <w:rPr>
          <w:lang w:val="en-GB"/>
        </w:rPr>
        <w:t>The National to DHMT ISSV form</w:t>
      </w:r>
      <w:r w:rsidR="00AD4C8A" w:rsidRPr="00610088">
        <w:rPr>
          <w:lang w:val="en-GB"/>
        </w:rPr>
        <w:t xml:space="preserve"> (A-1)</w:t>
      </w:r>
      <w:r w:rsidRPr="00610088">
        <w:rPr>
          <w:lang w:val="en-GB"/>
        </w:rPr>
        <w:t xml:space="preserve"> contains </w:t>
      </w:r>
      <w:proofErr w:type="gramStart"/>
      <w:r w:rsidRPr="00610088">
        <w:rPr>
          <w:lang w:val="en-GB"/>
        </w:rPr>
        <w:t>a</w:t>
      </w:r>
      <w:proofErr w:type="gramEnd"/>
      <w:r w:rsidR="00541D92" w:rsidRPr="00610088">
        <w:rPr>
          <w:lang w:val="en-GB"/>
        </w:rPr>
        <w:t xml:space="preserve"> </w:t>
      </w:r>
      <w:r w:rsidRPr="00610088">
        <w:rPr>
          <w:lang w:val="en-GB"/>
        </w:rPr>
        <w:t xml:space="preserve">NCD/mental health section with 5 questions: on focal persons, orientation by the DHTM to PHUs and hospitals on policy documents, DHMT watching trend and locations of NCD &amp; MH patients, inclusion of NCD prevention and control in coordination/review meetings and monthly reporting on NCD&amp;MH from health facilities. </w:t>
      </w:r>
    </w:p>
    <w:p w14:paraId="0128CBDD" w14:textId="3F6D209D" w:rsidR="00F45E9D" w:rsidRPr="00610088" w:rsidRDefault="00F45E9D" w:rsidP="001B16D1">
      <w:pPr>
        <w:rPr>
          <w:lang w:val="en-GB"/>
        </w:rPr>
      </w:pPr>
      <w:r w:rsidRPr="00610088">
        <w:rPr>
          <w:lang w:val="en-GB"/>
        </w:rPr>
        <w:t>The District to PHU ISSV form</w:t>
      </w:r>
      <w:r w:rsidR="00AD4C8A" w:rsidRPr="00610088">
        <w:rPr>
          <w:lang w:val="en-GB"/>
        </w:rPr>
        <w:t xml:space="preserve"> (C-1)</w:t>
      </w:r>
      <w:r w:rsidRPr="00610088">
        <w:rPr>
          <w:lang w:val="en-GB"/>
        </w:rPr>
        <w:t xml:space="preserve"> contains </w:t>
      </w:r>
      <w:r w:rsidR="00541D92" w:rsidRPr="00610088">
        <w:rPr>
          <w:lang w:val="en-GB"/>
        </w:rPr>
        <w:t>an</w:t>
      </w:r>
      <w:r w:rsidRPr="00610088">
        <w:rPr>
          <w:lang w:val="en-GB"/>
        </w:rPr>
        <w:t xml:space="preserve"> NCD/mental health section with 6 questions: prevention, activity coverage, nr of</w:t>
      </w:r>
      <w:r w:rsidR="00AD4C8A" w:rsidRPr="00610088">
        <w:rPr>
          <w:lang w:val="en-GB"/>
        </w:rPr>
        <w:t xml:space="preserve"> active trained volunteers on NCDs, health education materials, mental health services and training of PHU staff on mental health care. </w:t>
      </w:r>
    </w:p>
    <w:p w14:paraId="7116FA40" w14:textId="3B32F764" w:rsidR="00AD4C8A" w:rsidRPr="00610088" w:rsidRDefault="00AD4C8A" w:rsidP="001B16D1">
      <w:pPr>
        <w:rPr>
          <w:lang w:val="en-GB"/>
        </w:rPr>
      </w:pPr>
      <w:r w:rsidRPr="00610088">
        <w:rPr>
          <w:lang w:val="en-GB"/>
        </w:rPr>
        <w:t xml:space="preserve">The PHU availability and status of documents ISSV form (C-2) contains </w:t>
      </w:r>
      <w:r w:rsidR="00541D92" w:rsidRPr="00610088">
        <w:rPr>
          <w:lang w:val="en-GB"/>
        </w:rPr>
        <w:t>an</w:t>
      </w:r>
      <w:r w:rsidRPr="00610088">
        <w:rPr>
          <w:lang w:val="en-GB"/>
        </w:rPr>
        <w:t xml:space="preserve"> NCD/mental health section with 1 question: Records / Report of NCD and mental health. This form also contains many general reporting and recording questions in relation to the DHIS2.0 data tools, which also include NCD and mental health data. </w:t>
      </w:r>
    </w:p>
    <w:p w14:paraId="1C291C0A" w14:textId="77777777" w:rsidR="00F45E9D" w:rsidRPr="00610088" w:rsidRDefault="00F45E9D" w:rsidP="001B16D1">
      <w:pPr>
        <w:rPr>
          <w:lang w:val="en-GB"/>
        </w:rPr>
      </w:pPr>
    </w:p>
    <w:p w14:paraId="62619241" w14:textId="6C90C208" w:rsidR="00BF31B7" w:rsidRPr="00610088" w:rsidRDefault="0057323A" w:rsidP="001B16D1">
      <w:pPr>
        <w:rPr>
          <w:rFonts w:eastAsiaTheme="minorEastAsia"/>
          <w:lang w:val="en-GB"/>
        </w:rPr>
      </w:pPr>
      <w:r w:rsidRPr="00610088">
        <w:rPr>
          <w:lang w:val="en-GB"/>
        </w:rPr>
        <w:t xml:space="preserve">The most recent national NCD Risk factor survey, the STEPS survey </w:t>
      </w:r>
      <w:r w:rsidR="00BF31B7" w:rsidRPr="00610088">
        <w:rPr>
          <w:vertAlign w:val="superscript"/>
          <w:lang w:val="en-GB"/>
        </w:rPr>
        <w:fldChar w:fldCharType="begin"/>
      </w:r>
      <w:r w:rsidR="00BF31B7" w:rsidRPr="00610088">
        <w:rPr>
          <w:vertAlign w:val="superscript"/>
          <w:lang w:val="en-GB"/>
        </w:rPr>
        <w:instrText xml:space="preserve"> NOTEREF _Ref17032158 \h  \* MERGEFORMAT </w:instrText>
      </w:r>
      <w:r w:rsidR="00BF31B7" w:rsidRPr="00610088">
        <w:rPr>
          <w:vertAlign w:val="superscript"/>
          <w:lang w:val="en-GB"/>
        </w:rPr>
      </w:r>
      <w:r w:rsidR="00BF31B7" w:rsidRPr="00610088">
        <w:rPr>
          <w:vertAlign w:val="superscript"/>
          <w:lang w:val="en-GB"/>
        </w:rPr>
        <w:fldChar w:fldCharType="separate"/>
      </w:r>
      <w:r w:rsidR="00CB360C">
        <w:rPr>
          <w:vertAlign w:val="superscript"/>
          <w:lang w:val="en-GB"/>
        </w:rPr>
        <w:t>174</w:t>
      </w:r>
      <w:r w:rsidR="00BF31B7" w:rsidRPr="00610088">
        <w:rPr>
          <w:vertAlign w:val="superscript"/>
          <w:lang w:val="en-GB"/>
        </w:rPr>
        <w:fldChar w:fldCharType="end"/>
      </w:r>
      <w:r w:rsidRPr="00610088">
        <w:rPr>
          <w:lang w:val="en-GB"/>
        </w:rPr>
        <w:t xml:space="preserve"> is from 2009, with a planned survey for 2019 pending due to lack of funding. Other national health(-related) surveys do not or only marginally capture NCDs and their risk factors. For example</w:t>
      </w:r>
      <w:r w:rsidR="00BF31B7" w:rsidRPr="00610088">
        <w:rPr>
          <w:lang w:val="en-GB"/>
        </w:rPr>
        <w:t>,</w:t>
      </w:r>
      <w:r w:rsidRPr="00610088">
        <w:rPr>
          <w:lang w:val="en-GB"/>
        </w:rPr>
        <w:t xml:space="preserve"> the Demographic Health Survey (DHS) 2013 does not</w:t>
      </w:r>
      <w:r w:rsidRPr="00610088">
        <w:rPr>
          <w:rFonts w:eastAsiaTheme="minorEastAsia"/>
          <w:lang w:val="en-GB"/>
        </w:rPr>
        <w:t xml:space="preserve"> mention the 5 main NCD conditions, although some risk factors are mentioned (smoking, alcohol in relation to spousal violence, indoor smoke (cooking, smoking)</w:t>
      </w:r>
      <w:r w:rsidRPr="00610088">
        <w:rPr>
          <w:lang w:val="en-GB"/>
        </w:rPr>
        <w:t>.</w:t>
      </w:r>
      <w:r w:rsidR="00122A40" w:rsidRPr="00610088">
        <w:rPr>
          <w:lang w:val="en-GB"/>
        </w:rPr>
        <w:fldChar w:fldCharType="begin"/>
      </w:r>
      <w:r w:rsidR="00122A40" w:rsidRPr="00610088">
        <w:rPr>
          <w:lang w:val="en-GB"/>
        </w:rPr>
        <w:instrText xml:space="preserve"> NOTEREF _Ref17298289 \f \h </w:instrText>
      </w:r>
      <w:r w:rsidR="001B16D1">
        <w:rPr>
          <w:lang w:val="en-GB"/>
        </w:rPr>
        <w:instrText xml:space="preserve"> \* MERGEFORMAT </w:instrText>
      </w:r>
      <w:r w:rsidR="00122A40" w:rsidRPr="00610088">
        <w:rPr>
          <w:lang w:val="en-GB"/>
        </w:rPr>
      </w:r>
      <w:r w:rsidR="00122A40" w:rsidRPr="00610088">
        <w:rPr>
          <w:lang w:val="en-GB"/>
        </w:rPr>
        <w:fldChar w:fldCharType="separate"/>
      </w:r>
      <w:r w:rsidR="00CB360C" w:rsidRPr="00CB360C">
        <w:rPr>
          <w:rStyle w:val="EndnoteReference"/>
        </w:rPr>
        <w:t>8</w:t>
      </w:r>
      <w:r w:rsidR="00122A40" w:rsidRPr="00610088">
        <w:rPr>
          <w:lang w:val="en-GB"/>
        </w:rPr>
        <w:fldChar w:fldCharType="end"/>
      </w:r>
      <w:r w:rsidRPr="00610088">
        <w:rPr>
          <w:lang w:val="en-GB"/>
        </w:rPr>
        <w:t xml:space="preserve"> The 2017 Multiple Indicator Cluster Survey (MICS) report does not </w:t>
      </w:r>
      <w:r w:rsidRPr="00610088">
        <w:rPr>
          <w:rFonts w:eastAsiaTheme="minorEastAsia"/>
          <w:lang w:val="en-GB"/>
        </w:rPr>
        <w:t>mention the NCDs, but data were collected on NCDs in the U5 verbal autopsy part (</w:t>
      </w:r>
      <w:r w:rsidRPr="00610088">
        <w:rPr>
          <w:lang w:val="en-GB"/>
        </w:rPr>
        <w:t>diabetes mellitus</w:t>
      </w:r>
      <w:r w:rsidRPr="00610088">
        <w:rPr>
          <w:rFonts w:eastAsiaTheme="minorEastAsia"/>
          <w:lang w:val="en-GB"/>
        </w:rPr>
        <w:t xml:space="preserve">, asthma, cancer, </w:t>
      </w:r>
      <w:r w:rsidRPr="00610088">
        <w:rPr>
          <w:lang w:val="en-GB"/>
        </w:rPr>
        <w:t>sickle cell disease</w:t>
      </w:r>
      <w:r w:rsidRPr="00610088">
        <w:rPr>
          <w:rFonts w:eastAsiaTheme="minorEastAsia"/>
          <w:lang w:val="en-GB"/>
        </w:rPr>
        <w:t xml:space="preserve">, injuries/accidents, kidney/liver disease) </w:t>
      </w:r>
      <w:r w:rsidRPr="00610088">
        <w:rPr>
          <w:lang w:val="en-GB"/>
        </w:rPr>
        <w:t xml:space="preserve">and </w:t>
      </w:r>
      <w:r w:rsidRPr="00610088">
        <w:rPr>
          <w:rFonts w:eastAsiaTheme="minorEastAsia"/>
          <w:lang w:val="en-GB"/>
        </w:rPr>
        <w:t>there is risk factor data (alcohol use, smoking, (indoor) smoke from cooking) and disability information</w:t>
      </w:r>
      <w:r w:rsidRPr="00610088">
        <w:rPr>
          <w:lang w:val="en-GB"/>
        </w:rPr>
        <w:t xml:space="preserve">. </w:t>
      </w:r>
      <w:r w:rsidRPr="00610088">
        <w:rPr>
          <w:rFonts w:eastAsiaTheme="minorEastAsia"/>
          <w:lang w:val="en-GB"/>
        </w:rPr>
        <w:t xml:space="preserve">  </w:t>
      </w:r>
    </w:p>
    <w:p w14:paraId="2876B48A" w14:textId="5434A69F" w:rsidR="0057323A" w:rsidRPr="00610088" w:rsidRDefault="00BF31B7" w:rsidP="001B16D1">
      <w:pPr>
        <w:rPr>
          <w:lang w:val="en-GB"/>
        </w:rPr>
      </w:pPr>
      <w:r w:rsidRPr="00610088">
        <w:rPr>
          <w:lang w:val="en-GB"/>
        </w:rPr>
        <w:t xml:space="preserve">The questionnaire for the Sierra Leone Integrated Household Survey 2018 (SLIHS) contained mentions of diabetes, hypertension and disability, however the results of this survey have not been published. </w:t>
      </w:r>
    </w:p>
    <w:p w14:paraId="4696D657" w14:textId="77777777" w:rsidR="0057323A" w:rsidRPr="00610088" w:rsidRDefault="0057323A" w:rsidP="001B16D1">
      <w:pPr>
        <w:rPr>
          <w:lang w:val="en-GB"/>
        </w:rPr>
      </w:pPr>
    </w:p>
    <w:p w14:paraId="3E21DE65" w14:textId="188E8224" w:rsidR="0057323A" w:rsidRPr="00610088" w:rsidRDefault="0057323A" w:rsidP="001B16D1">
      <w:pPr>
        <w:rPr>
          <w:lang w:val="en-GB"/>
        </w:rPr>
      </w:pPr>
      <w:r w:rsidRPr="00610088">
        <w:rPr>
          <w:lang w:val="en-GB"/>
        </w:rPr>
        <w:t xml:space="preserve">M&amp;E of NCD policy, plan and activities has been limited, also due to limited financial and human resources at the DNCD&amp;MH.  There is no M&amp;E framework in existence, and no internal or external evaluations or annual review meetings have been implemented. </w:t>
      </w:r>
      <w:r w:rsidR="00BF31B7" w:rsidRPr="00610088">
        <w:rPr>
          <w:lang w:val="en-GB"/>
        </w:rPr>
        <w:t xml:space="preserve">There is no specific training on NCD data collection or NCD surveillance. </w:t>
      </w:r>
      <w:r w:rsidRPr="00610088">
        <w:rPr>
          <w:lang w:val="en-GB"/>
        </w:rPr>
        <w:t xml:space="preserve">The Directorate has only 1 vehicle for all activities, including M&amp;E activities. </w:t>
      </w:r>
    </w:p>
    <w:p w14:paraId="2654F7E5" w14:textId="24B6D33A" w:rsidR="00BF31B7" w:rsidRPr="00610088" w:rsidRDefault="00BF31B7" w:rsidP="001B16D1">
      <w:pPr>
        <w:rPr>
          <w:lang w:val="en-GB"/>
        </w:rPr>
      </w:pPr>
    </w:p>
    <w:p w14:paraId="14D21E8B" w14:textId="37FFCC1D" w:rsidR="00BF31B7" w:rsidRPr="00610088" w:rsidRDefault="00BF31B7" w:rsidP="001B16D1">
      <w:pPr>
        <w:rPr>
          <w:lang w:val="en-GB"/>
        </w:rPr>
      </w:pPr>
      <w:r w:rsidRPr="00610088">
        <w:rPr>
          <w:lang w:val="en-GB"/>
        </w:rPr>
        <w:t xml:space="preserve">The NCD Directorate does not produce regular publications like an annual report. </w:t>
      </w:r>
    </w:p>
    <w:p w14:paraId="345DAC92" w14:textId="77777777" w:rsidR="0057323A" w:rsidRPr="00610088" w:rsidRDefault="0057323A" w:rsidP="001B16D1">
      <w:pPr>
        <w:rPr>
          <w:lang w:val="en-GB"/>
        </w:rPr>
      </w:pPr>
    </w:p>
    <w:p w14:paraId="08B23BC1" w14:textId="3E1284E7" w:rsidR="0057323A" w:rsidRPr="00610088" w:rsidRDefault="0057323A" w:rsidP="001B16D1">
      <w:pPr>
        <w:rPr>
          <w:lang w:val="en-GB"/>
        </w:rPr>
      </w:pPr>
      <w:r w:rsidRPr="00610088">
        <w:rPr>
          <w:lang w:val="en-GB"/>
        </w:rPr>
        <w:t xml:space="preserve">The NCD&amp;MH Directorate is not advocating actively for NCD research. There is no shared NCD research agenda or priority setting exercise. </w:t>
      </w:r>
    </w:p>
    <w:p w14:paraId="55C5331B" w14:textId="646ECB32" w:rsidR="008C5F34" w:rsidRPr="00610088" w:rsidRDefault="00BF31B7" w:rsidP="001B16D1">
      <w:pPr>
        <w:rPr>
          <w:lang w:val="en-GB"/>
        </w:rPr>
      </w:pPr>
      <w:r w:rsidRPr="00610088">
        <w:rPr>
          <w:lang w:val="en-GB"/>
        </w:rPr>
        <w:t xml:space="preserve">A scoping study on NCDs by </w:t>
      </w:r>
      <w:r w:rsidR="00793FB9" w:rsidRPr="00610088">
        <w:rPr>
          <w:lang w:val="en-GB"/>
        </w:rPr>
        <w:t>CO</w:t>
      </w:r>
      <w:r w:rsidRPr="00610088">
        <w:rPr>
          <w:lang w:val="en-GB"/>
        </w:rPr>
        <w:t xml:space="preserve">MAHS </w:t>
      </w:r>
      <w:r w:rsidR="00FE10A7" w:rsidRPr="00610088">
        <w:rPr>
          <w:lang w:val="en-GB"/>
        </w:rPr>
        <w:fldChar w:fldCharType="begin"/>
      </w:r>
      <w:r w:rsidR="00FE10A7" w:rsidRPr="00610088">
        <w:rPr>
          <w:lang w:val="en-GB"/>
        </w:rPr>
        <w:instrText xml:space="preserve"> NOTEREF _Ref17614544 \f \h </w:instrText>
      </w:r>
      <w:r w:rsidR="001B16D1">
        <w:rPr>
          <w:lang w:val="en-GB"/>
        </w:rPr>
        <w:instrText xml:space="preserve"> \* MERGEFORMAT </w:instrText>
      </w:r>
      <w:r w:rsidR="00FE10A7" w:rsidRPr="00610088">
        <w:rPr>
          <w:lang w:val="en-GB"/>
        </w:rPr>
      </w:r>
      <w:r w:rsidR="00FE10A7" w:rsidRPr="00610088">
        <w:rPr>
          <w:lang w:val="en-GB"/>
        </w:rPr>
        <w:fldChar w:fldCharType="separate"/>
      </w:r>
      <w:r w:rsidR="00CB360C" w:rsidRPr="00CB360C">
        <w:rPr>
          <w:rStyle w:val="EndnoteReference"/>
        </w:rPr>
        <w:t>75</w:t>
      </w:r>
      <w:r w:rsidR="00FE10A7" w:rsidRPr="00610088">
        <w:rPr>
          <w:lang w:val="en-GB"/>
        </w:rPr>
        <w:fldChar w:fldCharType="end"/>
      </w:r>
      <w:r w:rsidR="00FE10A7" w:rsidRPr="00610088">
        <w:rPr>
          <w:lang w:val="en-GB"/>
        </w:rPr>
        <w:t xml:space="preserve">  </w:t>
      </w:r>
      <w:r w:rsidR="00793FB9" w:rsidRPr="00610088">
        <w:rPr>
          <w:lang w:val="en-GB"/>
        </w:rPr>
        <w:t xml:space="preserve">that searched many databases and sources </w:t>
      </w:r>
      <w:r w:rsidRPr="00610088">
        <w:rPr>
          <w:lang w:val="en-GB"/>
        </w:rPr>
        <w:t>found</w:t>
      </w:r>
      <w:r w:rsidR="009F38A6" w:rsidRPr="00610088">
        <w:rPr>
          <w:lang w:val="en-GB"/>
        </w:rPr>
        <w:t xml:space="preserve"> onl</w:t>
      </w:r>
      <w:r w:rsidR="00793FB9" w:rsidRPr="00610088">
        <w:rPr>
          <w:lang w:val="en-GB"/>
        </w:rPr>
        <w:t>y 28 relevant documents, of which 23 were peer-reviewed, 4 were reports and 1 was a strategy document.</w:t>
      </w:r>
      <w:r w:rsidR="009F38A6" w:rsidRPr="00610088">
        <w:rPr>
          <w:lang w:val="en-GB"/>
        </w:rPr>
        <w:t xml:space="preserve"> It is promising that several actors (</w:t>
      </w:r>
      <w:proofErr w:type="gramStart"/>
      <w:r w:rsidR="009F38A6" w:rsidRPr="00610088">
        <w:rPr>
          <w:lang w:val="en-GB"/>
        </w:rPr>
        <w:t>e.g.</w:t>
      </w:r>
      <w:proofErr w:type="gramEnd"/>
      <w:r w:rsidR="009F38A6" w:rsidRPr="00610088">
        <w:rPr>
          <w:lang w:val="en-GB"/>
        </w:rPr>
        <w:t xml:space="preserve"> King’s</w:t>
      </w:r>
      <w:r w:rsidR="00793FB9" w:rsidRPr="00610088">
        <w:rPr>
          <w:lang w:val="en-GB"/>
        </w:rPr>
        <w:t xml:space="preserve"> Sierra Leone Partnership</w:t>
      </w:r>
      <w:r w:rsidR="009F38A6" w:rsidRPr="00610088">
        <w:rPr>
          <w:lang w:val="en-GB"/>
        </w:rPr>
        <w:t xml:space="preserve">, COMAHS, </w:t>
      </w:r>
      <w:r w:rsidR="001D1F74">
        <w:rPr>
          <w:lang w:val="en-GB"/>
        </w:rPr>
        <w:t xml:space="preserve">University of </w:t>
      </w:r>
      <w:r w:rsidR="009F38A6" w:rsidRPr="00610088">
        <w:rPr>
          <w:lang w:val="en-GB"/>
        </w:rPr>
        <w:t xml:space="preserve">Birmingham) are planning to conduct NCD studies in the future. </w:t>
      </w:r>
    </w:p>
    <w:p w14:paraId="20537529" w14:textId="44759DCB" w:rsidR="00BF31B7" w:rsidRPr="00610088" w:rsidRDefault="00BF31B7" w:rsidP="00BF31B7">
      <w:pPr>
        <w:rPr>
          <w:lang w:val="en-GB"/>
        </w:rPr>
      </w:pPr>
    </w:p>
    <w:p w14:paraId="75AC95BB" w14:textId="77777777" w:rsidR="0057323A" w:rsidRPr="00610088" w:rsidRDefault="0057323A" w:rsidP="00B82C13">
      <w:pPr>
        <w:pStyle w:val="Heading3"/>
        <w:rPr>
          <w:lang w:val="en-GB"/>
        </w:rPr>
      </w:pPr>
      <w:bookmarkStart w:id="87" w:name="_Toc41370553"/>
      <w:r w:rsidRPr="00610088">
        <w:rPr>
          <w:lang w:val="en-GB"/>
        </w:rPr>
        <w:t>Partnerships</w:t>
      </w:r>
      <w:bookmarkEnd w:id="87"/>
    </w:p>
    <w:p w14:paraId="0A1A12FC" w14:textId="77777777" w:rsidR="0057323A" w:rsidRPr="00610088" w:rsidRDefault="0057323A" w:rsidP="001B16D1">
      <w:pPr>
        <w:rPr>
          <w:lang w:val="en-GB"/>
        </w:rPr>
      </w:pPr>
      <w:r w:rsidRPr="00610088">
        <w:rPr>
          <w:lang w:val="en-GB"/>
        </w:rPr>
        <w:t>NCD Key stakeholders including (current or potential) NCD implementers or funders are limited and uncoordinated.</w:t>
      </w:r>
    </w:p>
    <w:p w14:paraId="25570153" w14:textId="77777777" w:rsidR="0057323A" w:rsidRPr="00610088" w:rsidRDefault="0057323A" w:rsidP="001B16D1">
      <w:pPr>
        <w:rPr>
          <w:lang w:val="en-GB"/>
        </w:rPr>
      </w:pPr>
    </w:p>
    <w:p w14:paraId="15DA9456" w14:textId="4E3EC9BE" w:rsidR="0057323A" w:rsidRPr="00610088" w:rsidRDefault="0057323A" w:rsidP="001B16D1">
      <w:pPr>
        <w:rPr>
          <w:lang w:val="en-GB"/>
        </w:rPr>
      </w:pPr>
      <w:r w:rsidRPr="00610088">
        <w:rPr>
          <w:lang w:val="en-GB"/>
        </w:rPr>
        <w:lastRenderedPageBreak/>
        <w:t xml:space="preserve">Only few NGOs are currently involved in specific NCD activities. For example, PIH is supporting NCD OPD days at the </w:t>
      </w:r>
      <w:proofErr w:type="spellStart"/>
      <w:r w:rsidRPr="00610088">
        <w:rPr>
          <w:lang w:val="en-GB"/>
        </w:rPr>
        <w:t>Kono</w:t>
      </w:r>
      <w:proofErr w:type="spellEnd"/>
      <w:r w:rsidRPr="00610088">
        <w:rPr>
          <w:lang w:val="en-GB"/>
        </w:rPr>
        <w:t xml:space="preserve"> Government Hospital combined with home-based management including home visits. VSO (Voluntary Services Overse</w:t>
      </w:r>
      <w:r w:rsidR="00E01313">
        <w:rPr>
          <w:lang w:val="en-GB"/>
        </w:rPr>
        <w:t>a</w:t>
      </w:r>
      <w:r w:rsidRPr="00610088">
        <w:rPr>
          <w:lang w:val="en-GB"/>
        </w:rPr>
        <w:t xml:space="preserve">s) recently conducted a training and provided equipment for NCD screening and management at CHCs in </w:t>
      </w:r>
      <w:proofErr w:type="spellStart"/>
      <w:r w:rsidRPr="00610088">
        <w:rPr>
          <w:lang w:val="en-GB"/>
        </w:rPr>
        <w:t>Bombali</w:t>
      </w:r>
      <w:proofErr w:type="spellEnd"/>
      <w:r w:rsidRPr="00610088">
        <w:rPr>
          <w:lang w:val="en-GB"/>
        </w:rPr>
        <w:t xml:space="preserve"> district. The NGOs supporting </w:t>
      </w:r>
      <w:proofErr w:type="spellStart"/>
      <w:r w:rsidRPr="00610088">
        <w:rPr>
          <w:lang w:val="en-GB"/>
        </w:rPr>
        <w:t>Masanga</w:t>
      </w:r>
      <w:proofErr w:type="spellEnd"/>
      <w:r w:rsidRPr="00610088">
        <w:rPr>
          <w:lang w:val="en-GB"/>
        </w:rPr>
        <w:t xml:space="preserve"> hospital are also providing support for NCD management for in- and outpatients. </w:t>
      </w:r>
    </w:p>
    <w:p w14:paraId="7D797025" w14:textId="77777777" w:rsidR="0057323A" w:rsidRPr="00610088" w:rsidRDefault="0057323A" w:rsidP="001B16D1">
      <w:pPr>
        <w:rPr>
          <w:lang w:val="en-GB"/>
        </w:rPr>
      </w:pPr>
    </w:p>
    <w:p w14:paraId="36D03187" w14:textId="0EAC35F8" w:rsidR="0057323A" w:rsidRPr="00610088" w:rsidRDefault="0057323A" w:rsidP="001B16D1">
      <w:pPr>
        <w:rPr>
          <w:lang w:val="en-GB"/>
        </w:rPr>
      </w:pPr>
      <w:r w:rsidRPr="00610088">
        <w:rPr>
          <w:lang w:val="en-GB"/>
        </w:rPr>
        <w:t xml:space="preserve">Except for </w:t>
      </w:r>
      <w:r w:rsidR="001D1F74">
        <w:rPr>
          <w:lang w:val="en-GB"/>
        </w:rPr>
        <w:t xml:space="preserve">support from </w:t>
      </w:r>
      <w:r w:rsidR="00E01313">
        <w:rPr>
          <w:lang w:val="en-GB"/>
        </w:rPr>
        <w:t>United Nations Development Program (UNDP)</w:t>
      </w:r>
      <w:r w:rsidRPr="00610088">
        <w:rPr>
          <w:lang w:val="en-GB"/>
        </w:rPr>
        <w:t xml:space="preserve"> and WHO to selected NCD activities there has so far not been much interest of Health Development Partners to support NCD prevention and control. </w:t>
      </w:r>
    </w:p>
    <w:p w14:paraId="6C08EC12" w14:textId="77777777" w:rsidR="0057323A" w:rsidRPr="00610088" w:rsidRDefault="0057323A" w:rsidP="001B16D1">
      <w:pPr>
        <w:rPr>
          <w:lang w:val="en-GB"/>
        </w:rPr>
      </w:pPr>
    </w:p>
    <w:p w14:paraId="2D555B30" w14:textId="77777777" w:rsidR="0057323A" w:rsidRPr="00610088" w:rsidRDefault="0057323A" w:rsidP="001B16D1">
      <w:pPr>
        <w:rPr>
          <w:lang w:val="en-GB"/>
        </w:rPr>
      </w:pPr>
      <w:r w:rsidRPr="00610088">
        <w:rPr>
          <w:lang w:val="en-GB"/>
        </w:rPr>
        <w:t xml:space="preserve">There are no NCD coordination or partnership structures such as committees or working groups in existence at district level. There is no or very limited participation of the community level in NCD activities. </w:t>
      </w:r>
    </w:p>
    <w:p w14:paraId="4DFF36EA" w14:textId="77777777" w:rsidR="0057323A" w:rsidRPr="00610088" w:rsidRDefault="0057323A" w:rsidP="0057323A">
      <w:pPr>
        <w:rPr>
          <w:lang w:val="en-GB"/>
        </w:rPr>
      </w:pPr>
    </w:p>
    <w:p w14:paraId="52EA7B0F" w14:textId="77777777" w:rsidR="0057323A" w:rsidRPr="00610088" w:rsidRDefault="0057323A" w:rsidP="00B82C13">
      <w:pPr>
        <w:pStyle w:val="Heading3"/>
        <w:rPr>
          <w:lang w:val="en-GB"/>
        </w:rPr>
      </w:pPr>
      <w:bookmarkStart w:id="88" w:name="_Toc41370554"/>
      <w:r w:rsidRPr="00610088">
        <w:rPr>
          <w:lang w:val="en-GB"/>
        </w:rPr>
        <w:t>Communities</w:t>
      </w:r>
      <w:bookmarkEnd w:id="88"/>
    </w:p>
    <w:p w14:paraId="3F0BAD4E" w14:textId="66BBA2DB" w:rsidR="008259C9" w:rsidRPr="00610088" w:rsidRDefault="0057323A" w:rsidP="001B16D1">
      <w:pPr>
        <w:rPr>
          <w:lang w:val="en-GB"/>
        </w:rPr>
      </w:pPr>
      <w:r w:rsidRPr="00610088">
        <w:rPr>
          <w:lang w:val="en-GB"/>
        </w:rPr>
        <w:t>In all districts visited for the field assessment there were limited or even non-existent relationships between the DHMT, hospital, HMC</w:t>
      </w:r>
      <w:r w:rsidR="001D1F74">
        <w:rPr>
          <w:lang w:val="en-GB"/>
        </w:rPr>
        <w:t xml:space="preserve"> (Health Management Committee)</w:t>
      </w:r>
      <w:r w:rsidRPr="00610088">
        <w:rPr>
          <w:lang w:val="en-GB"/>
        </w:rPr>
        <w:t xml:space="preserve"> and councils with the common first points of call for chronic / NCD conditions: traditional healers, drug peddlers and low-level pharmacies.  Except for </w:t>
      </w:r>
      <w:r w:rsidR="00CB016D" w:rsidRPr="00610088">
        <w:rPr>
          <w:lang w:val="en-GB"/>
        </w:rPr>
        <w:t>the</w:t>
      </w:r>
      <w:r w:rsidR="004F41A0" w:rsidRPr="00610088">
        <w:rPr>
          <w:lang w:val="en-GB"/>
        </w:rPr>
        <w:t xml:space="preserve"> few</w:t>
      </w:r>
      <w:r w:rsidR="00CB016D" w:rsidRPr="00610088">
        <w:rPr>
          <w:lang w:val="en-GB"/>
        </w:rPr>
        <w:t xml:space="preserve"> </w:t>
      </w:r>
      <w:r w:rsidRPr="00610088">
        <w:rPr>
          <w:lang w:val="en-GB"/>
        </w:rPr>
        <w:t xml:space="preserve">geographically small initiatives </w:t>
      </w:r>
      <w:r w:rsidR="00CB016D" w:rsidRPr="00610088">
        <w:rPr>
          <w:lang w:val="en-GB"/>
        </w:rPr>
        <w:t>described under NCD financing</w:t>
      </w:r>
      <w:r w:rsidR="009F353D" w:rsidRPr="00610088">
        <w:rPr>
          <w:lang w:val="en-GB"/>
        </w:rPr>
        <w:t xml:space="preserve"> (see also Annex 4)</w:t>
      </w:r>
      <w:r w:rsidR="00CB016D" w:rsidRPr="00610088">
        <w:rPr>
          <w:lang w:val="en-GB"/>
        </w:rPr>
        <w:t xml:space="preserve"> and NCD service delivery</w:t>
      </w:r>
      <w:r w:rsidR="009F353D" w:rsidRPr="00610088">
        <w:rPr>
          <w:lang w:val="en-GB"/>
        </w:rPr>
        <w:t>,</w:t>
      </w:r>
      <w:r w:rsidRPr="00610088">
        <w:rPr>
          <w:lang w:val="en-GB"/>
        </w:rPr>
        <w:t xml:space="preserve"> there are no community level care systems for chronic or NCD conditions. </w:t>
      </w:r>
    </w:p>
    <w:p w14:paraId="4727407F" w14:textId="77777777" w:rsidR="008259C9" w:rsidRPr="00610088" w:rsidRDefault="008259C9" w:rsidP="001B16D1">
      <w:pPr>
        <w:rPr>
          <w:lang w:val="en-GB"/>
        </w:rPr>
      </w:pPr>
    </w:p>
    <w:p w14:paraId="2B4D185F" w14:textId="179BB6A5" w:rsidR="0057323A" w:rsidRPr="00610088" w:rsidRDefault="0057323A" w:rsidP="001B16D1">
      <w:pPr>
        <w:rPr>
          <w:lang w:val="en-GB"/>
        </w:rPr>
      </w:pPr>
      <w:r w:rsidRPr="00610088">
        <w:rPr>
          <w:lang w:val="en-GB"/>
        </w:rPr>
        <w:t xml:space="preserve">The CHW scope of work </w:t>
      </w:r>
      <w:r w:rsidRPr="00610088">
        <w:rPr>
          <w:vertAlign w:val="superscript"/>
          <w:lang w:val="en-GB"/>
        </w:rPr>
        <w:fldChar w:fldCharType="begin"/>
      </w:r>
      <w:r w:rsidRPr="00610088">
        <w:rPr>
          <w:vertAlign w:val="superscript"/>
          <w:lang w:val="en-GB"/>
        </w:rPr>
        <w:instrText xml:space="preserve"> NOTEREF _Ref15430042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109</w:t>
      </w:r>
      <w:r w:rsidRPr="00610088">
        <w:rPr>
          <w:vertAlign w:val="superscript"/>
          <w:lang w:val="en-GB"/>
        </w:rPr>
        <w:fldChar w:fldCharType="end"/>
      </w:r>
      <w:r w:rsidRPr="00610088">
        <w:rPr>
          <w:lang w:val="en-GB"/>
        </w:rPr>
        <w:t xml:space="preserve"> does not include non-communicable diseases. Some key informants in the field assessment expressed distrust in the health system. Almost all non-health sector respondents mentioned the lack of monitoring and management devices for NCDs at health facilities. </w:t>
      </w:r>
    </w:p>
    <w:p w14:paraId="47063840" w14:textId="77777777" w:rsidR="000F5DAF" w:rsidRPr="00610088" w:rsidRDefault="000F5DAF" w:rsidP="001B16D1">
      <w:pPr>
        <w:rPr>
          <w:szCs w:val="22"/>
          <w:lang w:val="en-GB"/>
        </w:rPr>
      </w:pPr>
    </w:p>
    <w:p w14:paraId="4E6C0B86" w14:textId="4D7DC550" w:rsidR="000F5DAF" w:rsidRPr="00610088" w:rsidRDefault="000F5DAF" w:rsidP="001B16D1">
      <w:pPr>
        <w:rPr>
          <w:lang w:val="en-GB"/>
        </w:rPr>
      </w:pPr>
      <w:r w:rsidRPr="00610088">
        <w:rPr>
          <w:lang w:val="en-GB"/>
        </w:rPr>
        <w:t xml:space="preserve">In the Bo </w:t>
      </w:r>
      <w:r w:rsidR="002F142B" w:rsidRPr="00610088">
        <w:rPr>
          <w:lang w:val="en-GB"/>
        </w:rPr>
        <w:t xml:space="preserve">District </w:t>
      </w:r>
      <w:r w:rsidRPr="00610088">
        <w:rPr>
          <w:lang w:val="en-GB"/>
        </w:rPr>
        <w:t xml:space="preserve">CVD risk factor study (preliminary analysis) </w:t>
      </w:r>
      <w:r w:rsidRPr="00610088">
        <w:rPr>
          <w:vertAlign w:val="superscript"/>
          <w:lang w:val="en-GB"/>
        </w:rPr>
        <w:fldChar w:fldCharType="begin"/>
      </w:r>
      <w:r w:rsidRPr="00610088">
        <w:rPr>
          <w:vertAlign w:val="superscript"/>
          <w:lang w:val="en-GB"/>
        </w:rPr>
        <w:instrText xml:space="preserve"> NOTEREF _Ref17030981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157</w:t>
      </w:r>
      <w:r w:rsidRPr="00610088">
        <w:rPr>
          <w:vertAlign w:val="superscript"/>
          <w:lang w:val="en-GB"/>
        </w:rPr>
        <w:fldChar w:fldCharType="end"/>
      </w:r>
      <w:r w:rsidRPr="00610088">
        <w:rPr>
          <w:vertAlign w:val="superscript"/>
          <w:lang w:val="en-GB"/>
        </w:rPr>
        <w:t xml:space="preserve">  </w:t>
      </w:r>
      <w:r w:rsidRPr="00610088">
        <w:rPr>
          <w:lang w:val="en-GB"/>
        </w:rPr>
        <w:t xml:space="preserve">respondents mentioned the choice between traditional medicine, “English” medicine (local clinic or hospital) or self-treatment. Main treatment barriers mentioned were cost (treatment, medicine, transport), insufficient personnel and equipment and long waiting time. Based on this, respondents either decided to not access health care or suffer the consequences of having no more money for food or having to borrow money. </w:t>
      </w:r>
    </w:p>
    <w:p w14:paraId="69BE8E75" w14:textId="77777777" w:rsidR="000F5DAF" w:rsidRPr="00610088" w:rsidRDefault="000F5DAF" w:rsidP="001B16D1">
      <w:pPr>
        <w:rPr>
          <w:szCs w:val="22"/>
          <w:lang w:val="en-GB"/>
        </w:rPr>
      </w:pPr>
    </w:p>
    <w:p w14:paraId="7FFF30B3" w14:textId="4ECE0A3D" w:rsidR="000F5DAF" w:rsidRPr="00610088" w:rsidRDefault="004F41A0" w:rsidP="001B16D1">
      <w:pPr>
        <w:rPr>
          <w:szCs w:val="22"/>
          <w:lang w:val="en-GB"/>
        </w:rPr>
      </w:pPr>
      <w:r w:rsidRPr="00610088">
        <w:rPr>
          <w:szCs w:val="22"/>
          <w:lang w:val="en-GB"/>
        </w:rPr>
        <w:t>Preliminary analysis of a recent study</w:t>
      </w:r>
      <w:r w:rsidR="00B620A6" w:rsidRPr="00610088">
        <w:rPr>
          <w:szCs w:val="22"/>
          <w:vertAlign w:val="superscript"/>
          <w:lang w:val="en-GB"/>
        </w:rPr>
        <w:fldChar w:fldCharType="begin"/>
      </w:r>
      <w:r w:rsidR="00B620A6" w:rsidRPr="00610088">
        <w:rPr>
          <w:szCs w:val="22"/>
          <w:vertAlign w:val="superscript"/>
          <w:lang w:val="en-GB"/>
        </w:rPr>
        <w:instrText xml:space="preserve"> NOTEREF _Ref17030981 \h  \* MERGEFORMAT </w:instrText>
      </w:r>
      <w:r w:rsidR="00B620A6" w:rsidRPr="00610088">
        <w:rPr>
          <w:szCs w:val="22"/>
          <w:vertAlign w:val="superscript"/>
          <w:lang w:val="en-GB"/>
        </w:rPr>
      </w:r>
      <w:r w:rsidR="00B620A6" w:rsidRPr="00610088">
        <w:rPr>
          <w:szCs w:val="22"/>
          <w:vertAlign w:val="superscript"/>
          <w:lang w:val="en-GB"/>
        </w:rPr>
        <w:fldChar w:fldCharType="separate"/>
      </w:r>
      <w:r w:rsidR="00CB360C">
        <w:rPr>
          <w:szCs w:val="22"/>
          <w:vertAlign w:val="superscript"/>
          <w:lang w:val="en-GB"/>
        </w:rPr>
        <w:t>157</w:t>
      </w:r>
      <w:r w:rsidR="00B620A6" w:rsidRPr="00610088">
        <w:rPr>
          <w:szCs w:val="22"/>
          <w:vertAlign w:val="superscript"/>
          <w:lang w:val="en-GB"/>
        </w:rPr>
        <w:fldChar w:fldCharType="end"/>
      </w:r>
      <w:r w:rsidR="00B620A6" w:rsidRPr="00610088">
        <w:rPr>
          <w:szCs w:val="22"/>
          <w:vertAlign w:val="superscript"/>
          <w:lang w:val="en-GB"/>
        </w:rPr>
        <w:t xml:space="preserve"> </w:t>
      </w:r>
      <w:r w:rsidRPr="00610088">
        <w:rPr>
          <w:szCs w:val="22"/>
          <w:lang w:val="en-GB"/>
        </w:rPr>
        <w:t xml:space="preserve">shows there is wide variety in the knowledge and understanding of cardiovascular disease risk factors at community level with poor perceptions of treatment options and coexistence of those risk factors. </w:t>
      </w:r>
      <w:r w:rsidR="002173A2" w:rsidRPr="00610088">
        <w:rPr>
          <w:szCs w:val="22"/>
          <w:lang w:val="en-GB"/>
        </w:rPr>
        <w:t>Another recent study</w:t>
      </w:r>
      <w:bookmarkStart w:id="89" w:name="_Ref34484878"/>
      <w:r w:rsidR="002173A2" w:rsidRPr="00610088">
        <w:rPr>
          <w:rStyle w:val="EndnoteReference"/>
          <w:szCs w:val="22"/>
          <w:lang w:val="en-GB"/>
        </w:rPr>
        <w:endnoteReference w:id="93"/>
      </w:r>
      <w:bookmarkEnd w:id="89"/>
      <w:r w:rsidR="002173A2" w:rsidRPr="00610088">
        <w:rPr>
          <w:szCs w:val="22"/>
          <w:lang w:val="en-GB"/>
        </w:rPr>
        <w:t xml:space="preserve"> suggests there is adequate basic knowledge on causes and symptoms of common NCDs in both rural and urban areas. There is a tendency to focus on and react to severe symptoms or events. Care seeking is influenced by distance to health </w:t>
      </w:r>
      <w:r w:rsidR="000F5DAF" w:rsidRPr="00610088">
        <w:rPr>
          <w:szCs w:val="22"/>
          <w:lang w:val="en-GB"/>
        </w:rPr>
        <w:t>facilities</w:t>
      </w:r>
      <w:r w:rsidR="002173A2" w:rsidRPr="00610088">
        <w:rPr>
          <w:szCs w:val="22"/>
          <w:lang w:val="en-GB"/>
        </w:rPr>
        <w:t xml:space="preserve">, cost of services, previous experiences of care </w:t>
      </w:r>
      <w:r w:rsidR="000F5DAF" w:rsidRPr="00610088">
        <w:rPr>
          <w:szCs w:val="22"/>
          <w:lang w:val="en-GB"/>
        </w:rPr>
        <w:t xml:space="preserve">but also by the acuteness of the presentation and personal and community beliefs. </w:t>
      </w:r>
    </w:p>
    <w:p w14:paraId="72D1A40C" w14:textId="28D4B273" w:rsidR="000F5DAF" w:rsidRPr="00610088" w:rsidRDefault="000F5DAF" w:rsidP="001B16D1">
      <w:pPr>
        <w:rPr>
          <w:lang w:val="en-GB"/>
        </w:rPr>
      </w:pPr>
      <w:r w:rsidRPr="00610088">
        <w:rPr>
          <w:lang w:val="en-GB"/>
        </w:rPr>
        <w:t xml:space="preserve">Care seeking for violence is higher among women (55%) then among men (32%), they most often sought help from their families (F 76%, M 70%). </w:t>
      </w:r>
      <w:r w:rsidRPr="00610088">
        <w:rPr>
          <w:lang w:val="en-GB"/>
        </w:rPr>
        <w:fldChar w:fldCharType="begin"/>
      </w:r>
      <w:r w:rsidRPr="00610088">
        <w:rPr>
          <w:lang w:val="en-GB"/>
        </w:rPr>
        <w:instrText xml:space="preserve"> NOTEREF _Ref17298289 \f \h </w:instrText>
      </w:r>
      <w:r w:rsidR="001B16D1">
        <w:rPr>
          <w:lang w:val="en-GB"/>
        </w:rPr>
        <w:instrText xml:space="preserve"> \* MERGEFORMAT </w:instrText>
      </w:r>
      <w:r w:rsidRPr="00610088">
        <w:rPr>
          <w:lang w:val="en-GB"/>
        </w:rPr>
      </w:r>
      <w:r w:rsidRPr="00610088">
        <w:rPr>
          <w:lang w:val="en-GB"/>
        </w:rPr>
        <w:fldChar w:fldCharType="separate"/>
      </w:r>
      <w:r w:rsidR="00CB360C" w:rsidRPr="00CB360C">
        <w:rPr>
          <w:rStyle w:val="EndnoteReference"/>
        </w:rPr>
        <w:t>8</w:t>
      </w:r>
      <w:r w:rsidRPr="00610088">
        <w:rPr>
          <w:lang w:val="en-GB"/>
        </w:rPr>
        <w:fldChar w:fldCharType="end"/>
      </w:r>
    </w:p>
    <w:p w14:paraId="6A5FA857" w14:textId="6F8F53BF" w:rsidR="004F41A0" w:rsidRPr="00610088" w:rsidRDefault="004F41A0" w:rsidP="004F41A0">
      <w:pPr>
        <w:autoSpaceDE w:val="0"/>
        <w:autoSpaceDN w:val="0"/>
        <w:adjustRightInd w:val="0"/>
        <w:rPr>
          <w:szCs w:val="22"/>
          <w:lang w:val="en-GB"/>
        </w:rPr>
      </w:pPr>
    </w:p>
    <w:p w14:paraId="47ACCA87" w14:textId="55199A91" w:rsidR="0057323A" w:rsidRPr="00610088" w:rsidRDefault="00956A0E" w:rsidP="001B16D1">
      <w:pPr>
        <w:rPr>
          <w:lang w:val="en-GB"/>
        </w:rPr>
      </w:pPr>
      <w:r w:rsidRPr="00610088">
        <w:rPr>
          <w:lang w:val="en-GB"/>
        </w:rPr>
        <w:t xml:space="preserve">The hypertension screening project implemented by the CHO-MLTP program </w:t>
      </w:r>
      <w:r w:rsidRPr="00610088">
        <w:rPr>
          <w:vertAlign w:val="superscript"/>
          <w:lang w:val="en-GB"/>
        </w:rPr>
        <w:fldChar w:fldCharType="begin"/>
      </w:r>
      <w:r w:rsidRPr="00610088">
        <w:rPr>
          <w:vertAlign w:val="superscript"/>
          <w:lang w:val="en-GB"/>
        </w:rPr>
        <w:instrText xml:space="preserve"> NOTEREF _Ref17258554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203</w:t>
      </w:r>
      <w:r w:rsidRPr="00610088">
        <w:rPr>
          <w:vertAlign w:val="superscript"/>
          <w:lang w:val="en-GB"/>
        </w:rPr>
        <w:fldChar w:fldCharType="end"/>
      </w:r>
      <w:r w:rsidRPr="00610088">
        <w:rPr>
          <w:vertAlign w:val="superscript"/>
          <w:lang w:val="en-GB"/>
        </w:rPr>
        <w:t>,</w:t>
      </w:r>
      <w:r w:rsidRPr="00610088">
        <w:rPr>
          <w:vertAlign w:val="superscript"/>
          <w:lang w:val="en-GB"/>
        </w:rPr>
        <w:fldChar w:fldCharType="begin"/>
      </w:r>
      <w:r w:rsidRPr="00610088">
        <w:rPr>
          <w:vertAlign w:val="superscript"/>
          <w:lang w:val="en-GB"/>
        </w:rPr>
        <w:instrText xml:space="preserve"> NOTEREF _Ref17258556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204</w:t>
      </w:r>
      <w:r w:rsidRPr="00610088">
        <w:rPr>
          <w:vertAlign w:val="superscript"/>
          <w:lang w:val="en-GB"/>
        </w:rPr>
        <w:fldChar w:fldCharType="end"/>
      </w:r>
      <w:r w:rsidRPr="00610088">
        <w:rPr>
          <w:lang w:val="en-GB"/>
        </w:rPr>
        <w:t xml:space="preserve"> in 69 CHCs in 10 districts was able to increase awareness on NCDs, especially on hypertension, in the communities. CHWs proved effective in creating community awareness and sensitization of community leaders on hypertension, while good collaboration between PHU staff and CHWs enhanced follow-up of patients with elevated blood pressure. </w:t>
      </w:r>
    </w:p>
    <w:p w14:paraId="5C53A7FB" w14:textId="10603F79" w:rsidR="00FC47F6" w:rsidRPr="00610088" w:rsidRDefault="00FC47F6" w:rsidP="001B16D1">
      <w:pPr>
        <w:rPr>
          <w:lang w:val="en-GB"/>
        </w:rPr>
      </w:pPr>
    </w:p>
    <w:p w14:paraId="576FBF06" w14:textId="670565FA" w:rsidR="00FC47F6" w:rsidRPr="00610088" w:rsidRDefault="00FC47F6" w:rsidP="001B16D1">
      <w:pPr>
        <w:rPr>
          <w:lang w:val="en-GB"/>
        </w:rPr>
      </w:pPr>
      <w:r w:rsidRPr="00610088">
        <w:rPr>
          <w:lang w:val="en-GB"/>
        </w:rPr>
        <w:t>The NGO GOAL used a community engagement approach to address substance use among children and youths in slum and disadvantaged communities in Sierra Leone.</w:t>
      </w:r>
      <w:r w:rsidR="008259C9" w:rsidRPr="00610088">
        <w:rPr>
          <w:lang w:val="en-GB"/>
        </w:rPr>
        <w:t xml:space="preserve"> </w:t>
      </w:r>
      <w:r w:rsidR="004238A3" w:rsidRPr="00610088">
        <w:rPr>
          <w:rStyle w:val="EndnoteReference"/>
          <w:lang w:val="en-GB"/>
        </w:rPr>
        <w:endnoteReference w:id="94"/>
      </w:r>
    </w:p>
    <w:p w14:paraId="5526093A" w14:textId="2F3CD501" w:rsidR="000F5DAF" w:rsidRPr="00610088" w:rsidRDefault="000F5DAF" w:rsidP="001B16D1">
      <w:pPr>
        <w:rPr>
          <w:lang w:val="en-GB"/>
        </w:rPr>
      </w:pPr>
    </w:p>
    <w:p w14:paraId="1A591594" w14:textId="3A373C4D" w:rsidR="002173A2" w:rsidRPr="00610088" w:rsidRDefault="000F5DAF" w:rsidP="001B16D1">
      <w:pPr>
        <w:rPr>
          <w:lang w:val="en-GB"/>
        </w:rPr>
      </w:pPr>
      <w:r w:rsidRPr="00610088">
        <w:rPr>
          <w:lang w:val="en-GB"/>
        </w:rPr>
        <w:t>There is clearly a need for deeper understanding of community perceptions, as well as stronger links with existing community actors</w:t>
      </w:r>
      <w:r w:rsidRPr="00610088">
        <w:rPr>
          <w:vertAlign w:val="superscript"/>
          <w:lang w:val="en-GB"/>
        </w:rPr>
        <w:fldChar w:fldCharType="begin"/>
      </w:r>
      <w:r w:rsidRPr="00610088">
        <w:rPr>
          <w:vertAlign w:val="superscript"/>
          <w:lang w:val="en-GB"/>
        </w:rPr>
        <w:instrText xml:space="preserve"> NOTEREF _Ref34484878 \h  \* MERGEFORMAT </w:instrText>
      </w:r>
      <w:r w:rsidRPr="00610088">
        <w:rPr>
          <w:vertAlign w:val="superscript"/>
          <w:lang w:val="en-GB"/>
        </w:rPr>
      </w:r>
      <w:r w:rsidRPr="00610088">
        <w:rPr>
          <w:vertAlign w:val="superscript"/>
          <w:lang w:val="en-GB"/>
        </w:rPr>
        <w:fldChar w:fldCharType="separate"/>
      </w:r>
      <w:r w:rsidR="00CB360C">
        <w:rPr>
          <w:vertAlign w:val="superscript"/>
          <w:lang w:val="en-GB"/>
        </w:rPr>
        <w:t>93</w:t>
      </w:r>
      <w:r w:rsidRPr="00610088">
        <w:rPr>
          <w:vertAlign w:val="superscript"/>
          <w:lang w:val="en-GB"/>
        </w:rPr>
        <w:fldChar w:fldCharType="end"/>
      </w:r>
      <w:r w:rsidRPr="00610088">
        <w:rPr>
          <w:lang w:val="en-GB"/>
        </w:rPr>
        <w:t xml:space="preserve">, aiming at a real engagement at community level. </w:t>
      </w:r>
    </w:p>
    <w:p w14:paraId="1EDC0E8E" w14:textId="77777777" w:rsidR="00FC47F6" w:rsidRPr="00610088" w:rsidRDefault="00FC47F6" w:rsidP="001B16D1">
      <w:pPr>
        <w:rPr>
          <w:lang w:val="en-GB"/>
        </w:rPr>
      </w:pPr>
    </w:p>
    <w:p w14:paraId="696F535A" w14:textId="5676A1AA" w:rsidR="00714C8C" w:rsidRPr="00610088" w:rsidRDefault="00714C8C" w:rsidP="00714C8C">
      <w:pPr>
        <w:pStyle w:val="Heading4"/>
        <w:rPr>
          <w:lang w:val="en-GB"/>
        </w:rPr>
      </w:pPr>
      <w:r w:rsidRPr="00610088">
        <w:rPr>
          <w:lang w:val="en-GB"/>
        </w:rPr>
        <w:lastRenderedPageBreak/>
        <w:t>Traditional treatment of NCDs in Sierra Leone</w:t>
      </w:r>
    </w:p>
    <w:p w14:paraId="09272379" w14:textId="0B6D7466" w:rsidR="00703145" w:rsidRPr="00610088" w:rsidRDefault="00703145" w:rsidP="001B16D1">
      <w:pPr>
        <w:rPr>
          <w:lang w:val="en-GB"/>
        </w:rPr>
      </w:pPr>
      <w:r w:rsidRPr="00610088">
        <w:rPr>
          <w:lang w:val="en-GB"/>
        </w:rPr>
        <w:t>Traditional treatment for medical conditions is common in Sierra Leone, both as home</w:t>
      </w:r>
      <w:r w:rsidR="00CB016D" w:rsidRPr="00610088">
        <w:rPr>
          <w:lang w:val="en-GB"/>
        </w:rPr>
        <w:t xml:space="preserve"> or self-treatment</w:t>
      </w:r>
      <w:r w:rsidRPr="00610088">
        <w:rPr>
          <w:lang w:val="en-GB"/>
        </w:rPr>
        <w:t xml:space="preserve"> and through traditional healers. This might be because they are more familiar to the patient, located closer to them or cheaper and/or also accepting in-kind treatment and also because of traditional explanations of medical conditions. During the field assessment many respondents mentioned the words “witch gun” and “witchcraft” as perceived causes of disease among communities, especially for unexplained and/or more chronic conditions, like NCDs.  </w:t>
      </w:r>
    </w:p>
    <w:p w14:paraId="44D51ECB" w14:textId="77777777" w:rsidR="00703145" w:rsidRPr="00610088" w:rsidRDefault="00703145" w:rsidP="001B16D1">
      <w:pPr>
        <w:rPr>
          <w:b/>
          <w:bCs/>
          <w:lang w:val="en-GB"/>
        </w:rPr>
      </w:pPr>
    </w:p>
    <w:p w14:paraId="16DC2AA3" w14:textId="5266F01B" w:rsidR="00E75F64" w:rsidRPr="00610088" w:rsidRDefault="00703145" w:rsidP="001B16D1">
      <w:pPr>
        <w:rPr>
          <w:szCs w:val="21"/>
          <w:lang w:val="en-GB"/>
        </w:rPr>
      </w:pPr>
      <w:r w:rsidRPr="00610088">
        <w:rPr>
          <w:lang w:val="en-GB"/>
        </w:rPr>
        <w:t>In a 2012 nation-wide surgical needs study</w:t>
      </w:r>
      <w:r w:rsidRPr="00610088">
        <w:rPr>
          <w:b/>
          <w:bCs/>
          <w:lang w:val="en-GB"/>
        </w:rPr>
        <w:t xml:space="preserve"> </w:t>
      </w:r>
      <w:r w:rsidR="0057323A" w:rsidRPr="00610088">
        <w:rPr>
          <w:lang w:val="en-GB"/>
        </w:rPr>
        <w:t>21% of the burn cases went to a traditional healer for care.</w:t>
      </w:r>
      <w:r w:rsidR="0057323A" w:rsidRPr="00610088">
        <w:rPr>
          <w:vertAlign w:val="superscript"/>
          <w:lang w:val="en-GB"/>
        </w:rPr>
        <w:fldChar w:fldCharType="begin"/>
      </w:r>
      <w:r w:rsidR="0057323A" w:rsidRPr="00610088">
        <w:rPr>
          <w:vertAlign w:val="superscript"/>
          <w:lang w:val="en-GB"/>
        </w:rPr>
        <w:instrText xml:space="preserve"> NOTEREF _Ref16752211 \h  \* MERGEFORMAT </w:instrText>
      </w:r>
      <w:r w:rsidR="0057323A" w:rsidRPr="00610088">
        <w:rPr>
          <w:vertAlign w:val="superscript"/>
          <w:lang w:val="en-GB"/>
        </w:rPr>
      </w:r>
      <w:r w:rsidR="0057323A" w:rsidRPr="00610088">
        <w:rPr>
          <w:vertAlign w:val="superscript"/>
          <w:lang w:val="en-GB"/>
        </w:rPr>
        <w:fldChar w:fldCharType="separate"/>
      </w:r>
      <w:r w:rsidR="00CB360C">
        <w:rPr>
          <w:vertAlign w:val="superscript"/>
          <w:lang w:val="en-GB"/>
        </w:rPr>
        <w:t>161</w:t>
      </w:r>
      <w:r w:rsidR="0057323A" w:rsidRPr="00610088">
        <w:rPr>
          <w:vertAlign w:val="superscript"/>
          <w:lang w:val="en-GB"/>
        </w:rPr>
        <w:fldChar w:fldCharType="end"/>
      </w:r>
      <w:r w:rsidRPr="00610088">
        <w:rPr>
          <w:vertAlign w:val="superscript"/>
          <w:lang w:val="en-GB"/>
        </w:rPr>
        <w:t xml:space="preserve">  </w:t>
      </w:r>
      <w:r w:rsidR="00E75F64" w:rsidRPr="00610088">
        <w:rPr>
          <w:szCs w:val="21"/>
          <w:lang w:val="en-GB"/>
        </w:rPr>
        <w:t>More than half (56.9%) of 260 hypertensive patients attending public and private health facilities in Freetown</w:t>
      </w:r>
      <w:r w:rsidRPr="00610088">
        <w:rPr>
          <w:szCs w:val="21"/>
          <w:lang w:val="en-GB"/>
        </w:rPr>
        <w:t xml:space="preserve"> in 2016</w:t>
      </w:r>
      <w:r w:rsidR="00E75F64" w:rsidRPr="00610088">
        <w:rPr>
          <w:szCs w:val="21"/>
          <w:lang w:val="en-GB"/>
        </w:rPr>
        <w:t xml:space="preserve"> used herbal medicine to treat hypertension (alone or combined with other conditions). The most commonly used herbal medicines were honey (33.3%), moringa (30.0%) and garlic (27.3%). 85.1% of the patients did not disclose their herbal medicine use to their health care providers.</w:t>
      </w:r>
      <w:bookmarkStart w:id="90" w:name="_Ref17026558"/>
      <w:r w:rsidR="00E75F64" w:rsidRPr="00610088">
        <w:rPr>
          <w:rStyle w:val="EndnoteReference"/>
          <w:szCs w:val="21"/>
          <w:lang w:val="en-GB"/>
        </w:rPr>
        <w:endnoteReference w:id="95"/>
      </w:r>
      <w:bookmarkEnd w:id="90"/>
      <w:r w:rsidR="00E75F64" w:rsidRPr="00610088">
        <w:rPr>
          <w:szCs w:val="21"/>
          <w:lang w:val="en-GB"/>
        </w:rPr>
        <w:t xml:space="preserve"> </w:t>
      </w:r>
    </w:p>
    <w:p w14:paraId="28C95C16" w14:textId="4FDE6EFD" w:rsidR="009145FB" w:rsidRPr="00610088" w:rsidRDefault="009145FB" w:rsidP="001B16D1">
      <w:pPr>
        <w:rPr>
          <w:lang w:val="en-GB"/>
        </w:rPr>
      </w:pPr>
    </w:p>
    <w:p w14:paraId="60C588C1" w14:textId="0FBB77D3" w:rsidR="009145FB" w:rsidRPr="00610088" w:rsidRDefault="00703145" w:rsidP="001B16D1">
      <w:pPr>
        <w:rPr>
          <w:szCs w:val="21"/>
          <w:lang w:val="en-GB"/>
        </w:rPr>
      </w:pPr>
      <w:r w:rsidRPr="00610088">
        <w:rPr>
          <w:szCs w:val="21"/>
          <w:lang w:val="en-GB"/>
        </w:rPr>
        <w:t>There might also be a different interpretation of medical words</w:t>
      </w:r>
      <w:r w:rsidR="008F3E7E" w:rsidRPr="00610088">
        <w:rPr>
          <w:szCs w:val="21"/>
          <w:lang w:val="en-GB"/>
        </w:rPr>
        <w:t xml:space="preserve"> at community level</w:t>
      </w:r>
      <w:r w:rsidRPr="00610088">
        <w:rPr>
          <w:szCs w:val="21"/>
          <w:lang w:val="en-GB"/>
        </w:rPr>
        <w:t>.</w:t>
      </w:r>
      <w:r w:rsidR="008F3E7E" w:rsidRPr="00610088">
        <w:rPr>
          <w:szCs w:val="21"/>
          <w:lang w:val="en-GB"/>
        </w:rPr>
        <w:t xml:space="preserve"> For </w:t>
      </w:r>
      <w:r w:rsidR="002644BA" w:rsidRPr="00610088">
        <w:rPr>
          <w:szCs w:val="21"/>
          <w:lang w:val="en-GB"/>
        </w:rPr>
        <w:t>example,</w:t>
      </w:r>
      <w:r w:rsidR="008F3E7E" w:rsidRPr="00610088">
        <w:rPr>
          <w:szCs w:val="21"/>
          <w:lang w:val="en-GB"/>
        </w:rPr>
        <w:t xml:space="preserve"> t</w:t>
      </w:r>
      <w:r w:rsidRPr="00610088">
        <w:rPr>
          <w:szCs w:val="21"/>
          <w:lang w:val="en-GB"/>
        </w:rPr>
        <w:t xml:space="preserve">he </w:t>
      </w:r>
      <w:r w:rsidR="0021385C" w:rsidRPr="00610088">
        <w:rPr>
          <w:szCs w:val="21"/>
          <w:lang w:val="en-GB"/>
        </w:rPr>
        <w:t xml:space="preserve">Mende </w:t>
      </w:r>
      <w:r w:rsidRPr="00610088">
        <w:rPr>
          <w:szCs w:val="21"/>
          <w:lang w:val="en-GB"/>
        </w:rPr>
        <w:t>word</w:t>
      </w:r>
      <w:r w:rsidR="0021385C" w:rsidRPr="00610088">
        <w:rPr>
          <w:szCs w:val="21"/>
          <w:lang w:val="en-GB"/>
        </w:rPr>
        <w:t xml:space="preserve"> </w:t>
      </w:r>
      <w:proofErr w:type="spellStart"/>
      <w:r w:rsidR="0021385C" w:rsidRPr="00610088">
        <w:rPr>
          <w:i/>
          <w:iCs/>
          <w:szCs w:val="21"/>
          <w:lang w:val="en-GB"/>
        </w:rPr>
        <w:t>haypatεnsi</w:t>
      </w:r>
      <w:proofErr w:type="spellEnd"/>
      <w:r w:rsidR="008F3E7E" w:rsidRPr="00610088">
        <w:rPr>
          <w:szCs w:val="21"/>
          <w:lang w:val="en-GB"/>
        </w:rPr>
        <w:t xml:space="preserve"> </w:t>
      </w:r>
      <w:r w:rsidRPr="00610088">
        <w:rPr>
          <w:szCs w:val="21"/>
          <w:lang w:val="en-GB"/>
        </w:rPr>
        <w:t xml:space="preserve">was according to one study </w:t>
      </w:r>
      <w:r w:rsidRPr="00610088">
        <w:rPr>
          <w:rStyle w:val="EndnoteReference"/>
          <w:szCs w:val="21"/>
          <w:lang w:val="en-GB"/>
        </w:rPr>
        <w:endnoteReference w:id="96"/>
      </w:r>
      <w:r w:rsidRPr="00610088">
        <w:rPr>
          <w:szCs w:val="21"/>
          <w:lang w:val="en-GB"/>
        </w:rPr>
        <w:t xml:space="preserve"> </w:t>
      </w:r>
      <w:r w:rsidR="004E0207" w:rsidRPr="00610088">
        <w:rPr>
          <w:szCs w:val="21"/>
          <w:lang w:val="en-GB"/>
        </w:rPr>
        <w:t>not only used during the war</w:t>
      </w:r>
      <w:r w:rsidR="008F3E7E" w:rsidRPr="00610088">
        <w:rPr>
          <w:szCs w:val="21"/>
          <w:lang w:val="en-GB"/>
        </w:rPr>
        <w:t xml:space="preserve"> time</w:t>
      </w:r>
      <w:r w:rsidR="004E0207" w:rsidRPr="00610088">
        <w:rPr>
          <w:szCs w:val="21"/>
          <w:lang w:val="en-GB"/>
        </w:rPr>
        <w:t xml:space="preserve"> to indicate</w:t>
      </w:r>
      <w:r w:rsidRPr="00610088">
        <w:rPr>
          <w:szCs w:val="21"/>
          <w:lang w:val="en-GB"/>
        </w:rPr>
        <w:t xml:space="preserve"> hypertension, but </w:t>
      </w:r>
      <w:r w:rsidR="004E0207" w:rsidRPr="00610088">
        <w:rPr>
          <w:szCs w:val="21"/>
          <w:lang w:val="en-GB"/>
        </w:rPr>
        <w:t xml:space="preserve">was also used to mediate lived, traumatic experiences. For </w:t>
      </w:r>
      <w:r w:rsidR="008F3E7E" w:rsidRPr="00610088">
        <w:rPr>
          <w:szCs w:val="21"/>
          <w:lang w:val="en-GB"/>
        </w:rPr>
        <w:t>example,</w:t>
      </w:r>
      <w:r w:rsidR="004E0207" w:rsidRPr="00610088">
        <w:rPr>
          <w:szCs w:val="21"/>
          <w:lang w:val="en-GB"/>
        </w:rPr>
        <w:t xml:space="preserve"> respondents described how </w:t>
      </w:r>
      <w:proofErr w:type="spellStart"/>
      <w:r w:rsidR="004E0207" w:rsidRPr="00610088">
        <w:rPr>
          <w:i/>
          <w:iCs/>
          <w:szCs w:val="21"/>
          <w:lang w:val="en-GB"/>
        </w:rPr>
        <w:t>haypatεnsi</w:t>
      </w:r>
      <w:proofErr w:type="spellEnd"/>
      <w:r w:rsidR="004E0207" w:rsidRPr="00610088">
        <w:rPr>
          <w:szCs w:val="21"/>
          <w:lang w:val="en-GB"/>
        </w:rPr>
        <w:t xml:space="preserve"> “attacks” the body</w:t>
      </w:r>
      <w:r w:rsidR="008F3E7E" w:rsidRPr="00610088">
        <w:rPr>
          <w:szCs w:val="21"/>
          <w:lang w:val="en-GB"/>
        </w:rPr>
        <w:t xml:space="preserve"> and </w:t>
      </w:r>
      <w:r w:rsidR="004E0207" w:rsidRPr="00610088">
        <w:rPr>
          <w:szCs w:val="21"/>
          <w:lang w:val="en-GB"/>
        </w:rPr>
        <w:t>how palpitations seem like gun-shots. Unlike the – often symptom</w:t>
      </w:r>
      <w:r w:rsidR="008F3E7E" w:rsidRPr="00610088">
        <w:rPr>
          <w:szCs w:val="21"/>
          <w:lang w:val="en-GB"/>
        </w:rPr>
        <w:t>-</w:t>
      </w:r>
      <w:r w:rsidR="004E0207" w:rsidRPr="00610088">
        <w:rPr>
          <w:szCs w:val="21"/>
          <w:lang w:val="en-GB"/>
        </w:rPr>
        <w:t xml:space="preserve">less – Western hypertension, the local </w:t>
      </w:r>
      <w:proofErr w:type="spellStart"/>
      <w:r w:rsidR="004E0207" w:rsidRPr="00610088">
        <w:rPr>
          <w:i/>
          <w:iCs/>
          <w:szCs w:val="21"/>
          <w:lang w:val="en-GB"/>
        </w:rPr>
        <w:t>haypatεnsi</w:t>
      </w:r>
      <w:proofErr w:type="spellEnd"/>
      <w:r w:rsidR="004E0207" w:rsidRPr="00610088">
        <w:rPr>
          <w:szCs w:val="21"/>
          <w:lang w:val="en-GB"/>
        </w:rPr>
        <w:t xml:space="preserve"> </w:t>
      </w:r>
      <w:r w:rsidR="008F3E7E" w:rsidRPr="00610088">
        <w:rPr>
          <w:szCs w:val="21"/>
          <w:lang w:val="en-GB"/>
        </w:rPr>
        <w:t xml:space="preserve">was </w:t>
      </w:r>
      <w:r w:rsidR="004E0207" w:rsidRPr="00610088">
        <w:rPr>
          <w:szCs w:val="21"/>
          <w:lang w:val="en-GB"/>
        </w:rPr>
        <w:t xml:space="preserve">recognized through environmental clues and symptoms. </w:t>
      </w:r>
    </w:p>
    <w:p w14:paraId="1E656658" w14:textId="18BD166D" w:rsidR="008C5F34" w:rsidRPr="00610088" w:rsidRDefault="008C5F34">
      <w:pPr>
        <w:rPr>
          <w:lang w:val="en-GB"/>
        </w:rPr>
      </w:pPr>
    </w:p>
    <w:p w14:paraId="2BAD8966" w14:textId="28D2BECF" w:rsidR="00402030" w:rsidRPr="00610088" w:rsidRDefault="00402030" w:rsidP="00F1043E">
      <w:pPr>
        <w:pStyle w:val="Heading1"/>
        <w:rPr>
          <w:lang w:val="en-GB"/>
        </w:rPr>
      </w:pPr>
      <w:bookmarkStart w:id="91" w:name="_Toc41370555"/>
      <w:r w:rsidRPr="00610088">
        <w:rPr>
          <w:lang w:val="en-GB"/>
        </w:rPr>
        <w:t>R</w:t>
      </w:r>
      <w:r w:rsidR="002A3190" w:rsidRPr="00610088">
        <w:rPr>
          <w:lang w:val="en-GB"/>
        </w:rPr>
        <w:t>ationale for the strategic plan, its relation to policy and implementation plans</w:t>
      </w:r>
      <w:r w:rsidR="0057323A" w:rsidRPr="00610088">
        <w:rPr>
          <w:lang w:val="en-GB"/>
        </w:rPr>
        <w:t xml:space="preserve"> and development process</w:t>
      </w:r>
      <w:bookmarkEnd w:id="91"/>
    </w:p>
    <w:p w14:paraId="64EA3435" w14:textId="6BF7738C" w:rsidR="00402030" w:rsidRPr="00610088" w:rsidRDefault="00402030" w:rsidP="000C0289">
      <w:pPr>
        <w:rPr>
          <w:lang w:val="en-GB"/>
        </w:rPr>
      </w:pPr>
    </w:p>
    <w:p w14:paraId="01A553F2" w14:textId="339CDABD" w:rsidR="00370881" w:rsidRPr="00610088" w:rsidRDefault="000C0289" w:rsidP="001B16D1">
      <w:pPr>
        <w:rPr>
          <w:lang w:val="en-GB"/>
        </w:rPr>
      </w:pPr>
      <w:r w:rsidRPr="00610088">
        <w:rPr>
          <w:lang w:val="en-GB"/>
        </w:rPr>
        <w:t>This strategic plan was developed as guidance to the practical implementation of the</w:t>
      </w:r>
      <w:r w:rsidR="00A62334" w:rsidRPr="00610088">
        <w:rPr>
          <w:lang w:val="en-GB"/>
        </w:rPr>
        <w:t xml:space="preserve"> </w:t>
      </w:r>
      <w:r w:rsidRPr="00610088">
        <w:rPr>
          <w:lang w:val="en-GB"/>
        </w:rPr>
        <w:t>NCD policy for the period 20</w:t>
      </w:r>
      <w:r w:rsidR="0059016A">
        <w:rPr>
          <w:lang w:val="en-GB"/>
        </w:rPr>
        <w:t>20</w:t>
      </w:r>
      <w:r w:rsidRPr="00610088">
        <w:rPr>
          <w:lang w:val="en-GB"/>
        </w:rPr>
        <w:t>-202</w:t>
      </w:r>
      <w:r w:rsidR="0059016A">
        <w:rPr>
          <w:lang w:val="en-GB"/>
        </w:rPr>
        <w:t>4</w:t>
      </w:r>
      <w:r w:rsidRPr="00610088">
        <w:rPr>
          <w:lang w:val="en-GB"/>
        </w:rPr>
        <w:t xml:space="preserve">. This policy recognizes the need for </w:t>
      </w:r>
      <w:r w:rsidR="00402030" w:rsidRPr="00610088">
        <w:rPr>
          <w:lang w:val="en-GB"/>
        </w:rPr>
        <w:t>accelerated prevention and control of NCDs and injuries and their risk factors considering their significant contribution to morbidity and mortality in Sierra Leone</w:t>
      </w:r>
      <w:r w:rsidR="00370881" w:rsidRPr="00610088">
        <w:rPr>
          <w:lang w:val="en-GB"/>
        </w:rPr>
        <w:t>, with 41% of mortality attributed to NCDs and injuries</w:t>
      </w:r>
      <w:r w:rsidR="00402030" w:rsidRPr="00610088">
        <w:rPr>
          <w:lang w:val="en-GB"/>
        </w:rPr>
        <w:t>.</w:t>
      </w:r>
      <w:r w:rsidR="00370881" w:rsidRPr="00610088">
        <w:rPr>
          <w:vertAlign w:val="superscript"/>
          <w:lang w:val="en-GB"/>
        </w:rPr>
        <w:fldChar w:fldCharType="begin"/>
      </w:r>
      <w:r w:rsidR="00370881" w:rsidRPr="00610088">
        <w:rPr>
          <w:vertAlign w:val="superscript"/>
          <w:lang w:val="en-GB"/>
        </w:rPr>
        <w:instrText xml:space="preserve"> NOTEREF _Ref16692559 \h  \* MERGEFORMAT </w:instrText>
      </w:r>
      <w:r w:rsidR="00370881" w:rsidRPr="00610088">
        <w:rPr>
          <w:vertAlign w:val="superscript"/>
          <w:lang w:val="en-GB"/>
        </w:rPr>
      </w:r>
      <w:r w:rsidR="00370881" w:rsidRPr="00610088">
        <w:rPr>
          <w:vertAlign w:val="superscript"/>
          <w:lang w:val="en-GB"/>
        </w:rPr>
        <w:fldChar w:fldCharType="separate"/>
      </w:r>
      <w:r w:rsidR="00CB360C">
        <w:rPr>
          <w:vertAlign w:val="superscript"/>
          <w:lang w:val="en-GB"/>
        </w:rPr>
        <w:t>127</w:t>
      </w:r>
      <w:r w:rsidR="00370881" w:rsidRPr="00610088">
        <w:rPr>
          <w:vertAlign w:val="superscript"/>
          <w:lang w:val="en-GB"/>
        </w:rPr>
        <w:fldChar w:fldCharType="end"/>
      </w:r>
      <w:r w:rsidRPr="00610088">
        <w:rPr>
          <w:vertAlign w:val="superscript"/>
          <w:lang w:val="en-GB"/>
        </w:rPr>
        <w:t xml:space="preserve"> </w:t>
      </w:r>
      <w:r w:rsidR="00370881" w:rsidRPr="00610088">
        <w:rPr>
          <w:lang w:val="en-GB"/>
        </w:rPr>
        <w:t xml:space="preserve"> Th</w:t>
      </w:r>
      <w:r w:rsidR="00E40A90" w:rsidRPr="00610088">
        <w:rPr>
          <w:lang w:val="en-GB"/>
        </w:rPr>
        <w:t>e strategic plan</w:t>
      </w:r>
      <w:r w:rsidR="00370881" w:rsidRPr="00610088">
        <w:rPr>
          <w:lang w:val="en-GB"/>
        </w:rPr>
        <w:t xml:space="preserve"> also takes into account the psychosocial impact of NCDs on the patients themselves, but also their families and communities.</w:t>
      </w:r>
    </w:p>
    <w:p w14:paraId="05F55BE5" w14:textId="77777777" w:rsidR="00370881" w:rsidRPr="00610088" w:rsidRDefault="00370881" w:rsidP="001B16D1">
      <w:pPr>
        <w:rPr>
          <w:lang w:val="en-GB"/>
        </w:rPr>
      </w:pPr>
    </w:p>
    <w:p w14:paraId="3A981F04" w14:textId="0F4F8A4E" w:rsidR="00402030" w:rsidRPr="00610088" w:rsidRDefault="00E40A90" w:rsidP="001B16D1">
      <w:pPr>
        <w:rPr>
          <w:lang w:val="en-GB"/>
        </w:rPr>
      </w:pPr>
      <w:r w:rsidRPr="00610088">
        <w:rPr>
          <w:lang w:val="en-GB"/>
        </w:rPr>
        <w:t>As described in the previous chapter, t</w:t>
      </w:r>
      <w:r w:rsidR="000C0289" w:rsidRPr="00610088">
        <w:rPr>
          <w:lang w:val="en-GB"/>
        </w:rPr>
        <w:t xml:space="preserve">here is a </w:t>
      </w:r>
      <w:r w:rsidR="00402030" w:rsidRPr="00610088">
        <w:rPr>
          <w:lang w:val="en-GB"/>
        </w:rPr>
        <w:t>currently weak and underfunded coordination and implementation framework for NCDs and injuries and their risk factors</w:t>
      </w:r>
      <w:r w:rsidR="000C0289" w:rsidRPr="00610088">
        <w:rPr>
          <w:lang w:val="en-GB"/>
        </w:rPr>
        <w:t>, which will need strengthening to adequately prevent and control NCDs</w:t>
      </w:r>
      <w:r w:rsidR="00A62334" w:rsidRPr="00610088">
        <w:rPr>
          <w:lang w:val="en-GB"/>
        </w:rPr>
        <w:t xml:space="preserve"> and injuries.</w:t>
      </w:r>
      <w:r w:rsidR="00370881" w:rsidRPr="00610088">
        <w:rPr>
          <w:lang w:val="en-GB"/>
        </w:rPr>
        <w:t xml:space="preserve"> Th</w:t>
      </w:r>
      <w:r w:rsidRPr="00610088">
        <w:rPr>
          <w:lang w:val="en-GB"/>
        </w:rPr>
        <w:t>is</w:t>
      </w:r>
      <w:r w:rsidR="00370881" w:rsidRPr="00610088">
        <w:rPr>
          <w:lang w:val="en-GB"/>
        </w:rPr>
        <w:t xml:space="preserve"> includes strengthening of the NCD and Mental Health Directorate (</w:t>
      </w:r>
      <w:r w:rsidRPr="00610088">
        <w:rPr>
          <w:lang w:val="en-GB"/>
        </w:rPr>
        <w:t xml:space="preserve">established in </w:t>
      </w:r>
      <w:r w:rsidR="00370881" w:rsidRPr="00610088">
        <w:rPr>
          <w:lang w:val="en-GB"/>
        </w:rPr>
        <w:t>2017</w:t>
      </w:r>
      <w:r w:rsidRPr="00610088">
        <w:rPr>
          <w:lang w:val="en-GB"/>
        </w:rPr>
        <w:t xml:space="preserve">), which plays and will play a pivotal role in coordination and governance of NCDs. </w:t>
      </w:r>
      <w:r w:rsidR="000C0289" w:rsidRPr="00610088">
        <w:rPr>
          <w:lang w:val="en-GB"/>
        </w:rPr>
        <w:t>The</w:t>
      </w:r>
      <w:r w:rsidRPr="00610088">
        <w:rPr>
          <w:lang w:val="en-GB"/>
        </w:rPr>
        <w:t xml:space="preserve">re is also a </w:t>
      </w:r>
      <w:r w:rsidR="00402030" w:rsidRPr="00610088">
        <w:rPr>
          <w:lang w:val="en-GB"/>
        </w:rPr>
        <w:t>need for multi-sectorial action considering major determinants and risk factors for NCDs lie outside the health sector.</w:t>
      </w:r>
    </w:p>
    <w:p w14:paraId="4F744CD2" w14:textId="3BB3EB5B" w:rsidR="000C0289" w:rsidRPr="00610088" w:rsidRDefault="000C0289" w:rsidP="001B16D1">
      <w:pPr>
        <w:rPr>
          <w:lang w:val="en-GB"/>
        </w:rPr>
      </w:pPr>
    </w:p>
    <w:p w14:paraId="0058DE73" w14:textId="7890394B" w:rsidR="000C0289" w:rsidRPr="00610088" w:rsidRDefault="000C0289" w:rsidP="001B16D1">
      <w:pPr>
        <w:rPr>
          <w:lang w:val="en-GB"/>
        </w:rPr>
      </w:pPr>
      <w:r w:rsidRPr="00610088">
        <w:rPr>
          <w:lang w:val="en-GB"/>
        </w:rPr>
        <w:t xml:space="preserve">This strategic plan covers both Non-Communicable Diseases and Injuries, and links closely to Mental Health, which has its own policy and strategy </w:t>
      </w:r>
      <w:r w:rsidR="007D17E9" w:rsidRPr="00610088">
        <w:rPr>
          <w:lang w:val="en-GB"/>
        </w:rPr>
        <w:t>launched</w:t>
      </w:r>
      <w:r w:rsidRPr="00610088">
        <w:rPr>
          <w:lang w:val="en-GB"/>
        </w:rPr>
        <w:t xml:space="preserve"> in 2019</w:t>
      </w:r>
      <w:r w:rsidR="00C63E9A" w:rsidRPr="00610088">
        <w:rPr>
          <w:lang w:val="en-GB"/>
        </w:rPr>
        <w:t>.</w:t>
      </w:r>
      <w:r w:rsidR="00C63E9A" w:rsidRPr="00610088">
        <w:rPr>
          <w:vertAlign w:val="superscript"/>
          <w:lang w:val="en-GB"/>
        </w:rPr>
        <w:fldChar w:fldCharType="begin"/>
      </w:r>
      <w:r w:rsidR="00C63E9A" w:rsidRPr="00610088">
        <w:rPr>
          <w:vertAlign w:val="superscript"/>
          <w:lang w:val="en-GB"/>
        </w:rPr>
        <w:instrText xml:space="preserve"> NOTEREF _Ref32573545 \h  \* MERGEFORMAT </w:instrText>
      </w:r>
      <w:r w:rsidR="00C63E9A" w:rsidRPr="00610088">
        <w:rPr>
          <w:vertAlign w:val="superscript"/>
          <w:lang w:val="en-GB"/>
        </w:rPr>
      </w:r>
      <w:r w:rsidR="00C63E9A" w:rsidRPr="00610088">
        <w:rPr>
          <w:vertAlign w:val="superscript"/>
          <w:lang w:val="en-GB"/>
        </w:rPr>
        <w:fldChar w:fldCharType="separate"/>
      </w:r>
      <w:r w:rsidR="00CB360C">
        <w:rPr>
          <w:vertAlign w:val="superscript"/>
          <w:lang w:val="en-GB"/>
        </w:rPr>
        <w:t>53</w:t>
      </w:r>
      <w:r w:rsidR="00C63E9A" w:rsidRPr="00610088">
        <w:rPr>
          <w:vertAlign w:val="superscript"/>
          <w:lang w:val="en-GB"/>
        </w:rPr>
        <w:fldChar w:fldCharType="end"/>
      </w:r>
      <w:r w:rsidR="00C63E9A" w:rsidRPr="00610088">
        <w:rPr>
          <w:vertAlign w:val="superscript"/>
          <w:lang w:val="en-GB"/>
        </w:rPr>
        <w:t>,</w:t>
      </w:r>
      <w:r w:rsidR="00C63E9A" w:rsidRPr="00610088">
        <w:rPr>
          <w:vertAlign w:val="superscript"/>
          <w:lang w:val="en-GB"/>
        </w:rPr>
        <w:fldChar w:fldCharType="begin"/>
      </w:r>
      <w:r w:rsidR="00C63E9A" w:rsidRPr="00610088">
        <w:rPr>
          <w:vertAlign w:val="superscript"/>
          <w:lang w:val="en-GB"/>
        </w:rPr>
        <w:instrText xml:space="preserve"> NOTEREF _Ref32573547 \h  \* MERGEFORMAT </w:instrText>
      </w:r>
      <w:r w:rsidR="00C63E9A" w:rsidRPr="00610088">
        <w:rPr>
          <w:vertAlign w:val="superscript"/>
          <w:lang w:val="en-GB"/>
        </w:rPr>
      </w:r>
      <w:r w:rsidR="00C63E9A" w:rsidRPr="00610088">
        <w:rPr>
          <w:vertAlign w:val="superscript"/>
          <w:lang w:val="en-GB"/>
        </w:rPr>
        <w:fldChar w:fldCharType="separate"/>
      </w:r>
      <w:r w:rsidR="00CB360C">
        <w:rPr>
          <w:vertAlign w:val="superscript"/>
          <w:lang w:val="en-GB"/>
        </w:rPr>
        <w:t>54</w:t>
      </w:r>
      <w:r w:rsidR="00C63E9A" w:rsidRPr="00610088">
        <w:rPr>
          <w:vertAlign w:val="superscript"/>
          <w:lang w:val="en-GB"/>
        </w:rPr>
        <w:fldChar w:fldCharType="end"/>
      </w:r>
    </w:p>
    <w:p w14:paraId="78EAB41E" w14:textId="77777777" w:rsidR="00402030" w:rsidRPr="00610088" w:rsidRDefault="00402030" w:rsidP="001B16D1">
      <w:pPr>
        <w:rPr>
          <w:lang w:val="en-GB"/>
        </w:rPr>
      </w:pPr>
    </w:p>
    <w:p w14:paraId="7D218683" w14:textId="1BCBE7DB" w:rsidR="007D17E9" w:rsidRPr="00610088" w:rsidRDefault="000C0289" w:rsidP="001B16D1">
      <w:pPr>
        <w:rPr>
          <w:lang w:val="en-GB"/>
        </w:rPr>
      </w:pPr>
      <w:r w:rsidRPr="00610088">
        <w:rPr>
          <w:lang w:val="en-GB"/>
        </w:rPr>
        <w:t>This strategic plan functions as an umbrella for shorter 2-year rolling implementation plans, starting with the period 20</w:t>
      </w:r>
      <w:r w:rsidR="0059016A">
        <w:rPr>
          <w:lang w:val="en-GB"/>
        </w:rPr>
        <w:t>20</w:t>
      </w:r>
      <w:r w:rsidRPr="00610088">
        <w:rPr>
          <w:lang w:val="en-GB"/>
        </w:rPr>
        <w:t>-202</w:t>
      </w:r>
      <w:r w:rsidR="0059016A">
        <w:rPr>
          <w:lang w:val="en-GB"/>
        </w:rPr>
        <w:t>2</w:t>
      </w:r>
      <w:r w:rsidRPr="00610088">
        <w:rPr>
          <w:lang w:val="en-GB"/>
        </w:rPr>
        <w:t xml:space="preserve">. These </w:t>
      </w:r>
      <w:r w:rsidR="007D17E9" w:rsidRPr="00610088">
        <w:rPr>
          <w:lang w:val="en-GB"/>
        </w:rPr>
        <w:t>2-year</w:t>
      </w:r>
      <w:r w:rsidRPr="00610088">
        <w:rPr>
          <w:lang w:val="en-GB"/>
        </w:rPr>
        <w:t xml:space="preserve"> rolling plans will cover the areas </w:t>
      </w:r>
      <w:r w:rsidR="002F6DB1" w:rsidRPr="00610088">
        <w:rPr>
          <w:i/>
          <w:iCs/>
          <w:lang w:val="en-GB"/>
        </w:rPr>
        <w:t>Leadership and Governance</w:t>
      </w:r>
      <w:r w:rsidR="002F6DB1" w:rsidRPr="00610088">
        <w:rPr>
          <w:lang w:val="en-GB"/>
        </w:rPr>
        <w:t xml:space="preserve"> (including Tobacco &amp; Alcohol legislation, general policy environment, coordination and partnerships), </w:t>
      </w:r>
      <w:r w:rsidR="002F6DB1" w:rsidRPr="00610088">
        <w:rPr>
          <w:i/>
          <w:iCs/>
          <w:lang w:val="en-GB"/>
        </w:rPr>
        <w:t>Health Promotion</w:t>
      </w:r>
      <w:r w:rsidR="002F6DB1" w:rsidRPr="00610088">
        <w:rPr>
          <w:lang w:val="en-GB"/>
        </w:rPr>
        <w:t xml:space="preserve"> (</w:t>
      </w:r>
      <w:r w:rsidR="002A3190" w:rsidRPr="00610088">
        <w:rPr>
          <w:lang w:val="en-GB"/>
        </w:rPr>
        <w:t xml:space="preserve">Health lifestyle including tobacco use, physical inactivity, harmful use of </w:t>
      </w:r>
      <w:r w:rsidR="003D4E8C" w:rsidRPr="00610088">
        <w:rPr>
          <w:lang w:val="en-GB"/>
        </w:rPr>
        <w:t>alcohol</w:t>
      </w:r>
      <w:r w:rsidR="002A3190" w:rsidRPr="00610088">
        <w:rPr>
          <w:lang w:val="en-GB"/>
        </w:rPr>
        <w:t>, unhealthy diets (incl. salt</w:t>
      </w:r>
      <w:r w:rsidR="007D17E9" w:rsidRPr="00610088">
        <w:rPr>
          <w:lang w:val="en-GB"/>
        </w:rPr>
        <w:t>,</w:t>
      </w:r>
      <w:r w:rsidR="002A3190" w:rsidRPr="00610088">
        <w:rPr>
          <w:lang w:val="en-GB"/>
        </w:rPr>
        <w:t xml:space="preserve"> sugar</w:t>
      </w:r>
      <w:r w:rsidR="007D17E9" w:rsidRPr="00610088">
        <w:rPr>
          <w:lang w:val="en-GB"/>
        </w:rPr>
        <w:t xml:space="preserve"> and unhealthy fats</w:t>
      </w:r>
      <w:r w:rsidR="002A3190" w:rsidRPr="00610088">
        <w:rPr>
          <w:lang w:val="en-GB"/>
        </w:rPr>
        <w:t>), air pollution</w:t>
      </w:r>
      <w:r w:rsidR="002F6DB1" w:rsidRPr="00610088">
        <w:rPr>
          <w:lang w:val="en-GB"/>
        </w:rPr>
        <w:t xml:space="preserve">) and </w:t>
      </w:r>
      <w:r w:rsidR="002F6DB1" w:rsidRPr="00610088">
        <w:rPr>
          <w:i/>
          <w:iCs/>
          <w:lang w:val="en-GB"/>
        </w:rPr>
        <w:t>NCD services</w:t>
      </w:r>
      <w:r w:rsidR="002F6DB1" w:rsidRPr="00610088">
        <w:rPr>
          <w:lang w:val="en-GB"/>
        </w:rPr>
        <w:t>.</w:t>
      </w:r>
      <w:r w:rsidR="00BE28F6" w:rsidRPr="00610088">
        <w:rPr>
          <w:lang w:val="en-GB"/>
        </w:rPr>
        <w:t xml:space="preserve"> If needed sub-implementation plans can be developed, for example on Tobacco, Alcohol, and Cancer. </w:t>
      </w:r>
      <w:r w:rsidR="002F6DB1" w:rsidRPr="00610088">
        <w:rPr>
          <w:lang w:val="en-GB"/>
        </w:rPr>
        <w:t xml:space="preserve">  </w:t>
      </w:r>
    </w:p>
    <w:p w14:paraId="45C79775" w14:textId="77777777" w:rsidR="007D17E9" w:rsidRPr="00610088" w:rsidRDefault="007D17E9" w:rsidP="007D17E9">
      <w:pPr>
        <w:rPr>
          <w:lang w:val="en-GB"/>
        </w:rPr>
      </w:pPr>
    </w:p>
    <w:p w14:paraId="7CB3EA1E" w14:textId="0725F41A" w:rsidR="002A3190" w:rsidRPr="00610088" w:rsidRDefault="002F6DB1" w:rsidP="001B16D1">
      <w:pPr>
        <w:rPr>
          <w:rFonts w:ascii="Calibri,BoldItalic" w:eastAsia="Times New Roman" w:hAnsi="Calibri,BoldItalic" w:cs="Times New Roman"/>
          <w:lang w:val="en-GB"/>
        </w:rPr>
      </w:pPr>
      <w:r w:rsidRPr="00610088">
        <w:rPr>
          <w:lang w:val="en-GB"/>
        </w:rPr>
        <w:t>The NCD services implementation plan will focus not only on conditions (</w:t>
      </w:r>
      <w:r w:rsidR="002A3190" w:rsidRPr="00610088">
        <w:rPr>
          <w:lang w:val="en-GB"/>
        </w:rPr>
        <w:t>Cardiovascular diseases, Cancers, Chronic respiratory diseases, Diabetes, Mental Diseases/Conditions (</w:t>
      </w:r>
      <w:r w:rsidR="00C63E9A" w:rsidRPr="00610088">
        <w:rPr>
          <w:i/>
          <w:iCs/>
          <w:lang w:val="en-GB"/>
        </w:rPr>
        <w:t>see also the new Mental Health Policy and Plan</w:t>
      </w:r>
      <w:r w:rsidR="00C63E9A" w:rsidRPr="00610088">
        <w:rPr>
          <w:i/>
          <w:iCs/>
          <w:vertAlign w:val="superscript"/>
          <w:lang w:val="en-GB"/>
        </w:rPr>
        <w:fldChar w:fldCharType="begin"/>
      </w:r>
      <w:r w:rsidR="00C63E9A" w:rsidRPr="00610088">
        <w:rPr>
          <w:i/>
          <w:iCs/>
          <w:vertAlign w:val="superscript"/>
          <w:lang w:val="en-GB"/>
        </w:rPr>
        <w:instrText xml:space="preserve"> NOTEREF _Ref32573545 \h  \* MERGEFORMAT </w:instrText>
      </w:r>
      <w:r w:rsidR="00C63E9A" w:rsidRPr="00610088">
        <w:rPr>
          <w:i/>
          <w:iCs/>
          <w:vertAlign w:val="superscript"/>
          <w:lang w:val="en-GB"/>
        </w:rPr>
      </w:r>
      <w:r w:rsidR="00C63E9A" w:rsidRPr="00610088">
        <w:rPr>
          <w:i/>
          <w:iCs/>
          <w:vertAlign w:val="superscript"/>
          <w:lang w:val="en-GB"/>
        </w:rPr>
        <w:fldChar w:fldCharType="separate"/>
      </w:r>
      <w:r w:rsidR="00CB360C">
        <w:rPr>
          <w:i/>
          <w:iCs/>
          <w:vertAlign w:val="superscript"/>
          <w:lang w:val="en-GB"/>
        </w:rPr>
        <w:t>53</w:t>
      </w:r>
      <w:r w:rsidR="00C63E9A" w:rsidRPr="00610088">
        <w:rPr>
          <w:i/>
          <w:iCs/>
          <w:vertAlign w:val="superscript"/>
          <w:lang w:val="en-GB"/>
        </w:rPr>
        <w:fldChar w:fldCharType="end"/>
      </w:r>
      <w:r w:rsidR="00C63E9A" w:rsidRPr="00610088">
        <w:rPr>
          <w:i/>
          <w:iCs/>
          <w:vertAlign w:val="superscript"/>
          <w:lang w:val="en-GB"/>
        </w:rPr>
        <w:t>,</w:t>
      </w:r>
      <w:r w:rsidR="00C63E9A" w:rsidRPr="00610088">
        <w:rPr>
          <w:i/>
          <w:iCs/>
          <w:vertAlign w:val="superscript"/>
          <w:lang w:val="en-GB"/>
        </w:rPr>
        <w:fldChar w:fldCharType="begin"/>
      </w:r>
      <w:r w:rsidR="00C63E9A" w:rsidRPr="00610088">
        <w:rPr>
          <w:i/>
          <w:iCs/>
          <w:vertAlign w:val="superscript"/>
          <w:lang w:val="en-GB"/>
        </w:rPr>
        <w:instrText xml:space="preserve"> NOTEREF _Ref32573547 \h  \* MERGEFORMAT </w:instrText>
      </w:r>
      <w:r w:rsidR="00C63E9A" w:rsidRPr="00610088">
        <w:rPr>
          <w:i/>
          <w:iCs/>
          <w:vertAlign w:val="superscript"/>
          <w:lang w:val="en-GB"/>
        </w:rPr>
      </w:r>
      <w:r w:rsidR="00C63E9A" w:rsidRPr="00610088">
        <w:rPr>
          <w:i/>
          <w:iCs/>
          <w:vertAlign w:val="superscript"/>
          <w:lang w:val="en-GB"/>
        </w:rPr>
        <w:fldChar w:fldCharType="separate"/>
      </w:r>
      <w:r w:rsidR="00CB360C">
        <w:rPr>
          <w:i/>
          <w:iCs/>
          <w:vertAlign w:val="superscript"/>
          <w:lang w:val="en-GB"/>
        </w:rPr>
        <w:t>54</w:t>
      </w:r>
      <w:r w:rsidR="00C63E9A" w:rsidRPr="00610088">
        <w:rPr>
          <w:i/>
          <w:iCs/>
          <w:vertAlign w:val="superscript"/>
          <w:lang w:val="en-GB"/>
        </w:rPr>
        <w:fldChar w:fldCharType="end"/>
      </w:r>
      <w:r w:rsidR="002A3190" w:rsidRPr="00610088">
        <w:rPr>
          <w:lang w:val="en-GB"/>
        </w:rPr>
        <w:t>),  Chronic Kidney Conditions, Sickle cell etc.</w:t>
      </w:r>
      <w:r w:rsidRPr="00610088">
        <w:rPr>
          <w:lang w:val="en-GB"/>
        </w:rPr>
        <w:t xml:space="preserve">) but also on metabolic risk factors </w:t>
      </w:r>
      <w:r w:rsidRPr="00610088">
        <w:rPr>
          <w:lang w:val="en-GB"/>
        </w:rPr>
        <w:lastRenderedPageBreak/>
        <w:t>(H</w:t>
      </w:r>
      <w:r w:rsidR="002A3190" w:rsidRPr="00610088">
        <w:rPr>
          <w:lang w:val="en-GB"/>
        </w:rPr>
        <w:t xml:space="preserve">ypertension, Overweight/Obesity, </w:t>
      </w:r>
      <w:r w:rsidR="00A8191E" w:rsidRPr="00610088">
        <w:rPr>
          <w:lang w:val="en-GB"/>
        </w:rPr>
        <w:t>Hyperglycaemia</w:t>
      </w:r>
      <w:r w:rsidR="002A3190" w:rsidRPr="00610088">
        <w:rPr>
          <w:lang w:val="en-GB"/>
        </w:rPr>
        <w:t xml:space="preserve">, </w:t>
      </w:r>
      <w:r w:rsidR="00A8191E" w:rsidRPr="00610088">
        <w:rPr>
          <w:lang w:val="en-GB"/>
        </w:rPr>
        <w:t>Hyperlipidaemia</w:t>
      </w:r>
      <w:r w:rsidRPr="00610088">
        <w:rPr>
          <w:lang w:val="en-GB"/>
        </w:rPr>
        <w:t xml:space="preserve">) and specific services such as </w:t>
      </w:r>
      <w:r w:rsidR="007D17E9" w:rsidRPr="00610088">
        <w:rPr>
          <w:rFonts w:ascii="Calibri,BoldItalic" w:eastAsia="Times New Roman" w:hAnsi="Calibri,BoldItalic" w:cs="Times New Roman"/>
          <w:lang w:val="en-GB"/>
        </w:rPr>
        <w:t xml:space="preserve">Prevention, Screening/Early Detection, Diagnosis, Management, Care, Rehabilitation, and Palliative Care. </w:t>
      </w:r>
    </w:p>
    <w:p w14:paraId="37DF621B" w14:textId="0FC38785" w:rsidR="0057323A" w:rsidRPr="00610088" w:rsidRDefault="0057323A" w:rsidP="001B16D1">
      <w:pPr>
        <w:rPr>
          <w:rFonts w:ascii="Calibri,BoldItalic" w:eastAsia="Times New Roman" w:hAnsi="Calibri,BoldItalic" w:cs="Times New Roman"/>
          <w:lang w:val="en-GB"/>
        </w:rPr>
      </w:pPr>
    </w:p>
    <w:p w14:paraId="414CC2BB" w14:textId="40CAA741" w:rsidR="0057323A" w:rsidRPr="00610088" w:rsidRDefault="00705D85" w:rsidP="001B16D1">
      <w:pPr>
        <w:rPr>
          <w:color w:val="000000" w:themeColor="text1"/>
          <w:lang w:val="en-GB"/>
        </w:rPr>
      </w:pPr>
      <w:r w:rsidRPr="00610088">
        <w:rPr>
          <w:color w:val="000000" w:themeColor="text1"/>
          <w:lang w:val="en-GB"/>
        </w:rPr>
        <w:t>The 20</w:t>
      </w:r>
      <w:r w:rsidR="0059016A">
        <w:rPr>
          <w:color w:val="000000" w:themeColor="text1"/>
          <w:lang w:val="en-GB"/>
        </w:rPr>
        <w:t>20</w:t>
      </w:r>
      <w:r w:rsidRPr="00610088">
        <w:rPr>
          <w:color w:val="000000" w:themeColor="text1"/>
          <w:lang w:val="en-GB"/>
        </w:rPr>
        <w:t xml:space="preserve"> policy and the 20</w:t>
      </w:r>
      <w:r w:rsidR="0059016A">
        <w:rPr>
          <w:color w:val="000000" w:themeColor="text1"/>
          <w:lang w:val="en-GB"/>
        </w:rPr>
        <w:t>20</w:t>
      </w:r>
      <w:r w:rsidRPr="00610088">
        <w:rPr>
          <w:color w:val="000000" w:themeColor="text1"/>
          <w:lang w:val="en-GB"/>
        </w:rPr>
        <w:t>-202</w:t>
      </w:r>
      <w:r w:rsidR="0059016A">
        <w:rPr>
          <w:color w:val="000000" w:themeColor="text1"/>
          <w:lang w:val="en-GB"/>
        </w:rPr>
        <w:t>4</w:t>
      </w:r>
      <w:r w:rsidRPr="00610088">
        <w:rPr>
          <w:color w:val="000000" w:themeColor="text1"/>
          <w:lang w:val="en-GB"/>
        </w:rPr>
        <w:t xml:space="preserve"> strategic plan were developed with the assistance of World Bank funds through IHPAU (Integrated Health Project Administration Unit) of the </w:t>
      </w:r>
      <w:proofErr w:type="spellStart"/>
      <w:r w:rsidR="00156C15">
        <w:rPr>
          <w:color w:val="000000" w:themeColor="text1"/>
          <w:lang w:val="en-GB"/>
        </w:rPr>
        <w:t>MoHS</w:t>
      </w:r>
      <w:proofErr w:type="spellEnd"/>
      <w:r w:rsidRPr="00610088">
        <w:rPr>
          <w:color w:val="000000" w:themeColor="text1"/>
          <w:lang w:val="en-GB"/>
        </w:rPr>
        <w:t>, which funded the assistance of a consultant who conducted a desk review and 2 joint field assessments, facilitated 4 participatory stakeholder workshops and several participatory stakeholder meetings and assisted with developing the draft policy and plan including indicative costing.</w:t>
      </w:r>
    </w:p>
    <w:p w14:paraId="5B32A765" w14:textId="77777777" w:rsidR="0057323A" w:rsidRPr="00610088" w:rsidRDefault="0057323A" w:rsidP="001B16D1">
      <w:pPr>
        <w:rPr>
          <w:lang w:val="en-GB"/>
        </w:rPr>
      </w:pPr>
    </w:p>
    <w:p w14:paraId="40046F13" w14:textId="122BAC93" w:rsidR="001F6F97" w:rsidRPr="00610088" w:rsidRDefault="001F6F97" w:rsidP="002C6790">
      <w:pPr>
        <w:pStyle w:val="Heading1"/>
        <w:rPr>
          <w:lang w:val="en-GB"/>
        </w:rPr>
      </w:pPr>
      <w:bookmarkStart w:id="92" w:name="_Toc41370556"/>
      <w:r w:rsidRPr="00610088">
        <w:rPr>
          <w:lang w:val="en-GB"/>
        </w:rPr>
        <w:t>Guiding principles</w:t>
      </w:r>
      <w:bookmarkEnd w:id="92"/>
    </w:p>
    <w:p w14:paraId="05261268" w14:textId="77777777" w:rsidR="001F6F97" w:rsidRPr="00610088" w:rsidRDefault="001F6F97" w:rsidP="001F6F97">
      <w:pPr>
        <w:rPr>
          <w:lang w:val="en-GB"/>
        </w:rPr>
      </w:pPr>
    </w:p>
    <w:p w14:paraId="0B7E1B92" w14:textId="2F19FF3D" w:rsidR="00D26A30" w:rsidRPr="00610088" w:rsidRDefault="00D26A30" w:rsidP="001B16D1">
      <w:pPr>
        <w:rPr>
          <w:lang w:val="en-GB"/>
        </w:rPr>
      </w:pPr>
      <w:r w:rsidRPr="00610088">
        <w:rPr>
          <w:b/>
          <w:lang w:val="en-GB"/>
        </w:rPr>
        <w:t>Ownership and accountability</w:t>
      </w:r>
      <w:r w:rsidRPr="00610088">
        <w:rPr>
          <w:lang w:val="en-GB"/>
        </w:rPr>
        <w:t>: T</w:t>
      </w:r>
      <w:r w:rsidR="0066744E" w:rsidRPr="00610088">
        <w:rPr>
          <w:lang w:val="en-GB"/>
        </w:rPr>
        <w:t>his strategic plan</w:t>
      </w:r>
      <w:r w:rsidRPr="00610088">
        <w:rPr>
          <w:lang w:val="en-GB"/>
        </w:rPr>
        <w:t xml:space="preserve"> </w:t>
      </w:r>
      <w:proofErr w:type="gramStart"/>
      <w:r w:rsidRPr="00610088">
        <w:rPr>
          <w:lang w:val="en-GB"/>
        </w:rPr>
        <w:t>recognizes</w:t>
      </w:r>
      <w:proofErr w:type="gramEnd"/>
      <w:r w:rsidRPr="00610088">
        <w:rPr>
          <w:lang w:val="en-GB"/>
        </w:rPr>
        <w:t xml:space="preserve"> the leading role of the government through the Ministry and Health and Sanitation (</w:t>
      </w:r>
      <w:proofErr w:type="spellStart"/>
      <w:r w:rsidR="00156C15">
        <w:rPr>
          <w:lang w:val="en-GB"/>
        </w:rPr>
        <w:t>MoHS</w:t>
      </w:r>
      <w:proofErr w:type="spellEnd"/>
      <w:r w:rsidRPr="00610088">
        <w:rPr>
          <w:lang w:val="en-GB"/>
        </w:rPr>
        <w:t xml:space="preserve">) and specifically the NCD&amp;MH Directorate in the </w:t>
      </w:r>
      <w:proofErr w:type="spellStart"/>
      <w:r w:rsidR="00156C15">
        <w:rPr>
          <w:lang w:val="en-GB"/>
        </w:rPr>
        <w:t>MoHS</w:t>
      </w:r>
      <w:proofErr w:type="spellEnd"/>
      <w:r w:rsidRPr="00610088">
        <w:rPr>
          <w:lang w:val="en-GB"/>
        </w:rPr>
        <w:t xml:space="preserve">, in development and implementation of and accountability for this </w:t>
      </w:r>
      <w:r w:rsidR="0066744E" w:rsidRPr="00610088">
        <w:rPr>
          <w:lang w:val="en-GB"/>
        </w:rPr>
        <w:t>plan</w:t>
      </w:r>
      <w:r w:rsidRPr="00610088">
        <w:rPr>
          <w:lang w:val="en-GB"/>
        </w:rPr>
        <w:t xml:space="preserve">. </w:t>
      </w:r>
    </w:p>
    <w:p w14:paraId="7FF46011" w14:textId="77777777" w:rsidR="00D26A30" w:rsidRPr="00610088" w:rsidRDefault="00D26A30" w:rsidP="001B16D1">
      <w:pPr>
        <w:rPr>
          <w:lang w:val="en-GB"/>
        </w:rPr>
      </w:pPr>
    </w:p>
    <w:p w14:paraId="5D165693" w14:textId="61A82A43" w:rsidR="00D26A30" w:rsidRPr="00610088" w:rsidRDefault="00D26A30" w:rsidP="001B16D1">
      <w:pPr>
        <w:rPr>
          <w:lang w:val="en-GB"/>
        </w:rPr>
      </w:pPr>
      <w:r w:rsidRPr="00610088">
        <w:rPr>
          <w:b/>
          <w:lang w:val="en-GB"/>
        </w:rPr>
        <w:t>Integrated people-centred health services</w:t>
      </w:r>
      <w:r w:rsidR="006B4910" w:rsidRPr="00610088">
        <w:rPr>
          <w:rStyle w:val="EndnoteReference"/>
          <w:b/>
          <w:lang w:val="en-GB"/>
        </w:rPr>
        <w:endnoteReference w:id="97"/>
      </w:r>
      <w:r w:rsidR="006B4910" w:rsidRPr="00610088">
        <w:rPr>
          <w:b/>
          <w:lang w:val="en-GB"/>
        </w:rPr>
        <w:t>:</w:t>
      </w:r>
      <w:r w:rsidRPr="00610088">
        <w:rPr>
          <w:lang w:val="en-GB"/>
        </w:rPr>
        <w:t xml:space="preserve"> </w:t>
      </w:r>
    </w:p>
    <w:p w14:paraId="3D041C8B" w14:textId="77777777" w:rsidR="00D26A30" w:rsidRPr="00610088" w:rsidRDefault="00D26A30" w:rsidP="001B16D1">
      <w:pPr>
        <w:rPr>
          <w:lang w:val="en-GB"/>
        </w:rPr>
      </w:pPr>
      <w:r w:rsidRPr="00610088">
        <w:rPr>
          <w:u w:val="single"/>
          <w:lang w:val="en-GB"/>
        </w:rPr>
        <w:t>People-centred health services</w:t>
      </w:r>
      <w:r w:rsidRPr="00610088">
        <w:rPr>
          <w:lang w:val="en-GB"/>
        </w:rPr>
        <w:t> is an approach to care that consciously adopts the perspectives of individuals, families and communities, and sees them as participants as well as beneficiaries of trusted health systems that respond to their needs and preferences in humane and holistic ways. People-centred care requires that people have the education and support they need to make decisions and participate in their own care. It is organized around the health needs and expectations of people rather than diseases.</w:t>
      </w:r>
    </w:p>
    <w:p w14:paraId="61C7E3D9" w14:textId="77777777" w:rsidR="00D26A30" w:rsidRPr="00610088" w:rsidRDefault="00D26A30" w:rsidP="001B16D1">
      <w:pPr>
        <w:rPr>
          <w:lang w:val="en-GB"/>
        </w:rPr>
      </w:pPr>
      <w:r w:rsidRPr="00610088">
        <w:rPr>
          <w:u w:val="single"/>
          <w:lang w:val="en-GB"/>
        </w:rPr>
        <w:t>Integrated health services</w:t>
      </w:r>
      <w:r w:rsidRPr="00610088">
        <w:rPr>
          <w:lang w:val="en-GB"/>
        </w:rPr>
        <w:t> are health services that are managed and delivered in a way that ensures people receive a continuum of health promotion, disease prevention, diagnosis, treatment, disease management, rehabilitation and palliative care services, at the different levels and sites of care within the health system, and according to their needs, throughout their whole life.</w:t>
      </w:r>
    </w:p>
    <w:p w14:paraId="4C7CF67D" w14:textId="77777777" w:rsidR="00D26A30" w:rsidRPr="00610088" w:rsidRDefault="00D26A30" w:rsidP="00D26A30">
      <w:pPr>
        <w:rPr>
          <w:lang w:val="en-GB"/>
        </w:rPr>
      </w:pPr>
    </w:p>
    <w:p w14:paraId="71090082" w14:textId="1C2DD838" w:rsidR="00D26A30" w:rsidRPr="00610088" w:rsidRDefault="00D26A30" w:rsidP="001B16D1">
      <w:pPr>
        <w:rPr>
          <w:lang w:val="en-GB"/>
        </w:rPr>
      </w:pPr>
      <w:r w:rsidRPr="001B16D1">
        <w:rPr>
          <w:b/>
          <w:bCs/>
          <w:lang w:val="en-GB"/>
        </w:rPr>
        <w:t>Universal health coverage</w:t>
      </w:r>
      <w:r w:rsidR="004E4E29" w:rsidRPr="00610088">
        <w:rPr>
          <w:rStyle w:val="EndnoteReference"/>
          <w:b/>
          <w:bCs/>
          <w:lang w:val="en-GB"/>
        </w:rPr>
        <w:endnoteReference w:id="98"/>
      </w:r>
      <w:r w:rsidR="004E4E29" w:rsidRPr="00610088">
        <w:rPr>
          <w:lang w:val="en-GB"/>
        </w:rPr>
        <w:t>:</w:t>
      </w:r>
      <w:r w:rsidRPr="00610088">
        <w:rPr>
          <w:lang w:val="en-GB"/>
        </w:rPr>
        <w:t xml:space="preserve"> </w:t>
      </w:r>
    </w:p>
    <w:p w14:paraId="01657909" w14:textId="26F65535" w:rsidR="00D26A30" w:rsidRPr="00610088" w:rsidRDefault="00D26A30" w:rsidP="001B16D1">
      <w:pPr>
        <w:rPr>
          <w:lang w:val="en-GB"/>
        </w:rPr>
      </w:pPr>
      <w:r w:rsidRPr="00610088">
        <w:rPr>
          <w:lang w:val="en-GB"/>
        </w:rPr>
        <w:t>UHC is defined as ensuring that all people have access to the needed health services (including prevention, promotion, treatment, rehabilitation and palliation) of sufficient quality to be effective while also ensuring that the use of these services does not expose the user</w:t>
      </w:r>
      <w:r w:rsidR="003B7251" w:rsidRPr="00610088">
        <w:rPr>
          <w:lang w:val="en-GB"/>
        </w:rPr>
        <w:t xml:space="preserve"> to</w:t>
      </w:r>
      <w:r w:rsidRPr="00610088">
        <w:rPr>
          <w:lang w:val="en-GB"/>
        </w:rPr>
        <w:t xml:space="preserve"> financial hardship. Sierra Leone as member of the Universal Health Coverage (UHC) partnership and endorser of the SDGs is moving towards UHC. The NCD </w:t>
      </w:r>
      <w:r w:rsidR="00D45E09" w:rsidRPr="00610088">
        <w:rPr>
          <w:lang w:val="en-GB"/>
        </w:rPr>
        <w:t>strateg</w:t>
      </w:r>
      <w:r w:rsidR="0066744E" w:rsidRPr="00610088">
        <w:rPr>
          <w:lang w:val="en-GB"/>
        </w:rPr>
        <w:t>ic plan is</w:t>
      </w:r>
      <w:r w:rsidRPr="00610088">
        <w:rPr>
          <w:lang w:val="en-GB"/>
        </w:rPr>
        <w:t xml:space="preserve"> aligned to UHC.</w:t>
      </w:r>
    </w:p>
    <w:p w14:paraId="2CE100D9" w14:textId="77777777" w:rsidR="00D26A30" w:rsidRPr="00610088" w:rsidRDefault="00D26A30" w:rsidP="001B16D1">
      <w:pPr>
        <w:rPr>
          <w:lang w:val="en-GB"/>
        </w:rPr>
      </w:pPr>
    </w:p>
    <w:p w14:paraId="3E81F615" w14:textId="77777777" w:rsidR="00D26A30" w:rsidRPr="00610088" w:rsidRDefault="00D26A30" w:rsidP="001B16D1">
      <w:pPr>
        <w:rPr>
          <w:lang w:val="en-GB"/>
        </w:rPr>
      </w:pPr>
      <w:r w:rsidRPr="001B16D1">
        <w:rPr>
          <w:b/>
          <w:bCs/>
          <w:lang w:val="en-GB"/>
        </w:rPr>
        <w:t>Focused on reducing inequities</w:t>
      </w:r>
      <w:r w:rsidRPr="00610088">
        <w:rPr>
          <w:lang w:val="en-GB"/>
        </w:rPr>
        <w:t xml:space="preserve">: Interventions must address the need to reduce inequities by considering the social determinants of health to enable the attainment of </w:t>
      </w:r>
      <w:proofErr w:type="spellStart"/>
      <w:r w:rsidRPr="00610088">
        <w:rPr>
          <w:lang w:val="en-GB"/>
        </w:rPr>
        <w:t>healthy</w:t>
      </w:r>
      <w:proofErr w:type="spellEnd"/>
      <w:r w:rsidRPr="00610088">
        <w:rPr>
          <w:lang w:val="en-GB"/>
        </w:rPr>
        <w:t xml:space="preserve"> outcomes by all. </w:t>
      </w:r>
    </w:p>
    <w:p w14:paraId="1ACA6A5C" w14:textId="77777777" w:rsidR="00D26A30" w:rsidRPr="00610088" w:rsidRDefault="00D26A30" w:rsidP="001B16D1">
      <w:pPr>
        <w:rPr>
          <w:lang w:val="en-GB"/>
        </w:rPr>
      </w:pPr>
    </w:p>
    <w:p w14:paraId="625F0005" w14:textId="368BA51E" w:rsidR="00D26A30" w:rsidRPr="00610088" w:rsidRDefault="00D26A30" w:rsidP="001B16D1">
      <w:pPr>
        <w:rPr>
          <w:lang w:val="en-GB"/>
        </w:rPr>
      </w:pPr>
      <w:r w:rsidRPr="001B16D1">
        <w:rPr>
          <w:b/>
          <w:bCs/>
          <w:lang w:val="en-GB"/>
        </w:rPr>
        <w:t>Encompassing the entire continuum of care</w:t>
      </w:r>
      <w:r w:rsidRPr="00610088">
        <w:rPr>
          <w:lang w:val="en-GB"/>
        </w:rPr>
        <w:t xml:space="preserve">: This </w:t>
      </w:r>
      <w:r w:rsidR="0066744E" w:rsidRPr="00610088">
        <w:rPr>
          <w:lang w:val="en-GB"/>
        </w:rPr>
        <w:t>strategic plan</w:t>
      </w:r>
      <w:r w:rsidRPr="00610088">
        <w:rPr>
          <w:lang w:val="en-GB"/>
        </w:rPr>
        <w:t xml:space="preserve"> affirms the importance of a balanced and interconnected approach to NCDs, from primary prevention to tertiary and palliative care. </w:t>
      </w:r>
    </w:p>
    <w:p w14:paraId="06BFCFCA" w14:textId="77777777" w:rsidR="00D45E09" w:rsidRPr="00610088" w:rsidRDefault="00D45E09" w:rsidP="001B16D1">
      <w:pPr>
        <w:rPr>
          <w:lang w:val="en-GB"/>
        </w:rPr>
      </w:pPr>
      <w:r w:rsidRPr="00610088">
        <w:rPr>
          <w:lang w:val="en-GB"/>
        </w:rPr>
        <w:t>Cost-effective evidence-based interventions: The WHO “</w:t>
      </w:r>
      <w:r w:rsidRPr="001D1F74">
        <w:rPr>
          <w:i/>
          <w:iCs/>
          <w:lang w:val="en-GB"/>
        </w:rPr>
        <w:t>Best Buys</w:t>
      </w:r>
      <w:r w:rsidRPr="00610088">
        <w:rPr>
          <w:lang w:val="en-GB"/>
        </w:rPr>
        <w:t>”</w:t>
      </w:r>
      <w:bookmarkStart w:id="93" w:name="_Ref34490556"/>
      <w:r w:rsidRPr="00610088">
        <w:rPr>
          <w:rStyle w:val="EndnoteReference"/>
          <w:lang w:val="en-GB"/>
        </w:rPr>
        <w:endnoteReference w:id="99"/>
      </w:r>
      <w:bookmarkEnd w:id="93"/>
      <w:r w:rsidRPr="00610088">
        <w:rPr>
          <w:lang w:val="en-GB"/>
        </w:rPr>
        <w:t xml:space="preserve"> and other cost-effective evidence-based interventions will assist with reducing preventable morbidity and mortality from NCDs. </w:t>
      </w:r>
    </w:p>
    <w:p w14:paraId="15268955" w14:textId="77777777" w:rsidR="00D45E09" w:rsidRPr="00610088" w:rsidRDefault="00D45E09" w:rsidP="001B16D1">
      <w:pPr>
        <w:rPr>
          <w:lang w:val="en-GB"/>
        </w:rPr>
      </w:pPr>
      <w:r w:rsidRPr="00610088">
        <w:rPr>
          <w:lang w:val="en-GB"/>
        </w:rPr>
        <w:t xml:space="preserve">Cultural relevance: NCD Policies, programs and services must respect and take into consideration the specific cultural and religious diversity of people within Sierra Leone. </w:t>
      </w:r>
    </w:p>
    <w:p w14:paraId="6F538C2C" w14:textId="77777777" w:rsidR="00D45E09" w:rsidRPr="00610088" w:rsidRDefault="00D45E09" w:rsidP="001B16D1">
      <w:pPr>
        <w:rPr>
          <w:lang w:val="en-GB"/>
        </w:rPr>
      </w:pPr>
    </w:p>
    <w:p w14:paraId="5654B1D2" w14:textId="77777777" w:rsidR="00D26A30" w:rsidRPr="00610088" w:rsidRDefault="00D26A30" w:rsidP="001B16D1">
      <w:pPr>
        <w:rPr>
          <w:lang w:val="en-GB"/>
        </w:rPr>
      </w:pPr>
      <w:r w:rsidRPr="001B16D1">
        <w:rPr>
          <w:b/>
          <w:bCs/>
          <w:lang w:val="en-GB"/>
        </w:rPr>
        <w:t>Community participation</w:t>
      </w:r>
      <w:r w:rsidRPr="00610088">
        <w:rPr>
          <w:lang w:val="en-GB"/>
        </w:rPr>
        <w:t xml:space="preserve">:  Taking into account the key role of prevention and the </w:t>
      </w:r>
      <w:proofErr w:type="gramStart"/>
      <w:r w:rsidRPr="00610088">
        <w:rPr>
          <w:lang w:val="en-GB"/>
        </w:rPr>
        <w:t>often long-standing</w:t>
      </w:r>
      <w:proofErr w:type="gramEnd"/>
      <w:r w:rsidRPr="00610088">
        <w:rPr>
          <w:lang w:val="en-GB"/>
        </w:rPr>
        <w:t xml:space="preserve"> chronic nature of NCDs prevention community participation is essential for the successful implementation of the NCD policy. </w:t>
      </w:r>
    </w:p>
    <w:p w14:paraId="0A369923" w14:textId="77777777" w:rsidR="00D26A30" w:rsidRPr="00610088" w:rsidRDefault="00D26A30" w:rsidP="00D26A30">
      <w:pPr>
        <w:rPr>
          <w:lang w:val="en-GB"/>
        </w:rPr>
      </w:pPr>
    </w:p>
    <w:p w14:paraId="6B9D9101" w14:textId="3C75865E" w:rsidR="00D26A30" w:rsidRPr="00610088" w:rsidRDefault="00D26A30" w:rsidP="001B16D1">
      <w:pPr>
        <w:rPr>
          <w:lang w:val="en-GB"/>
        </w:rPr>
      </w:pPr>
      <w:r w:rsidRPr="00610088">
        <w:rPr>
          <w:b/>
          <w:lang w:val="en-GB"/>
        </w:rPr>
        <w:t>Multisectoral partnerships:</w:t>
      </w:r>
      <w:r w:rsidRPr="00610088">
        <w:rPr>
          <w:lang w:val="en-GB"/>
        </w:rPr>
        <w:t xml:space="preserve"> The occurrence of NCDs and NCD services are influenced by many determinants outside the health sector. This </w:t>
      </w:r>
      <w:r w:rsidR="0066744E" w:rsidRPr="00610088">
        <w:rPr>
          <w:lang w:val="en-GB"/>
        </w:rPr>
        <w:t>strategic plan</w:t>
      </w:r>
      <w:r w:rsidRPr="00610088">
        <w:rPr>
          <w:lang w:val="en-GB"/>
        </w:rPr>
        <w:t xml:space="preserve"> will promote and strengthen multisectoral partnerships (governmental and non-governmental including private partners) to adequately prevent and control NCDs. </w:t>
      </w:r>
    </w:p>
    <w:p w14:paraId="16D0C389" w14:textId="77777777" w:rsidR="00D26A30" w:rsidRPr="00610088" w:rsidRDefault="00D26A30" w:rsidP="00D26A30">
      <w:pPr>
        <w:rPr>
          <w:lang w:val="en-GB"/>
        </w:rPr>
      </w:pPr>
    </w:p>
    <w:p w14:paraId="0B17F1BE" w14:textId="30C0FEE9" w:rsidR="001F6F97" w:rsidRPr="00610088" w:rsidRDefault="00E95609" w:rsidP="002C6790">
      <w:pPr>
        <w:pStyle w:val="Heading1"/>
        <w:rPr>
          <w:lang w:val="en-GB"/>
        </w:rPr>
      </w:pPr>
      <w:bookmarkStart w:id="94" w:name="_Toc41370557"/>
      <w:r w:rsidRPr="00610088">
        <w:rPr>
          <w:lang w:val="en-GB"/>
        </w:rPr>
        <w:lastRenderedPageBreak/>
        <w:t>Strategic Plan Goal</w:t>
      </w:r>
      <w:r w:rsidR="00AF5EF2" w:rsidRPr="00610088">
        <w:rPr>
          <w:lang w:val="en-GB"/>
        </w:rPr>
        <w:t xml:space="preserve"> and</w:t>
      </w:r>
      <w:r w:rsidRPr="00610088">
        <w:rPr>
          <w:lang w:val="en-GB"/>
        </w:rPr>
        <w:t xml:space="preserve"> Objectives</w:t>
      </w:r>
      <w:bookmarkEnd w:id="94"/>
    </w:p>
    <w:p w14:paraId="30A1B6BA" w14:textId="77777777" w:rsidR="002C6790" w:rsidRPr="00610088" w:rsidRDefault="002C6790" w:rsidP="002C6790">
      <w:pPr>
        <w:rPr>
          <w:lang w:val="en-GB"/>
        </w:rPr>
      </w:pPr>
    </w:p>
    <w:p w14:paraId="262EE6C1" w14:textId="77777777" w:rsidR="002C6790" w:rsidRPr="00610088" w:rsidRDefault="002C6790" w:rsidP="002C6790">
      <w:pPr>
        <w:pStyle w:val="Heading2"/>
        <w:rPr>
          <w:lang w:val="en-GB"/>
        </w:rPr>
      </w:pPr>
      <w:bookmarkStart w:id="95" w:name="_Toc41370558"/>
      <w:r w:rsidRPr="00610088">
        <w:rPr>
          <w:lang w:val="en-GB"/>
        </w:rPr>
        <w:t>Goal</w:t>
      </w:r>
      <w:bookmarkEnd w:id="95"/>
      <w:r w:rsidRPr="00610088">
        <w:rPr>
          <w:lang w:val="en-GB"/>
        </w:rPr>
        <w:t xml:space="preserve"> </w:t>
      </w:r>
    </w:p>
    <w:p w14:paraId="70573767" w14:textId="77777777" w:rsidR="002C6790" w:rsidRPr="00610088" w:rsidRDefault="002C6790" w:rsidP="002C6790">
      <w:pPr>
        <w:ind w:left="360"/>
        <w:rPr>
          <w:lang w:val="en-GB"/>
        </w:rPr>
      </w:pPr>
    </w:p>
    <w:p w14:paraId="5CF55A96" w14:textId="0F4186A2" w:rsidR="00531412" w:rsidRPr="00610088" w:rsidRDefault="002C6790" w:rsidP="001B16D1">
      <w:pPr>
        <w:rPr>
          <w:lang w:val="en-GB"/>
        </w:rPr>
      </w:pPr>
      <w:r w:rsidRPr="00610088">
        <w:rPr>
          <w:lang w:val="en-GB"/>
        </w:rPr>
        <w:t xml:space="preserve">To </w:t>
      </w:r>
      <w:r w:rsidR="00531412" w:rsidRPr="00610088">
        <w:rPr>
          <w:lang w:val="en-GB"/>
        </w:rPr>
        <w:t>promot</w:t>
      </w:r>
      <w:r w:rsidR="00E95609" w:rsidRPr="00610088">
        <w:rPr>
          <w:lang w:val="en-GB"/>
        </w:rPr>
        <w:t>e the</w:t>
      </w:r>
      <w:r w:rsidR="00531412" w:rsidRPr="00610088">
        <w:rPr>
          <w:lang w:val="en-GB"/>
        </w:rPr>
        <w:t xml:space="preserve"> healthy</w:t>
      </w:r>
      <w:r w:rsidR="00B84039" w:rsidRPr="00610088">
        <w:rPr>
          <w:lang w:val="en-GB"/>
        </w:rPr>
        <w:t xml:space="preserve"> development and </w:t>
      </w:r>
      <w:r w:rsidR="00E47DE5" w:rsidRPr="00610088">
        <w:rPr>
          <w:lang w:val="en-GB"/>
        </w:rPr>
        <w:t>wellbeing and</w:t>
      </w:r>
      <w:r w:rsidR="00B84039" w:rsidRPr="00610088">
        <w:rPr>
          <w:lang w:val="en-GB"/>
        </w:rPr>
        <w:t xml:space="preserve"> </w:t>
      </w:r>
      <w:r w:rsidR="00E95609" w:rsidRPr="00610088">
        <w:rPr>
          <w:lang w:val="en-GB"/>
        </w:rPr>
        <w:t>t</w:t>
      </w:r>
      <w:r w:rsidR="00B84039" w:rsidRPr="00610088">
        <w:rPr>
          <w:lang w:val="en-GB"/>
        </w:rPr>
        <w:t>he accelerated reduction of preventable NCD deaths among Sierra Leoneans</w:t>
      </w:r>
      <w:r w:rsidR="002F6DB1" w:rsidRPr="00610088">
        <w:rPr>
          <w:lang w:val="en-GB"/>
        </w:rPr>
        <w:t>.</w:t>
      </w:r>
    </w:p>
    <w:p w14:paraId="4BA1032F" w14:textId="77777777" w:rsidR="002C6790" w:rsidRPr="00610088" w:rsidRDefault="002C6790" w:rsidP="002C6790">
      <w:pPr>
        <w:ind w:left="360"/>
        <w:rPr>
          <w:lang w:val="en-GB"/>
        </w:rPr>
      </w:pPr>
    </w:p>
    <w:p w14:paraId="7B0401FB" w14:textId="34026A3A" w:rsidR="002C6790" w:rsidRPr="00610088" w:rsidRDefault="00E95609" w:rsidP="002C6790">
      <w:pPr>
        <w:pStyle w:val="Heading2"/>
        <w:rPr>
          <w:lang w:val="en-GB"/>
        </w:rPr>
      </w:pPr>
      <w:bookmarkStart w:id="96" w:name="_Toc41370559"/>
      <w:r w:rsidRPr="00610088">
        <w:rPr>
          <w:lang w:val="en-GB"/>
        </w:rPr>
        <w:t>Strategic Objectives</w:t>
      </w:r>
      <w:bookmarkEnd w:id="96"/>
    </w:p>
    <w:p w14:paraId="63CCE734" w14:textId="77777777" w:rsidR="00E47DE5" w:rsidRPr="00610088" w:rsidRDefault="00E47DE5" w:rsidP="00E47DE5">
      <w:pPr>
        <w:rPr>
          <w:lang w:val="en-GB"/>
        </w:rPr>
      </w:pPr>
    </w:p>
    <w:p w14:paraId="46CE9AD2" w14:textId="4C229F80" w:rsidR="00E47DE5" w:rsidRPr="00610088" w:rsidRDefault="00E47DE5" w:rsidP="001B16D1">
      <w:pPr>
        <w:rPr>
          <w:lang w:val="en-GB"/>
        </w:rPr>
      </w:pPr>
      <w:r w:rsidRPr="00610088">
        <w:rPr>
          <w:lang w:val="en-GB"/>
        </w:rPr>
        <w:t xml:space="preserve">The NCD </w:t>
      </w:r>
      <w:r w:rsidR="00E95609" w:rsidRPr="00610088">
        <w:rPr>
          <w:lang w:val="en-GB"/>
        </w:rPr>
        <w:t>Strategic Plan</w:t>
      </w:r>
      <w:r w:rsidRPr="00610088">
        <w:rPr>
          <w:lang w:val="en-GB"/>
        </w:rPr>
        <w:t xml:space="preserve"> Objectives are aligned to the Sustainable Development Goal</w:t>
      </w:r>
      <w:r w:rsidR="005A2A4D" w:rsidRPr="00610088">
        <w:rPr>
          <w:lang w:val="en-GB"/>
        </w:rPr>
        <w:t xml:space="preserve"> targets for non-communicable diseases (SDG 3.4), substance abuse (SDG 3.5), road traffic accidents (SDG 3.6), hazardous chemicals and air, water and soil pollution and contamination (SDG 3.9) and the Framework Convention o</w:t>
      </w:r>
      <w:r w:rsidR="0013059F" w:rsidRPr="00610088">
        <w:rPr>
          <w:lang w:val="en-GB"/>
        </w:rPr>
        <w:t xml:space="preserve">n </w:t>
      </w:r>
      <w:r w:rsidR="005A2A4D" w:rsidRPr="00610088">
        <w:rPr>
          <w:lang w:val="en-GB"/>
        </w:rPr>
        <w:t xml:space="preserve">Tobacco Control (SDG 3.A). They also align to the relevant global strategies and initiatives on diet, physical activity and health (2004, salt reduction 2019) and prevention and control of NCDs (2013 global action plan, 2018 high-level UN General Assembly).  </w:t>
      </w:r>
    </w:p>
    <w:p w14:paraId="7F163776" w14:textId="77777777" w:rsidR="005A2A4D" w:rsidRPr="00610088" w:rsidRDefault="005A2A4D" w:rsidP="001B16D1">
      <w:pPr>
        <w:rPr>
          <w:lang w:val="en-GB"/>
        </w:rPr>
      </w:pPr>
    </w:p>
    <w:p w14:paraId="125AAD85" w14:textId="4978E9A6" w:rsidR="005A2A4D" w:rsidRPr="00610088" w:rsidRDefault="005A2A4D" w:rsidP="001B16D1">
      <w:pPr>
        <w:rPr>
          <w:lang w:val="en-GB"/>
        </w:rPr>
      </w:pPr>
      <w:r w:rsidRPr="00610088">
        <w:rPr>
          <w:lang w:val="en-GB"/>
        </w:rPr>
        <w:t xml:space="preserve">The NCD </w:t>
      </w:r>
      <w:r w:rsidR="00E95609" w:rsidRPr="00610088">
        <w:rPr>
          <w:lang w:val="en-GB"/>
        </w:rPr>
        <w:t>Strategic Plan</w:t>
      </w:r>
      <w:r w:rsidRPr="00610088">
        <w:rPr>
          <w:lang w:val="en-GB"/>
        </w:rPr>
        <w:t xml:space="preserve"> Objectives are:</w:t>
      </w:r>
    </w:p>
    <w:p w14:paraId="3BBF8056" w14:textId="77777777" w:rsidR="002C6790" w:rsidRPr="00610088" w:rsidRDefault="002C6790" w:rsidP="001B16D1">
      <w:pPr>
        <w:rPr>
          <w:lang w:val="en-GB"/>
        </w:rPr>
      </w:pPr>
    </w:p>
    <w:p w14:paraId="3CAB45D9" w14:textId="0672E0D5" w:rsidR="002C6790" w:rsidRPr="001B16D1" w:rsidRDefault="002C6790" w:rsidP="001B16D1">
      <w:pPr>
        <w:pStyle w:val="ListParagraph"/>
        <w:numPr>
          <w:ilvl w:val="0"/>
          <w:numId w:val="46"/>
        </w:numPr>
        <w:rPr>
          <w:lang w:val="en-GB"/>
        </w:rPr>
      </w:pPr>
      <w:r w:rsidRPr="001B16D1">
        <w:rPr>
          <w:lang w:val="en-GB"/>
        </w:rPr>
        <w:t>To reinforce leadership and strengthen capacity of the health system for prevention and control of NCDs</w:t>
      </w:r>
    </w:p>
    <w:p w14:paraId="19F5C2E5" w14:textId="77777777" w:rsidR="00604264" w:rsidRPr="001B16D1" w:rsidRDefault="00604264" w:rsidP="001B16D1">
      <w:pPr>
        <w:pStyle w:val="ListParagraph"/>
        <w:numPr>
          <w:ilvl w:val="0"/>
          <w:numId w:val="46"/>
        </w:numPr>
        <w:rPr>
          <w:lang w:val="en-GB"/>
        </w:rPr>
      </w:pPr>
      <w:r w:rsidRPr="001B16D1">
        <w:rPr>
          <w:lang w:val="en-GB"/>
        </w:rPr>
        <w:t>To mobilize sustainable funding for NCD activities at all levels</w:t>
      </w:r>
    </w:p>
    <w:p w14:paraId="11A3712C" w14:textId="77777777" w:rsidR="002C6790" w:rsidRPr="001B16D1" w:rsidRDefault="002C6790" w:rsidP="001B16D1">
      <w:pPr>
        <w:pStyle w:val="ListParagraph"/>
        <w:numPr>
          <w:ilvl w:val="0"/>
          <w:numId w:val="46"/>
        </w:numPr>
        <w:rPr>
          <w:lang w:val="en-GB"/>
        </w:rPr>
      </w:pPr>
      <w:r w:rsidRPr="001B16D1">
        <w:rPr>
          <w:lang w:val="en-GB"/>
        </w:rPr>
        <w:t>To promote healthy lifestyles and reduce risk factors using health promotion strategies.</w:t>
      </w:r>
    </w:p>
    <w:p w14:paraId="46396892" w14:textId="77777777" w:rsidR="002C6790" w:rsidRPr="001B16D1" w:rsidRDefault="002C6790" w:rsidP="001B16D1">
      <w:pPr>
        <w:pStyle w:val="ListParagraph"/>
        <w:numPr>
          <w:ilvl w:val="0"/>
          <w:numId w:val="46"/>
        </w:numPr>
        <w:rPr>
          <w:lang w:val="en-GB"/>
        </w:rPr>
      </w:pPr>
      <w:r w:rsidRPr="001B16D1">
        <w:rPr>
          <w:lang w:val="en-GB"/>
        </w:rPr>
        <w:t>To strengthen NCD prevention, screening, diagnosis, management and care at all levels through implementation of practical, cost-effective and evidence-based interventions at all levels of care</w:t>
      </w:r>
    </w:p>
    <w:p w14:paraId="236D7CBC" w14:textId="77777777" w:rsidR="002C6790" w:rsidRPr="001B16D1" w:rsidRDefault="002C6790" w:rsidP="001B16D1">
      <w:pPr>
        <w:pStyle w:val="ListParagraph"/>
        <w:numPr>
          <w:ilvl w:val="0"/>
          <w:numId w:val="46"/>
        </w:numPr>
        <w:rPr>
          <w:lang w:val="en-GB"/>
        </w:rPr>
      </w:pPr>
      <w:r w:rsidRPr="001B16D1">
        <w:rPr>
          <w:lang w:val="en-GB"/>
        </w:rPr>
        <w:t>To strengthen partnerships and establish a network of relevant stakeholders for surveillance, prevention, screening, diagnosis, management and care of NCDs.</w:t>
      </w:r>
    </w:p>
    <w:p w14:paraId="3A570E04" w14:textId="77777777" w:rsidR="002C6790" w:rsidRPr="001B16D1" w:rsidRDefault="002C6790" w:rsidP="001B16D1">
      <w:pPr>
        <w:pStyle w:val="ListParagraph"/>
        <w:numPr>
          <w:ilvl w:val="0"/>
          <w:numId w:val="46"/>
        </w:numPr>
        <w:rPr>
          <w:lang w:val="en-GB"/>
        </w:rPr>
      </w:pPr>
      <w:r w:rsidRPr="001B16D1">
        <w:rPr>
          <w:lang w:val="en-GB"/>
        </w:rPr>
        <w:t xml:space="preserve">To establish systems for monitoring and evaluation (including research and surveillance) to provide evidence for decision making and to assess effectiveness of promotion, prevention and control measures for NCD’s at all levels of the healthcare system </w:t>
      </w:r>
    </w:p>
    <w:p w14:paraId="4B54958C" w14:textId="4AF1BC86" w:rsidR="002F6DB1" w:rsidRPr="00610088" w:rsidRDefault="002C6790" w:rsidP="002C6790">
      <w:pPr>
        <w:rPr>
          <w:rFonts w:ascii="Calibri,BoldItalic" w:hAnsi="Calibri,BoldItalic"/>
          <w:lang w:val="en-GB"/>
        </w:rPr>
      </w:pPr>
      <w:r w:rsidRPr="00610088">
        <w:rPr>
          <w:rFonts w:ascii="Calibri,BoldItalic" w:hAnsi="Calibri,BoldItalic"/>
          <w:lang w:val="en-GB"/>
        </w:rPr>
        <w:t xml:space="preserve">  </w:t>
      </w:r>
    </w:p>
    <w:p w14:paraId="7B07ED0D" w14:textId="6F1DF012" w:rsidR="0025219B" w:rsidRPr="00610088" w:rsidRDefault="008C7A9C" w:rsidP="004F3E04">
      <w:pPr>
        <w:pStyle w:val="Heading1"/>
        <w:rPr>
          <w:lang w:val="en-GB"/>
        </w:rPr>
      </w:pPr>
      <w:bookmarkStart w:id="97" w:name="_Toc41370560"/>
      <w:r w:rsidRPr="00610088">
        <w:rPr>
          <w:lang w:val="en-GB"/>
        </w:rPr>
        <w:t xml:space="preserve">NCD </w:t>
      </w:r>
      <w:r w:rsidR="005A2A4D" w:rsidRPr="00610088">
        <w:rPr>
          <w:lang w:val="en-GB"/>
        </w:rPr>
        <w:t xml:space="preserve">Priority </w:t>
      </w:r>
      <w:r w:rsidRPr="00610088">
        <w:rPr>
          <w:lang w:val="en-GB"/>
        </w:rPr>
        <w:t>intervention are</w:t>
      </w:r>
      <w:r w:rsidR="002F6DB1" w:rsidRPr="00610088">
        <w:rPr>
          <w:lang w:val="en-GB"/>
        </w:rPr>
        <w:t>as</w:t>
      </w:r>
      <w:bookmarkEnd w:id="97"/>
      <w:r w:rsidR="002769B6" w:rsidRPr="00610088">
        <w:rPr>
          <w:lang w:val="en-GB"/>
        </w:rPr>
        <w:t xml:space="preserve"> </w:t>
      </w:r>
    </w:p>
    <w:p w14:paraId="1C36980B" w14:textId="77777777" w:rsidR="002F6DB1" w:rsidRPr="00610088" w:rsidRDefault="002F6DB1" w:rsidP="002F6DB1">
      <w:pPr>
        <w:rPr>
          <w:lang w:val="en-GB"/>
        </w:rPr>
      </w:pPr>
    </w:p>
    <w:p w14:paraId="6A8FC36B" w14:textId="43BEB560" w:rsidR="002F6DB1" w:rsidRPr="00610088" w:rsidRDefault="002F6DB1" w:rsidP="001B16D1">
      <w:pPr>
        <w:rPr>
          <w:iCs/>
          <w:lang w:val="en-GB"/>
        </w:rPr>
      </w:pPr>
      <w:r w:rsidRPr="00610088">
        <w:rPr>
          <w:lang w:val="en-GB"/>
        </w:rPr>
        <w:t>The approach for NCD prevention and control will focus on risk factors and their underlying determinants and equitable quality NCD services. The approach will consider common NCD conditions in Sierra Leone, for example</w:t>
      </w:r>
      <w:r w:rsidR="003B7251" w:rsidRPr="00610088">
        <w:rPr>
          <w:lang w:val="en-GB"/>
        </w:rPr>
        <w:t>:</w:t>
      </w:r>
      <w:r w:rsidRPr="00610088">
        <w:rPr>
          <w:lang w:val="en-GB"/>
        </w:rPr>
        <w:t xml:space="preserve"> </w:t>
      </w:r>
      <w:r w:rsidR="003B7251" w:rsidRPr="00610088">
        <w:rPr>
          <w:lang w:val="en-GB"/>
        </w:rPr>
        <w:t>c</w:t>
      </w:r>
      <w:r w:rsidRPr="00610088">
        <w:rPr>
          <w:lang w:val="en-GB"/>
        </w:rPr>
        <w:t xml:space="preserve">ardiovascular </w:t>
      </w:r>
      <w:r w:rsidR="003B7251" w:rsidRPr="00610088">
        <w:rPr>
          <w:lang w:val="en-GB"/>
        </w:rPr>
        <w:t>d</w:t>
      </w:r>
      <w:r w:rsidRPr="00610088">
        <w:rPr>
          <w:lang w:val="en-GB"/>
        </w:rPr>
        <w:t xml:space="preserve">iseases, cancers, chronic pulmonary diseases, diabetes mellitus, </w:t>
      </w:r>
      <w:r w:rsidRPr="00610088">
        <w:rPr>
          <w:iCs/>
          <w:lang w:val="en-GB"/>
        </w:rPr>
        <w:t>epilepsy</w:t>
      </w:r>
      <w:r w:rsidRPr="00610088">
        <w:rPr>
          <w:lang w:val="en-GB"/>
        </w:rPr>
        <w:t xml:space="preserve">, sickle cell disease, </w:t>
      </w:r>
      <w:r w:rsidRPr="00610088">
        <w:rPr>
          <w:iCs/>
          <w:lang w:val="en-GB"/>
        </w:rPr>
        <w:t xml:space="preserve">chronic kidney disease and injuries; their complications and sequels, and their underlying determinants and risk factors. </w:t>
      </w:r>
    </w:p>
    <w:p w14:paraId="2848DAD5" w14:textId="77777777" w:rsidR="002F6DB1" w:rsidRPr="00610088" w:rsidRDefault="002F6DB1" w:rsidP="001B16D1">
      <w:pPr>
        <w:rPr>
          <w:lang w:val="en-GB"/>
        </w:rPr>
      </w:pPr>
      <w:r w:rsidRPr="00610088">
        <w:rPr>
          <w:lang w:val="en-GB"/>
        </w:rPr>
        <w:t xml:space="preserve">The approach will integrate and link to approaches for mental conditions covered in the existing Mental Health Policy and Strategic Plan (launched in 2019).  </w:t>
      </w:r>
    </w:p>
    <w:p w14:paraId="6C721EEF" w14:textId="77777777" w:rsidR="001B16D1" w:rsidRDefault="001B16D1" w:rsidP="001B16D1">
      <w:pPr>
        <w:rPr>
          <w:rFonts w:ascii="Calibri,BoldItalic" w:hAnsi="Calibri,BoldItalic"/>
          <w:lang w:val="en-GB"/>
        </w:rPr>
      </w:pPr>
    </w:p>
    <w:p w14:paraId="0DFFD3A1" w14:textId="71199B4D" w:rsidR="002F6DB1" w:rsidRDefault="002F6DB1" w:rsidP="001B16D1">
      <w:pPr>
        <w:rPr>
          <w:rFonts w:ascii="Calibri,BoldItalic" w:hAnsi="Calibri,BoldItalic"/>
          <w:lang w:val="en-GB"/>
        </w:rPr>
      </w:pPr>
      <w:r w:rsidRPr="00610088">
        <w:rPr>
          <w:rFonts w:ascii="Calibri,BoldItalic" w:hAnsi="Calibri,BoldItalic"/>
          <w:lang w:val="en-GB"/>
        </w:rPr>
        <w:t xml:space="preserve">The NCD Policy Framework has 10 priority intervention areas – in bold italics below - which are captured under 3 NCD Policy Domains: </w:t>
      </w:r>
      <w:r w:rsidRPr="001D1F74">
        <w:rPr>
          <w:rFonts w:ascii="Calibri,BoldItalic" w:hAnsi="Calibri,BoldItalic"/>
          <w:b/>
          <w:bCs/>
          <w:lang w:val="en-GB"/>
        </w:rPr>
        <w:t>Leadership and Governance, Health Promotion, NCD services</w:t>
      </w:r>
      <w:r w:rsidRPr="00610088">
        <w:rPr>
          <w:rFonts w:ascii="Calibri,BoldItalic" w:hAnsi="Calibri,BoldItalic"/>
          <w:lang w:val="en-GB"/>
        </w:rPr>
        <w:t xml:space="preserve">. All domains and priority intervention areas are actively linked to the existing Mental Health policy framework. </w:t>
      </w:r>
    </w:p>
    <w:p w14:paraId="7E67C923" w14:textId="77777777" w:rsidR="001B16D1" w:rsidRPr="00610088" w:rsidRDefault="001B16D1" w:rsidP="001B16D1">
      <w:pPr>
        <w:rPr>
          <w:rFonts w:ascii="Calibri,BoldItalic" w:hAnsi="Calibri,BoldItalic"/>
          <w:lang w:val="en-GB"/>
        </w:rPr>
      </w:pPr>
    </w:p>
    <w:p w14:paraId="2A668E72" w14:textId="77777777" w:rsidR="002F6DB1" w:rsidRPr="00610088" w:rsidRDefault="002F6DB1" w:rsidP="002F6DB1">
      <w:pPr>
        <w:pStyle w:val="Heading2"/>
        <w:rPr>
          <w:lang w:val="en-GB"/>
        </w:rPr>
      </w:pPr>
      <w:bookmarkStart w:id="98" w:name="_Toc9421139"/>
      <w:bookmarkStart w:id="99" w:name="_Toc41370561"/>
      <w:r w:rsidRPr="00610088">
        <w:rPr>
          <w:lang w:val="en-GB"/>
        </w:rPr>
        <w:t>Leadership and Governance</w:t>
      </w:r>
      <w:bookmarkEnd w:id="98"/>
      <w:bookmarkEnd w:id="99"/>
    </w:p>
    <w:p w14:paraId="3B7385C7" w14:textId="77777777" w:rsidR="002F6DB1" w:rsidRPr="00610088" w:rsidRDefault="002F6DB1" w:rsidP="002F6DB1">
      <w:pPr>
        <w:rPr>
          <w:lang w:val="en-GB"/>
        </w:rPr>
      </w:pPr>
    </w:p>
    <w:p w14:paraId="249B896C" w14:textId="2A843AC1" w:rsidR="007D17E9" w:rsidRPr="00610088" w:rsidRDefault="007D17E9" w:rsidP="001B16D1">
      <w:pPr>
        <w:rPr>
          <w:lang w:val="en-GB"/>
        </w:rPr>
      </w:pPr>
      <w:r w:rsidRPr="00610088">
        <w:rPr>
          <w:lang w:val="en-GB"/>
        </w:rPr>
        <w:t xml:space="preserve">The </w:t>
      </w:r>
      <w:r w:rsidRPr="00610088">
        <w:rPr>
          <w:b/>
          <w:i/>
          <w:lang w:val="en-GB"/>
        </w:rPr>
        <w:t>Legal framework for NCDs and their risk factors</w:t>
      </w:r>
      <w:r w:rsidRPr="00610088">
        <w:rPr>
          <w:lang w:val="en-GB"/>
        </w:rPr>
        <w:t xml:space="preserve"> will amongst others include advocacy for and contribution for development of Tobacco and Alcohol legislation. This will create an enabling environment for practicing healthy lifestyles. </w:t>
      </w:r>
    </w:p>
    <w:p w14:paraId="7DEF80CE" w14:textId="77777777" w:rsidR="0066744E" w:rsidRPr="00610088" w:rsidRDefault="0066744E" w:rsidP="001D1F74">
      <w:pPr>
        <w:rPr>
          <w:i/>
          <w:iCs/>
          <w:lang w:val="en-GB"/>
        </w:rPr>
      </w:pPr>
    </w:p>
    <w:p w14:paraId="629BF634" w14:textId="3477E5D8" w:rsidR="0066744E" w:rsidRPr="00610088" w:rsidRDefault="0066744E" w:rsidP="001B16D1">
      <w:pPr>
        <w:rPr>
          <w:lang w:val="en-GB"/>
        </w:rPr>
      </w:pPr>
      <w:r w:rsidRPr="00610088">
        <w:rPr>
          <w:b/>
          <w:bCs/>
          <w:i/>
          <w:iCs/>
          <w:lang w:val="en-GB"/>
        </w:rPr>
        <w:lastRenderedPageBreak/>
        <w:t xml:space="preserve">National guidelines, SOPs and tools </w:t>
      </w:r>
      <w:r w:rsidRPr="00610088">
        <w:rPr>
          <w:lang w:val="en-GB"/>
        </w:rPr>
        <w:t>will be developed for interventions in the relevant policy domain areas Leadership &amp; Governance, Health promotion and NCD services.</w:t>
      </w:r>
    </w:p>
    <w:p w14:paraId="7DF3C3E1" w14:textId="77777777" w:rsidR="007D17E9" w:rsidRPr="00610088" w:rsidRDefault="007D17E9" w:rsidP="001B16D1">
      <w:pPr>
        <w:rPr>
          <w:lang w:val="en-GB"/>
        </w:rPr>
      </w:pPr>
    </w:p>
    <w:p w14:paraId="0BAE922B" w14:textId="77777777" w:rsidR="007D17E9" w:rsidRPr="00610088" w:rsidRDefault="007D17E9" w:rsidP="001B16D1">
      <w:pPr>
        <w:rPr>
          <w:sz w:val="22"/>
          <w:lang w:val="en-GB"/>
        </w:rPr>
      </w:pPr>
      <w:r w:rsidRPr="00610088">
        <w:rPr>
          <w:sz w:val="22"/>
          <w:lang w:val="en-GB"/>
        </w:rPr>
        <w:t xml:space="preserve">Increased NCD </w:t>
      </w:r>
      <w:r w:rsidRPr="00610088">
        <w:rPr>
          <w:b/>
          <w:i/>
          <w:iCs/>
          <w:sz w:val="22"/>
          <w:lang w:val="en-GB"/>
        </w:rPr>
        <w:t>Financing</w:t>
      </w:r>
      <w:r w:rsidRPr="00610088">
        <w:rPr>
          <w:b/>
          <w:sz w:val="22"/>
          <w:lang w:val="en-GB"/>
        </w:rPr>
        <w:t xml:space="preserve"> </w:t>
      </w:r>
      <w:r w:rsidRPr="00610088">
        <w:rPr>
          <w:sz w:val="22"/>
          <w:lang w:val="en-GB"/>
        </w:rPr>
        <w:t xml:space="preserve">is needed to accelerate NCD prevention and control in Sierra Leone. </w:t>
      </w:r>
      <w:proofErr w:type="spellStart"/>
      <w:r w:rsidRPr="00610088">
        <w:rPr>
          <w:sz w:val="22"/>
          <w:lang w:val="en-GB"/>
        </w:rPr>
        <w:t>GoSL</w:t>
      </w:r>
      <w:proofErr w:type="spellEnd"/>
      <w:r w:rsidRPr="00610088">
        <w:rPr>
          <w:sz w:val="22"/>
          <w:lang w:val="en-GB"/>
        </w:rPr>
        <w:t xml:space="preserve"> stakeholders and development partners will be encouraged to mobilize funds.  </w:t>
      </w:r>
    </w:p>
    <w:p w14:paraId="432A1FD0" w14:textId="77777777" w:rsidR="007D17E9" w:rsidRPr="00610088" w:rsidRDefault="007D17E9" w:rsidP="001B16D1">
      <w:pPr>
        <w:rPr>
          <w:rFonts w:eastAsia="Times New Roman"/>
          <w:sz w:val="22"/>
          <w:lang w:val="en-GB"/>
        </w:rPr>
      </w:pPr>
    </w:p>
    <w:p w14:paraId="42133E23" w14:textId="76622167" w:rsidR="007D17E9" w:rsidRPr="00610088" w:rsidRDefault="007D17E9" w:rsidP="001B16D1">
      <w:pPr>
        <w:rPr>
          <w:rFonts w:eastAsia="Times New Roman"/>
          <w:sz w:val="22"/>
          <w:lang w:val="en-GB"/>
        </w:rPr>
      </w:pPr>
      <w:r w:rsidRPr="00610088">
        <w:rPr>
          <w:rFonts w:eastAsia="Times New Roman"/>
          <w:sz w:val="22"/>
          <w:lang w:val="en-GB"/>
        </w:rPr>
        <w:t xml:space="preserve">The </w:t>
      </w:r>
      <w:proofErr w:type="spellStart"/>
      <w:r w:rsidRPr="00610088">
        <w:rPr>
          <w:rFonts w:eastAsia="Times New Roman"/>
          <w:sz w:val="22"/>
          <w:lang w:val="en-GB"/>
        </w:rPr>
        <w:t>GoSL</w:t>
      </w:r>
      <w:proofErr w:type="spellEnd"/>
      <w:r w:rsidRPr="00610088">
        <w:rPr>
          <w:rFonts w:eastAsia="Times New Roman"/>
          <w:sz w:val="22"/>
          <w:lang w:val="en-GB"/>
        </w:rPr>
        <w:t xml:space="preserve"> will lead and strengthen </w:t>
      </w:r>
      <w:r w:rsidRPr="00610088">
        <w:rPr>
          <w:rFonts w:eastAsia="Times New Roman"/>
          <w:b/>
          <w:i/>
          <w:sz w:val="22"/>
          <w:lang w:val="en-GB"/>
        </w:rPr>
        <w:t>collaboration and partnerships</w:t>
      </w:r>
      <w:r w:rsidRPr="00610088">
        <w:rPr>
          <w:rFonts w:eastAsia="Times New Roman"/>
          <w:sz w:val="22"/>
          <w:lang w:val="en-GB"/>
        </w:rPr>
        <w:t xml:space="preserve"> with key stakeholders and donors to reduce preventable morbidity and mortality from NCDs and increase healthy lifestyles and enabling environments. The National NCD and Injuries Commission</w:t>
      </w:r>
      <w:r w:rsidR="003B7251" w:rsidRPr="00610088">
        <w:rPr>
          <w:rFonts w:eastAsia="Times New Roman"/>
          <w:sz w:val="22"/>
          <w:lang w:val="en-GB"/>
        </w:rPr>
        <w:t xml:space="preserve"> (NCDI)</w:t>
      </w:r>
      <w:r w:rsidRPr="00610088">
        <w:rPr>
          <w:rFonts w:eastAsia="Times New Roman"/>
          <w:sz w:val="22"/>
          <w:lang w:val="en-GB"/>
        </w:rPr>
        <w:t xml:space="preserve"> and its Technical Working groups will assist with building stronger collaboration and partnerships.</w:t>
      </w:r>
    </w:p>
    <w:p w14:paraId="77439ACE" w14:textId="77777777" w:rsidR="007D17E9" w:rsidRPr="00610088" w:rsidRDefault="007D17E9" w:rsidP="001B16D1">
      <w:pPr>
        <w:rPr>
          <w:rFonts w:eastAsia="Times New Roman"/>
          <w:b/>
          <w:sz w:val="22"/>
          <w:highlight w:val="yellow"/>
          <w:lang w:val="en-GB"/>
        </w:rPr>
      </w:pPr>
    </w:p>
    <w:p w14:paraId="7796C5B9" w14:textId="77777777" w:rsidR="007D17E9" w:rsidRPr="00610088" w:rsidRDefault="007D17E9" w:rsidP="001B16D1">
      <w:pPr>
        <w:rPr>
          <w:rFonts w:eastAsia="Times New Roman"/>
          <w:sz w:val="22"/>
          <w:lang w:val="en-GB"/>
        </w:rPr>
      </w:pPr>
      <w:r w:rsidRPr="00610088">
        <w:rPr>
          <w:rFonts w:eastAsia="Times New Roman"/>
          <w:b/>
          <w:i/>
          <w:iCs/>
          <w:sz w:val="22"/>
          <w:lang w:val="en-GB"/>
        </w:rPr>
        <w:t>Capacity building</w:t>
      </w:r>
      <w:r w:rsidRPr="00610088">
        <w:rPr>
          <w:rFonts w:eastAsia="Times New Roman"/>
          <w:sz w:val="22"/>
          <w:lang w:val="en-GB"/>
        </w:rPr>
        <w:t xml:space="preserve"> for NCDs is needed to ensure the health systems has the required infrastructure, skilled and trained staff and equipment to provide, monitor and oversee NCD activities and services. </w:t>
      </w:r>
    </w:p>
    <w:p w14:paraId="6E2C31D5" w14:textId="77777777" w:rsidR="007D17E9" w:rsidRPr="00610088" w:rsidRDefault="007D17E9" w:rsidP="001B16D1">
      <w:pPr>
        <w:rPr>
          <w:rFonts w:eastAsia="Times New Roman"/>
          <w:sz w:val="22"/>
          <w:lang w:val="en-GB"/>
        </w:rPr>
      </w:pPr>
    </w:p>
    <w:p w14:paraId="30809A50" w14:textId="77777777" w:rsidR="007D17E9" w:rsidRPr="00610088" w:rsidRDefault="007D17E9" w:rsidP="001B16D1">
      <w:pPr>
        <w:rPr>
          <w:rFonts w:eastAsia="Times New Roman"/>
          <w:sz w:val="22"/>
          <w:lang w:val="en-GB"/>
        </w:rPr>
      </w:pPr>
      <w:r w:rsidRPr="00610088">
        <w:rPr>
          <w:rFonts w:eastAsia="Times New Roman"/>
          <w:sz w:val="22"/>
          <w:lang w:val="en-GB"/>
        </w:rPr>
        <w:t xml:space="preserve">For implementation of NCD services it is essential to ensure the availability and affordability of </w:t>
      </w:r>
      <w:r w:rsidRPr="00610088">
        <w:rPr>
          <w:rFonts w:eastAsia="Times New Roman"/>
          <w:b/>
          <w:bCs/>
          <w:i/>
          <w:iCs/>
          <w:sz w:val="22"/>
          <w:lang w:val="en-GB"/>
        </w:rPr>
        <w:t>drugs, essential diagnostics and medical supplies for NCDs</w:t>
      </w:r>
      <w:r w:rsidRPr="00610088">
        <w:rPr>
          <w:rFonts w:eastAsia="Times New Roman"/>
          <w:b/>
          <w:bCs/>
          <w:sz w:val="22"/>
          <w:lang w:val="en-GB"/>
        </w:rPr>
        <w:t xml:space="preserve"> </w:t>
      </w:r>
      <w:r w:rsidRPr="00610088">
        <w:rPr>
          <w:rFonts w:eastAsia="Times New Roman"/>
          <w:sz w:val="22"/>
          <w:lang w:val="en-GB"/>
        </w:rPr>
        <w:t xml:space="preserve">at all levels of health care system and advocate to relevant stakeholders for adequate supplies and inclusion of all necessary NCD commodities in policy documents such as the essential medicines list. </w:t>
      </w:r>
    </w:p>
    <w:p w14:paraId="50ACB21F" w14:textId="77777777" w:rsidR="007D17E9" w:rsidRPr="00610088" w:rsidRDefault="007D17E9" w:rsidP="001B16D1">
      <w:pPr>
        <w:rPr>
          <w:rFonts w:eastAsia="Times New Roman"/>
          <w:sz w:val="22"/>
          <w:lang w:val="en-GB"/>
        </w:rPr>
      </w:pPr>
    </w:p>
    <w:p w14:paraId="1864A99A" w14:textId="275815F0" w:rsidR="002F6DB1" w:rsidRPr="00610088" w:rsidRDefault="007D17E9" w:rsidP="001B16D1">
      <w:pPr>
        <w:rPr>
          <w:rFonts w:eastAsia="Times New Roman"/>
          <w:sz w:val="22"/>
          <w:lang w:val="en-GB"/>
        </w:rPr>
      </w:pPr>
      <w:r w:rsidRPr="00610088">
        <w:rPr>
          <w:rFonts w:eastAsia="Times New Roman"/>
          <w:b/>
          <w:i/>
          <w:sz w:val="22"/>
          <w:lang w:val="en-GB"/>
        </w:rPr>
        <w:t>Monitoring and evaluation (M&amp;E)</w:t>
      </w:r>
      <w:r w:rsidRPr="00610088">
        <w:rPr>
          <w:rFonts w:eastAsia="Times New Roman"/>
          <w:bCs/>
          <w:iCs/>
          <w:sz w:val="22"/>
          <w:lang w:val="en-GB"/>
        </w:rPr>
        <w:t xml:space="preserve"> will be needed in the entire NCD continuum of care. NCD prevention, control and surveillance will be integrated into routine </w:t>
      </w:r>
      <w:r w:rsidR="003561E5">
        <w:rPr>
          <w:rFonts w:eastAsia="Times New Roman"/>
          <w:bCs/>
          <w:iCs/>
          <w:sz w:val="22"/>
          <w:lang w:val="en-GB"/>
        </w:rPr>
        <w:t>Health Management Information System (</w:t>
      </w:r>
      <w:r w:rsidRPr="00610088">
        <w:rPr>
          <w:rFonts w:eastAsia="Times New Roman"/>
          <w:bCs/>
          <w:iCs/>
          <w:sz w:val="22"/>
          <w:lang w:val="en-GB"/>
        </w:rPr>
        <w:t>HMIS</w:t>
      </w:r>
      <w:r w:rsidR="003561E5">
        <w:rPr>
          <w:rFonts w:eastAsia="Times New Roman"/>
          <w:bCs/>
          <w:iCs/>
          <w:sz w:val="22"/>
          <w:lang w:val="en-GB"/>
        </w:rPr>
        <w:t>)</w:t>
      </w:r>
      <w:r w:rsidRPr="00610088">
        <w:rPr>
          <w:rFonts w:eastAsia="Times New Roman"/>
          <w:bCs/>
          <w:iCs/>
          <w:sz w:val="22"/>
          <w:lang w:val="en-GB"/>
        </w:rPr>
        <w:t xml:space="preserve"> and surveillance systems and NCD research will be promoted to inform policy.</w:t>
      </w:r>
    </w:p>
    <w:p w14:paraId="06E18ED2" w14:textId="77777777" w:rsidR="007D17E9" w:rsidRPr="00610088" w:rsidRDefault="007D17E9" w:rsidP="002F6DB1">
      <w:pPr>
        <w:pStyle w:val="NoSpacing"/>
        <w:rPr>
          <w:rFonts w:eastAsia="Times New Roman"/>
          <w:sz w:val="22"/>
          <w:szCs w:val="22"/>
          <w:lang w:val="en-GB"/>
        </w:rPr>
      </w:pPr>
    </w:p>
    <w:p w14:paraId="0AEE046D" w14:textId="77777777" w:rsidR="002F6DB1" w:rsidRPr="00610088" w:rsidRDefault="002F6DB1" w:rsidP="002F6DB1">
      <w:pPr>
        <w:pStyle w:val="Heading2"/>
        <w:rPr>
          <w:rFonts w:eastAsia="Times New Roman"/>
          <w:lang w:val="en-GB"/>
        </w:rPr>
      </w:pPr>
      <w:bookmarkStart w:id="100" w:name="_Toc9421140"/>
      <w:bookmarkStart w:id="101" w:name="_Toc41370562"/>
      <w:r w:rsidRPr="00610088">
        <w:rPr>
          <w:rFonts w:eastAsia="Times New Roman"/>
          <w:lang w:val="en-GB"/>
        </w:rPr>
        <w:t>Health promotion</w:t>
      </w:r>
      <w:bookmarkEnd w:id="100"/>
      <w:bookmarkEnd w:id="101"/>
      <w:r w:rsidRPr="00610088">
        <w:rPr>
          <w:rFonts w:eastAsia="Times New Roman"/>
          <w:lang w:val="en-GB"/>
        </w:rPr>
        <w:t xml:space="preserve"> </w:t>
      </w:r>
    </w:p>
    <w:p w14:paraId="682C8371" w14:textId="77777777" w:rsidR="002F6DB1" w:rsidRPr="00610088" w:rsidRDefault="002F6DB1" w:rsidP="002F6DB1">
      <w:pPr>
        <w:rPr>
          <w:lang w:val="en-GB"/>
        </w:rPr>
      </w:pPr>
    </w:p>
    <w:p w14:paraId="0EBB6896" w14:textId="4E976C0B" w:rsidR="002F6DB1" w:rsidRPr="00610088" w:rsidRDefault="002F6DB1" w:rsidP="001B16D1">
      <w:pPr>
        <w:rPr>
          <w:rFonts w:ascii="Calibri,BoldItalic" w:eastAsia="Times New Roman" w:hAnsi="Calibri,BoldItalic" w:cs="Times New Roman"/>
          <w:lang w:val="en-GB"/>
        </w:rPr>
      </w:pPr>
      <w:r w:rsidRPr="00610088">
        <w:rPr>
          <w:lang w:val="en-GB"/>
        </w:rPr>
        <w:t>The p</w:t>
      </w:r>
      <w:r w:rsidR="00AF5EF2" w:rsidRPr="00610088">
        <w:rPr>
          <w:lang w:val="en-GB"/>
        </w:rPr>
        <w:t>olicy domain</w:t>
      </w:r>
      <w:r w:rsidRPr="00610088">
        <w:rPr>
          <w:lang w:val="en-GB"/>
        </w:rPr>
        <w:t xml:space="preserve"> area -</w:t>
      </w:r>
      <w:r w:rsidRPr="00610088">
        <w:rPr>
          <w:b/>
          <w:lang w:val="en-GB"/>
        </w:rPr>
        <w:t xml:space="preserve"> Health promotion and prevention of NCDs</w:t>
      </w:r>
      <w:r w:rsidRPr="00610088">
        <w:rPr>
          <w:lang w:val="en-GB"/>
        </w:rPr>
        <w:t xml:space="preserve"> will focus on achieving healthy lifestyles through reduction of the modifiable NCD risk factors such as </w:t>
      </w:r>
      <w:r w:rsidRPr="00610088">
        <w:rPr>
          <w:rFonts w:ascii="Calibri,BoldItalic" w:eastAsia="Times New Roman" w:hAnsi="Calibri,BoldItalic" w:cs="Times New Roman"/>
          <w:lang w:val="en-GB"/>
        </w:rPr>
        <w:t xml:space="preserve">tobacco use, physical inactivity, harmful use of alcohol, unhealthy diets (including high salt and sugar use) and air pollution. Health promotion </w:t>
      </w:r>
      <w:r w:rsidR="00A62334" w:rsidRPr="00610088">
        <w:rPr>
          <w:rFonts w:ascii="Calibri,BoldItalic" w:eastAsia="Times New Roman" w:hAnsi="Calibri,BoldItalic" w:cs="Times New Roman"/>
          <w:lang w:val="en-GB"/>
        </w:rPr>
        <w:t xml:space="preserve">will educate the general public on healthy life choices while also providing </w:t>
      </w:r>
      <w:r w:rsidRPr="00610088">
        <w:rPr>
          <w:rFonts w:ascii="Calibri,BoldItalic" w:eastAsia="Times New Roman" w:hAnsi="Calibri,BoldItalic" w:cs="Times New Roman"/>
          <w:lang w:val="en-GB"/>
        </w:rPr>
        <w:t xml:space="preserve">education to existing NCD patients on how best to care for and manage their respective conditions. </w:t>
      </w:r>
    </w:p>
    <w:p w14:paraId="46A7F080" w14:textId="77777777" w:rsidR="002F6DB1" w:rsidRPr="00610088" w:rsidRDefault="002F6DB1" w:rsidP="001B16D1">
      <w:pPr>
        <w:rPr>
          <w:highlight w:val="yellow"/>
          <w:lang w:val="en-GB"/>
        </w:rPr>
      </w:pPr>
    </w:p>
    <w:p w14:paraId="33C22635" w14:textId="77777777" w:rsidR="002F6DB1" w:rsidRPr="00610088" w:rsidRDefault="002F6DB1" w:rsidP="002F6DB1">
      <w:pPr>
        <w:pStyle w:val="Heading2"/>
        <w:rPr>
          <w:rFonts w:eastAsia="Times New Roman"/>
          <w:lang w:val="en-GB"/>
        </w:rPr>
      </w:pPr>
      <w:bookmarkStart w:id="102" w:name="_Toc9421141"/>
      <w:bookmarkStart w:id="103" w:name="_Toc41370563"/>
      <w:r w:rsidRPr="00610088">
        <w:rPr>
          <w:rFonts w:eastAsia="Times New Roman"/>
          <w:lang w:val="en-GB"/>
        </w:rPr>
        <w:t>NCD services</w:t>
      </w:r>
      <w:bookmarkEnd w:id="102"/>
      <w:bookmarkEnd w:id="103"/>
    </w:p>
    <w:p w14:paraId="3A409293" w14:textId="77777777" w:rsidR="002F6DB1" w:rsidRPr="00610088" w:rsidRDefault="002F6DB1" w:rsidP="002F6DB1">
      <w:pPr>
        <w:rPr>
          <w:lang w:val="en-GB"/>
        </w:rPr>
      </w:pPr>
    </w:p>
    <w:p w14:paraId="310592A9" w14:textId="77777777" w:rsidR="007D17E9" w:rsidRPr="00610088" w:rsidRDefault="007D17E9" w:rsidP="001B16D1">
      <w:pPr>
        <w:rPr>
          <w:lang w:val="en-GB"/>
        </w:rPr>
      </w:pPr>
      <w:r w:rsidRPr="00610088">
        <w:rPr>
          <w:lang w:val="en-GB"/>
        </w:rPr>
        <w:t xml:space="preserve">The Domain </w:t>
      </w:r>
      <w:r w:rsidRPr="001D1F74">
        <w:rPr>
          <w:lang w:val="en-GB"/>
        </w:rPr>
        <w:t>NCD services</w:t>
      </w:r>
      <w:r w:rsidRPr="00610088">
        <w:rPr>
          <w:lang w:val="en-GB"/>
        </w:rPr>
        <w:t xml:space="preserve"> will consider </w:t>
      </w:r>
      <w:r w:rsidRPr="001D1F74">
        <w:rPr>
          <w:b/>
          <w:bCs/>
          <w:i/>
          <w:iCs/>
          <w:lang w:val="en-GB"/>
        </w:rPr>
        <w:t>key NCD conditions</w:t>
      </w:r>
      <w:r w:rsidRPr="00610088">
        <w:rPr>
          <w:lang w:val="en-GB"/>
        </w:rPr>
        <w:t xml:space="preserve"> in Sierra Leone: Cardiovascular diseases, Cancers, Chronic respiratory diseases, Diabetes, Mental Diseases/Conditions, Chronic Kidney Conditions, Sickle cell etc. This Domain will also consider the key metabolic NCD risk factors: Hypertension, Overweight/Obesity, Hyperglycaemia, Hyperlipidaemia. </w:t>
      </w:r>
    </w:p>
    <w:p w14:paraId="0503ACC2" w14:textId="6EDC130A" w:rsidR="007D17E9" w:rsidRPr="00610088" w:rsidRDefault="007D17E9" w:rsidP="001B16D1">
      <w:pPr>
        <w:rPr>
          <w:lang w:val="en-GB"/>
        </w:rPr>
      </w:pPr>
      <w:r w:rsidRPr="00610088">
        <w:rPr>
          <w:lang w:val="en-GB"/>
        </w:rPr>
        <w:t xml:space="preserve">Specific services considered under this domain are: Prevention, Screening/Early Detection, Diagnosis, Management, Care, Rehabilitation, and Palliative Care. This also includes NCD clinic days, a </w:t>
      </w:r>
      <w:r w:rsidR="003B7251" w:rsidRPr="00610088">
        <w:rPr>
          <w:lang w:val="en-GB"/>
        </w:rPr>
        <w:t>N</w:t>
      </w:r>
      <w:r w:rsidRPr="00610088">
        <w:rPr>
          <w:lang w:val="en-GB"/>
        </w:rPr>
        <w:t xml:space="preserve">ational Cancer Hospital and patient support groups. </w:t>
      </w:r>
    </w:p>
    <w:p w14:paraId="20E3B76E" w14:textId="77777777" w:rsidR="002F6DB1" w:rsidRPr="00610088" w:rsidRDefault="002F6DB1" w:rsidP="001B16D1">
      <w:pPr>
        <w:rPr>
          <w:rFonts w:ascii="Calibri,BoldItalic" w:eastAsia="Times New Roman" w:hAnsi="Calibri,BoldItalic" w:cs="Times New Roman"/>
          <w:lang w:val="en-GB"/>
        </w:rPr>
      </w:pPr>
    </w:p>
    <w:p w14:paraId="393D611B" w14:textId="77777777" w:rsidR="007D17E9" w:rsidRPr="00610088" w:rsidRDefault="002F6DB1" w:rsidP="001B16D1">
      <w:pPr>
        <w:rPr>
          <w:rFonts w:ascii="Calibri,BoldItalic" w:eastAsia="Times New Roman" w:hAnsi="Calibri,BoldItalic" w:cs="Times New Roman"/>
          <w:lang w:val="en-GB"/>
        </w:rPr>
      </w:pPr>
      <w:r w:rsidRPr="00610088">
        <w:rPr>
          <w:rFonts w:ascii="Calibri,BoldItalic" w:eastAsia="Times New Roman" w:hAnsi="Calibri,BoldItalic" w:cs="Times New Roman"/>
          <w:lang w:val="en-GB"/>
        </w:rPr>
        <w:t xml:space="preserve">The priority intervention area - </w:t>
      </w:r>
      <w:r w:rsidRPr="001D1F74">
        <w:rPr>
          <w:rFonts w:ascii="Calibri,BoldItalic" w:eastAsia="Times New Roman" w:hAnsi="Calibri,BoldItalic" w:cs="Times New Roman"/>
          <w:b/>
          <w:i/>
          <w:iCs/>
          <w:lang w:val="en-GB"/>
        </w:rPr>
        <w:t xml:space="preserve">NCDs management at Primary Health Care level </w:t>
      </w:r>
      <w:r w:rsidRPr="00610088">
        <w:rPr>
          <w:rFonts w:ascii="Calibri,BoldItalic" w:eastAsia="Times New Roman" w:hAnsi="Calibri,BoldItalic" w:cs="Times New Roman"/>
          <w:b/>
          <w:lang w:val="en-GB"/>
        </w:rPr>
        <w:t xml:space="preserve">– </w:t>
      </w:r>
      <w:r w:rsidRPr="00610088">
        <w:rPr>
          <w:rFonts w:ascii="Calibri,BoldItalic" w:eastAsia="Times New Roman" w:hAnsi="Calibri,BoldItalic" w:cs="Times New Roman"/>
          <w:lang w:val="en-GB"/>
        </w:rPr>
        <w:t xml:space="preserve">will be integrated as a basic NCD package into existing Primary Health Care interventions, with a special focus at the CHC level. </w:t>
      </w:r>
      <w:r w:rsidR="007D17E9" w:rsidRPr="00610088">
        <w:rPr>
          <w:rFonts w:ascii="Calibri,BoldItalic" w:eastAsia="Times New Roman" w:hAnsi="Calibri,BoldItalic" w:cs="Times New Roman"/>
          <w:lang w:val="en-GB"/>
        </w:rPr>
        <w:t>In addition, referral pathways between primary, secondary and tertiary facilities will be strengthened.</w:t>
      </w:r>
    </w:p>
    <w:p w14:paraId="223451D2" w14:textId="78D4717F" w:rsidR="001B16D1" w:rsidRDefault="001B16D1">
      <w:pPr>
        <w:rPr>
          <w:lang w:val="en-GB"/>
        </w:rPr>
      </w:pPr>
      <w:r>
        <w:rPr>
          <w:lang w:val="en-GB"/>
        </w:rPr>
        <w:br w:type="page"/>
      </w:r>
    </w:p>
    <w:p w14:paraId="0913175E" w14:textId="77777777" w:rsidR="00606001" w:rsidRPr="00610088" w:rsidRDefault="00606001">
      <w:pPr>
        <w:rPr>
          <w:lang w:val="en-GB"/>
        </w:rPr>
      </w:pPr>
    </w:p>
    <w:p w14:paraId="486D6EF7" w14:textId="0D35380C" w:rsidR="002A3190" w:rsidRPr="00610088" w:rsidRDefault="002A3190" w:rsidP="00C57B3E">
      <w:pPr>
        <w:pStyle w:val="Heading1"/>
        <w:rPr>
          <w:lang w:val="en-GB"/>
        </w:rPr>
      </w:pPr>
      <w:bookmarkStart w:id="104" w:name="_Toc41370564"/>
      <w:r w:rsidRPr="00610088">
        <w:rPr>
          <w:lang w:val="en-GB"/>
        </w:rPr>
        <w:t>Strategic objectives and broad activities</w:t>
      </w:r>
      <w:bookmarkEnd w:id="104"/>
    </w:p>
    <w:p w14:paraId="4DB3DF7A" w14:textId="6AC8CE39" w:rsidR="002A3190" w:rsidRPr="00610088" w:rsidRDefault="002A3190" w:rsidP="002A3190">
      <w:pPr>
        <w:rPr>
          <w:lang w:val="en-GB"/>
        </w:rPr>
      </w:pPr>
    </w:p>
    <w:p w14:paraId="1BC177E8" w14:textId="77777777" w:rsidR="007A3E6E" w:rsidRPr="00610088" w:rsidRDefault="002A3190" w:rsidP="001B16D1">
      <w:pPr>
        <w:rPr>
          <w:lang w:val="en-GB"/>
        </w:rPr>
      </w:pPr>
      <w:r w:rsidRPr="00610088">
        <w:rPr>
          <w:lang w:val="en-GB"/>
        </w:rPr>
        <w:t xml:space="preserve">This strategic plan applies a phased approach, taking into consideration the limited attention to NCDs over the last years and the current low NCD activity and funding levels. </w:t>
      </w:r>
      <w:r w:rsidR="007A3E6E" w:rsidRPr="00610088">
        <w:rPr>
          <w:lang w:val="en-GB"/>
        </w:rPr>
        <w:t>Two key cross-cutting strategies are therefore:</w:t>
      </w:r>
    </w:p>
    <w:p w14:paraId="7C5EF947" w14:textId="23870D61" w:rsidR="007A3E6E" w:rsidRPr="001B16D1" w:rsidRDefault="007A3E6E" w:rsidP="001B16D1">
      <w:pPr>
        <w:pStyle w:val="ListParagraph"/>
        <w:numPr>
          <w:ilvl w:val="0"/>
          <w:numId w:val="47"/>
        </w:numPr>
        <w:rPr>
          <w:lang w:val="en-GB"/>
        </w:rPr>
      </w:pPr>
      <w:r w:rsidRPr="001B16D1">
        <w:rPr>
          <w:b/>
          <w:lang w:val="en-GB"/>
        </w:rPr>
        <w:t>Integration,</w:t>
      </w:r>
      <w:r w:rsidRPr="001B16D1">
        <w:rPr>
          <w:lang w:val="en-GB"/>
        </w:rPr>
        <w:t xml:space="preserve"> w</w:t>
      </w:r>
      <w:r w:rsidR="002A3190" w:rsidRPr="001B16D1">
        <w:rPr>
          <w:lang w:val="en-GB"/>
        </w:rPr>
        <w:t xml:space="preserve">here possible activities are integrated with or </w:t>
      </w:r>
      <w:r w:rsidR="004E4E29" w:rsidRPr="001B16D1">
        <w:rPr>
          <w:lang w:val="en-GB"/>
        </w:rPr>
        <w:t>piggyback</w:t>
      </w:r>
      <w:r w:rsidR="002A3190" w:rsidRPr="001B16D1">
        <w:rPr>
          <w:lang w:val="en-GB"/>
        </w:rPr>
        <w:t xml:space="preserve"> on existing activities and initiatives, such as already ongoing health promotion activities</w:t>
      </w:r>
      <w:r w:rsidR="00FC6DE9" w:rsidRPr="001B16D1">
        <w:rPr>
          <w:lang w:val="en-GB"/>
        </w:rPr>
        <w:t xml:space="preserve"> within </w:t>
      </w:r>
      <w:proofErr w:type="spellStart"/>
      <w:r w:rsidR="00156C15" w:rsidRPr="001B16D1">
        <w:rPr>
          <w:lang w:val="en-GB"/>
        </w:rPr>
        <w:t>MoHS</w:t>
      </w:r>
      <w:proofErr w:type="spellEnd"/>
      <w:r w:rsidR="00FC6DE9" w:rsidRPr="001B16D1">
        <w:rPr>
          <w:lang w:val="en-GB"/>
        </w:rPr>
        <w:t xml:space="preserve"> and other governmental and non-governmental organisations</w:t>
      </w:r>
      <w:r w:rsidR="002A3190" w:rsidRPr="001B16D1">
        <w:rPr>
          <w:lang w:val="en-GB"/>
        </w:rPr>
        <w:t xml:space="preserve"> </w:t>
      </w:r>
    </w:p>
    <w:p w14:paraId="349C3DD8" w14:textId="5E4A4964" w:rsidR="002A3190" w:rsidRPr="001B16D1" w:rsidRDefault="007A3E6E" w:rsidP="001B16D1">
      <w:pPr>
        <w:pStyle w:val="ListParagraph"/>
        <w:numPr>
          <w:ilvl w:val="0"/>
          <w:numId w:val="47"/>
        </w:numPr>
        <w:rPr>
          <w:lang w:val="en-GB"/>
        </w:rPr>
      </w:pPr>
      <w:r w:rsidRPr="001B16D1">
        <w:rPr>
          <w:b/>
          <w:lang w:val="en-GB"/>
        </w:rPr>
        <w:t>Advocacy,</w:t>
      </w:r>
      <w:r w:rsidRPr="001B16D1">
        <w:rPr>
          <w:lang w:val="en-GB"/>
        </w:rPr>
        <w:t xml:space="preserve"> advocating for integration with existing activities and for involvement of as much actors and entities, both within and outside the health sector, as possible in NCD activities. </w:t>
      </w:r>
      <w:r w:rsidR="002A3190" w:rsidRPr="001B16D1">
        <w:rPr>
          <w:lang w:val="en-GB"/>
        </w:rPr>
        <w:t xml:space="preserve"> </w:t>
      </w:r>
    </w:p>
    <w:p w14:paraId="52C208B2" w14:textId="77777777" w:rsidR="001B16D1" w:rsidRDefault="001B16D1" w:rsidP="001B16D1">
      <w:pPr>
        <w:rPr>
          <w:lang w:val="en-GB"/>
        </w:rPr>
      </w:pPr>
    </w:p>
    <w:p w14:paraId="5AC91082" w14:textId="60BD21AE" w:rsidR="007A3E6E" w:rsidRPr="00610088" w:rsidRDefault="002A3190" w:rsidP="001B16D1">
      <w:pPr>
        <w:rPr>
          <w:lang w:val="en-GB"/>
        </w:rPr>
      </w:pPr>
      <w:r w:rsidRPr="00610088">
        <w:rPr>
          <w:lang w:val="en-GB"/>
        </w:rPr>
        <w:t xml:space="preserve">This section shows the </w:t>
      </w:r>
      <w:r w:rsidR="00604264" w:rsidRPr="00610088">
        <w:rPr>
          <w:lang w:val="en-GB"/>
        </w:rPr>
        <w:t>6</w:t>
      </w:r>
      <w:r w:rsidRPr="00610088">
        <w:rPr>
          <w:lang w:val="en-GB"/>
        </w:rPr>
        <w:t xml:space="preserve"> strategic objectives with their</w:t>
      </w:r>
      <w:r w:rsidR="00DC0BB8" w:rsidRPr="00610088">
        <w:rPr>
          <w:lang w:val="en-GB"/>
        </w:rPr>
        <w:t xml:space="preserve"> strategies and</w:t>
      </w:r>
      <w:r w:rsidRPr="00610088">
        <w:rPr>
          <w:lang w:val="en-GB"/>
        </w:rPr>
        <w:t xml:space="preserve"> broad activities, grouped under 3 time periods: short-term (1-2 years), medium term (3-5 years) and long term (&gt; 5years)</w:t>
      </w:r>
      <w:r w:rsidR="007A3E6E" w:rsidRPr="00610088">
        <w:rPr>
          <w:lang w:val="en-GB"/>
        </w:rPr>
        <w:t>.</w:t>
      </w:r>
      <w:r w:rsidR="00DC0BB8" w:rsidRPr="00610088">
        <w:rPr>
          <w:lang w:val="en-GB"/>
        </w:rPr>
        <w:t xml:space="preserve"> Detailed activities will be described in the separate implementation plans for Health Promotion, NCD Services and </w:t>
      </w:r>
      <w:r w:rsidR="002769B6" w:rsidRPr="00610088">
        <w:rPr>
          <w:lang w:val="en-GB"/>
        </w:rPr>
        <w:t>Leadership and Governance</w:t>
      </w:r>
      <w:r w:rsidR="00DC0BB8" w:rsidRPr="00610088">
        <w:rPr>
          <w:lang w:val="en-GB"/>
        </w:rPr>
        <w:t xml:space="preserve">. </w:t>
      </w:r>
    </w:p>
    <w:p w14:paraId="54758E22" w14:textId="77777777" w:rsidR="00107685" w:rsidRPr="00610088" w:rsidRDefault="00107685" w:rsidP="002A3190">
      <w:pPr>
        <w:rPr>
          <w:lang w:val="en-GB"/>
        </w:rPr>
        <w:sectPr w:rsidR="00107685" w:rsidRPr="00610088" w:rsidSect="00780675">
          <w:endnotePr>
            <w:numFmt w:val="decimal"/>
          </w:endnotePr>
          <w:type w:val="continuous"/>
          <w:pgSz w:w="11900" w:h="16840"/>
          <w:pgMar w:top="1440" w:right="1440" w:bottom="1440" w:left="1440" w:header="708" w:footer="708" w:gutter="0"/>
          <w:cols w:space="708"/>
          <w:docGrid w:linePitch="360"/>
        </w:sectPr>
      </w:pPr>
    </w:p>
    <w:p w14:paraId="4C0D92CD" w14:textId="434637B2" w:rsidR="00C57B3E" w:rsidRPr="00610088" w:rsidRDefault="00C57B3E" w:rsidP="002A3190">
      <w:pPr>
        <w:pStyle w:val="Heading2"/>
        <w:rPr>
          <w:lang w:val="en-GB"/>
        </w:rPr>
      </w:pPr>
      <w:bookmarkStart w:id="105" w:name="_Toc41370565"/>
      <w:r w:rsidRPr="00610088">
        <w:rPr>
          <w:lang w:val="en-GB"/>
        </w:rPr>
        <w:lastRenderedPageBreak/>
        <w:t xml:space="preserve">SO1: </w:t>
      </w:r>
      <w:r w:rsidR="004C7D72" w:rsidRPr="00610088">
        <w:rPr>
          <w:lang w:val="en-GB"/>
        </w:rPr>
        <w:t xml:space="preserve"> </w:t>
      </w:r>
      <w:r w:rsidRPr="00610088">
        <w:rPr>
          <w:lang w:val="en-GB"/>
        </w:rPr>
        <w:t>To reinforce leadership and strengthen capacity of the health system for prevention and control of NCDs</w:t>
      </w:r>
      <w:bookmarkEnd w:id="105"/>
    </w:p>
    <w:p w14:paraId="3179062C" w14:textId="77777777" w:rsidR="008023B9" w:rsidRPr="00610088" w:rsidRDefault="008023B9" w:rsidP="009D1248">
      <w:pPr>
        <w:rPr>
          <w:lang w:val="en-GB"/>
        </w:rPr>
      </w:pPr>
    </w:p>
    <w:p w14:paraId="266A3A9E" w14:textId="3FEEB645" w:rsidR="009D1248" w:rsidRPr="00610088" w:rsidRDefault="007C2D50" w:rsidP="001B16D1">
      <w:pPr>
        <w:rPr>
          <w:lang w:val="en-GB"/>
        </w:rPr>
      </w:pPr>
      <w:r w:rsidRPr="00610088">
        <w:rPr>
          <w:lang w:val="en-GB"/>
        </w:rPr>
        <w:t xml:space="preserve">The table below contains the key strategies and broad activities under </w:t>
      </w:r>
      <w:r w:rsidR="00F47941">
        <w:rPr>
          <w:lang w:val="en-GB"/>
        </w:rPr>
        <w:t>Strategic Objective 1 (</w:t>
      </w:r>
      <w:r w:rsidRPr="00610088">
        <w:rPr>
          <w:lang w:val="en-GB"/>
        </w:rPr>
        <w:t>SO1</w:t>
      </w:r>
      <w:r w:rsidR="00F47941">
        <w:rPr>
          <w:lang w:val="en-GB"/>
        </w:rPr>
        <w:t>)</w:t>
      </w:r>
      <w:r w:rsidRPr="00610088">
        <w:rPr>
          <w:lang w:val="en-GB"/>
        </w:rPr>
        <w:t>. There is overlap between SO1</w:t>
      </w:r>
      <w:r w:rsidR="00AE0A1E" w:rsidRPr="00610088">
        <w:rPr>
          <w:lang w:val="en-GB"/>
        </w:rPr>
        <w:t xml:space="preserve">, SO2 and </w:t>
      </w:r>
      <w:r w:rsidRPr="00610088">
        <w:rPr>
          <w:lang w:val="en-GB"/>
        </w:rPr>
        <w:t>SO</w:t>
      </w:r>
      <w:r w:rsidR="00DE208E" w:rsidRPr="00610088">
        <w:rPr>
          <w:lang w:val="en-GB"/>
        </w:rPr>
        <w:t>5</w:t>
      </w:r>
      <w:r w:rsidRPr="00610088">
        <w:rPr>
          <w:lang w:val="en-GB"/>
        </w:rPr>
        <w:t xml:space="preserve">, please also consult </w:t>
      </w:r>
      <w:r w:rsidR="00AE0A1E" w:rsidRPr="00610088">
        <w:rPr>
          <w:lang w:val="en-GB"/>
        </w:rPr>
        <w:t>SO2 and SO5</w:t>
      </w:r>
      <w:r w:rsidRPr="00610088">
        <w:rPr>
          <w:lang w:val="en-GB"/>
        </w:rPr>
        <w:t xml:space="preserve">. </w:t>
      </w:r>
    </w:p>
    <w:p w14:paraId="0A984812" w14:textId="0F118686" w:rsidR="007A3E6E" w:rsidRPr="00610088" w:rsidRDefault="007A3E6E" w:rsidP="007A3E6E">
      <w:pPr>
        <w:rPr>
          <w:lang w:val="en-GB"/>
        </w:rPr>
      </w:pPr>
    </w:p>
    <w:tbl>
      <w:tblPr>
        <w:tblW w:w="507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6"/>
        <w:gridCol w:w="1802"/>
        <w:gridCol w:w="6802"/>
        <w:gridCol w:w="1420"/>
        <w:gridCol w:w="1275"/>
        <w:gridCol w:w="1275"/>
      </w:tblGrid>
      <w:tr w:rsidR="00604264" w:rsidRPr="00610088" w14:paraId="4BE61731" w14:textId="079C416C" w:rsidTr="00A8191E">
        <w:trPr>
          <w:cantSplit/>
          <w:tblHeader/>
        </w:trPr>
        <w:tc>
          <w:tcPr>
            <w:tcW w:w="563" w:type="pct"/>
          </w:tcPr>
          <w:p w14:paraId="77AD3C10" w14:textId="5E702C29" w:rsidR="00604264" w:rsidRPr="00610088" w:rsidRDefault="00604264" w:rsidP="007A3E6E">
            <w:pPr>
              <w:rPr>
                <w:b/>
                <w:sz w:val="20"/>
                <w:szCs w:val="20"/>
                <w:lang w:val="en-GB"/>
              </w:rPr>
            </w:pPr>
            <w:r w:rsidRPr="00610088">
              <w:rPr>
                <w:b/>
                <w:sz w:val="20"/>
                <w:szCs w:val="20"/>
                <w:lang w:val="en-GB"/>
              </w:rPr>
              <w:t>Strategy</w:t>
            </w:r>
          </w:p>
        </w:tc>
        <w:tc>
          <w:tcPr>
            <w:tcW w:w="3036" w:type="pct"/>
            <w:gridSpan w:val="2"/>
          </w:tcPr>
          <w:p w14:paraId="6858F7C7" w14:textId="3991D657" w:rsidR="00604264" w:rsidRPr="00610088" w:rsidRDefault="00604264" w:rsidP="007A3E6E">
            <w:pPr>
              <w:rPr>
                <w:b/>
                <w:sz w:val="20"/>
                <w:szCs w:val="20"/>
                <w:lang w:val="en-GB"/>
              </w:rPr>
            </w:pPr>
            <w:r w:rsidRPr="00610088">
              <w:rPr>
                <w:b/>
                <w:sz w:val="20"/>
                <w:szCs w:val="20"/>
                <w:lang w:val="en-GB"/>
              </w:rPr>
              <w:t xml:space="preserve">Broad activity </w:t>
            </w:r>
          </w:p>
        </w:tc>
        <w:tc>
          <w:tcPr>
            <w:tcW w:w="501" w:type="pct"/>
          </w:tcPr>
          <w:p w14:paraId="7CDC1516" w14:textId="5142722E" w:rsidR="00604264" w:rsidRPr="00610088" w:rsidRDefault="00604264" w:rsidP="007A3E6E">
            <w:pPr>
              <w:rPr>
                <w:b/>
                <w:sz w:val="20"/>
                <w:szCs w:val="20"/>
                <w:lang w:val="en-GB"/>
              </w:rPr>
            </w:pPr>
            <w:r w:rsidRPr="00610088">
              <w:rPr>
                <w:b/>
                <w:sz w:val="20"/>
                <w:szCs w:val="20"/>
                <w:lang w:val="en-GB"/>
              </w:rPr>
              <w:t>Short term (1-2 years)</w:t>
            </w:r>
          </w:p>
        </w:tc>
        <w:tc>
          <w:tcPr>
            <w:tcW w:w="450" w:type="pct"/>
          </w:tcPr>
          <w:p w14:paraId="78F97BB3" w14:textId="77777777" w:rsidR="00604264" w:rsidRPr="00610088" w:rsidRDefault="00604264" w:rsidP="007A3E6E">
            <w:pPr>
              <w:rPr>
                <w:b/>
                <w:sz w:val="20"/>
                <w:szCs w:val="20"/>
                <w:lang w:val="en-GB"/>
              </w:rPr>
            </w:pPr>
            <w:r w:rsidRPr="00610088">
              <w:rPr>
                <w:b/>
                <w:sz w:val="20"/>
                <w:szCs w:val="20"/>
                <w:lang w:val="en-GB"/>
              </w:rPr>
              <w:t xml:space="preserve">Medium term </w:t>
            </w:r>
          </w:p>
          <w:p w14:paraId="4A788E16" w14:textId="160B798A" w:rsidR="00604264" w:rsidRPr="00610088" w:rsidRDefault="00604264" w:rsidP="007A3E6E">
            <w:pPr>
              <w:rPr>
                <w:b/>
                <w:sz w:val="20"/>
                <w:szCs w:val="20"/>
                <w:lang w:val="en-GB"/>
              </w:rPr>
            </w:pPr>
            <w:r w:rsidRPr="00610088">
              <w:rPr>
                <w:b/>
                <w:sz w:val="20"/>
                <w:szCs w:val="20"/>
                <w:lang w:val="en-GB"/>
              </w:rPr>
              <w:t>(3-5 years)</w:t>
            </w:r>
          </w:p>
        </w:tc>
        <w:tc>
          <w:tcPr>
            <w:tcW w:w="450" w:type="pct"/>
          </w:tcPr>
          <w:p w14:paraId="1FF22C0A" w14:textId="77777777" w:rsidR="00AE0A1E" w:rsidRPr="00610088" w:rsidRDefault="00604264" w:rsidP="007A3E6E">
            <w:pPr>
              <w:rPr>
                <w:b/>
                <w:sz w:val="20"/>
                <w:szCs w:val="20"/>
                <w:lang w:val="en-GB"/>
              </w:rPr>
            </w:pPr>
            <w:r w:rsidRPr="00610088">
              <w:rPr>
                <w:b/>
                <w:sz w:val="20"/>
                <w:szCs w:val="20"/>
                <w:lang w:val="en-GB"/>
              </w:rPr>
              <w:t xml:space="preserve">Long term </w:t>
            </w:r>
          </w:p>
          <w:p w14:paraId="10867B25" w14:textId="5D2CEFA3" w:rsidR="00604264" w:rsidRPr="00610088" w:rsidRDefault="00604264" w:rsidP="007A3E6E">
            <w:pPr>
              <w:rPr>
                <w:b/>
                <w:sz w:val="20"/>
                <w:szCs w:val="20"/>
                <w:lang w:val="en-GB"/>
              </w:rPr>
            </w:pPr>
            <w:r w:rsidRPr="00610088">
              <w:rPr>
                <w:b/>
                <w:sz w:val="20"/>
                <w:szCs w:val="20"/>
                <w:lang w:val="en-GB"/>
              </w:rPr>
              <w:t>(&gt; 5 years)</w:t>
            </w:r>
          </w:p>
        </w:tc>
      </w:tr>
      <w:tr w:rsidR="00BE28F6" w:rsidRPr="00610088" w14:paraId="639996FA" w14:textId="122EE2AE" w:rsidTr="004E4E29">
        <w:trPr>
          <w:cantSplit/>
          <w:trHeight w:val="397"/>
        </w:trPr>
        <w:tc>
          <w:tcPr>
            <w:tcW w:w="563" w:type="pct"/>
            <w:vMerge w:val="restart"/>
          </w:tcPr>
          <w:p w14:paraId="0F059108" w14:textId="752BE9E9" w:rsidR="00BE28F6" w:rsidRPr="00610088" w:rsidRDefault="00BE28F6" w:rsidP="00604264">
            <w:pPr>
              <w:rPr>
                <w:sz w:val="20"/>
                <w:szCs w:val="20"/>
                <w:lang w:val="en-GB"/>
              </w:rPr>
            </w:pPr>
            <w:r w:rsidRPr="00610088">
              <w:rPr>
                <w:bCs/>
                <w:sz w:val="20"/>
                <w:szCs w:val="20"/>
                <w:lang w:val="en-GB"/>
              </w:rPr>
              <w:t>Strengthening and capacity building of NCD Directorate at national and district level</w:t>
            </w:r>
          </w:p>
        </w:tc>
        <w:tc>
          <w:tcPr>
            <w:tcW w:w="3036" w:type="pct"/>
            <w:gridSpan w:val="2"/>
          </w:tcPr>
          <w:p w14:paraId="34D38F13" w14:textId="23683ECF" w:rsidR="00BE28F6" w:rsidRPr="00610088" w:rsidRDefault="00BE28F6" w:rsidP="00604264">
            <w:pPr>
              <w:pStyle w:val="NoSpacing"/>
              <w:rPr>
                <w:sz w:val="20"/>
                <w:szCs w:val="20"/>
                <w:lang w:val="en-GB"/>
              </w:rPr>
            </w:pPr>
            <w:r w:rsidRPr="00610088">
              <w:rPr>
                <w:sz w:val="20"/>
                <w:szCs w:val="20"/>
                <w:lang w:val="en-GB"/>
              </w:rPr>
              <w:t>Organizational capacity assessment of NCD Directorate, resulting in an organizational development and capacity building plan</w:t>
            </w:r>
          </w:p>
        </w:tc>
        <w:tc>
          <w:tcPr>
            <w:tcW w:w="501" w:type="pct"/>
          </w:tcPr>
          <w:p w14:paraId="0B673F66" w14:textId="713E5D51" w:rsidR="00BE28F6" w:rsidRPr="00610088" w:rsidRDefault="00BE28F6" w:rsidP="00604264">
            <w:pPr>
              <w:pStyle w:val="NoSpacing"/>
              <w:rPr>
                <w:b/>
                <w:sz w:val="20"/>
                <w:szCs w:val="20"/>
                <w:lang w:val="en-GB"/>
              </w:rPr>
            </w:pPr>
            <w:r w:rsidRPr="00610088">
              <w:rPr>
                <w:bCs/>
                <w:sz w:val="20"/>
                <w:szCs w:val="20"/>
                <w:lang w:val="en-GB"/>
              </w:rPr>
              <w:t>x</w:t>
            </w:r>
          </w:p>
        </w:tc>
        <w:tc>
          <w:tcPr>
            <w:tcW w:w="450" w:type="pct"/>
          </w:tcPr>
          <w:p w14:paraId="41254AA1" w14:textId="77777777" w:rsidR="00BE28F6" w:rsidRPr="00610088" w:rsidRDefault="00BE28F6" w:rsidP="00604264">
            <w:pPr>
              <w:pStyle w:val="NoSpacing"/>
              <w:rPr>
                <w:b/>
                <w:sz w:val="20"/>
                <w:szCs w:val="20"/>
                <w:lang w:val="en-GB"/>
              </w:rPr>
            </w:pPr>
          </w:p>
        </w:tc>
        <w:tc>
          <w:tcPr>
            <w:tcW w:w="450" w:type="pct"/>
          </w:tcPr>
          <w:p w14:paraId="2BBAF572" w14:textId="008EEFA1" w:rsidR="00BE28F6" w:rsidRPr="00610088" w:rsidRDefault="00BE28F6" w:rsidP="00604264">
            <w:pPr>
              <w:pStyle w:val="NoSpacing"/>
              <w:rPr>
                <w:b/>
                <w:sz w:val="20"/>
                <w:szCs w:val="20"/>
                <w:lang w:val="en-GB"/>
              </w:rPr>
            </w:pPr>
            <w:r w:rsidRPr="00610088">
              <w:rPr>
                <w:bCs/>
                <w:sz w:val="20"/>
                <w:szCs w:val="20"/>
                <w:lang w:val="en-GB"/>
              </w:rPr>
              <w:t>x (repeat)</w:t>
            </w:r>
          </w:p>
        </w:tc>
      </w:tr>
      <w:tr w:rsidR="00BE28F6" w:rsidRPr="00610088" w14:paraId="084F3C3E" w14:textId="77777777" w:rsidTr="00A8191E">
        <w:trPr>
          <w:cantSplit/>
          <w:trHeight w:val="283"/>
        </w:trPr>
        <w:tc>
          <w:tcPr>
            <w:tcW w:w="563" w:type="pct"/>
            <w:vMerge/>
          </w:tcPr>
          <w:p w14:paraId="248957D8" w14:textId="77777777" w:rsidR="00BE28F6" w:rsidRPr="00610088" w:rsidRDefault="00BE28F6" w:rsidP="00604264">
            <w:pPr>
              <w:rPr>
                <w:bCs/>
                <w:sz w:val="20"/>
                <w:szCs w:val="20"/>
                <w:lang w:val="en-GB"/>
              </w:rPr>
            </w:pPr>
          </w:p>
        </w:tc>
        <w:tc>
          <w:tcPr>
            <w:tcW w:w="3036" w:type="pct"/>
            <w:gridSpan w:val="2"/>
          </w:tcPr>
          <w:p w14:paraId="43FBB6AF" w14:textId="67E6D3FC" w:rsidR="00BE28F6" w:rsidRPr="00610088" w:rsidRDefault="00BE28F6" w:rsidP="00604264">
            <w:pPr>
              <w:pStyle w:val="NoSpacing"/>
              <w:rPr>
                <w:sz w:val="20"/>
                <w:szCs w:val="20"/>
                <w:lang w:val="en-GB"/>
              </w:rPr>
            </w:pPr>
            <w:r w:rsidRPr="00610088">
              <w:rPr>
                <w:sz w:val="20"/>
                <w:szCs w:val="20"/>
                <w:lang w:val="en-GB"/>
              </w:rPr>
              <w:t>Adequately staff NCD Directorate (including pin-coding all staffs)</w:t>
            </w:r>
          </w:p>
        </w:tc>
        <w:tc>
          <w:tcPr>
            <w:tcW w:w="501" w:type="pct"/>
          </w:tcPr>
          <w:p w14:paraId="2A9C40C6" w14:textId="20FF4A49"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476DC6AB" w14:textId="77777777" w:rsidR="00BE28F6" w:rsidRPr="00610088" w:rsidRDefault="00BE28F6" w:rsidP="00604264">
            <w:pPr>
              <w:pStyle w:val="NoSpacing"/>
              <w:rPr>
                <w:bCs/>
                <w:sz w:val="20"/>
                <w:szCs w:val="20"/>
                <w:lang w:val="en-GB"/>
              </w:rPr>
            </w:pPr>
          </w:p>
        </w:tc>
        <w:tc>
          <w:tcPr>
            <w:tcW w:w="450" w:type="pct"/>
          </w:tcPr>
          <w:p w14:paraId="596B66AF" w14:textId="7CD18B3D" w:rsidR="00BE28F6" w:rsidRPr="00610088" w:rsidRDefault="00BE28F6" w:rsidP="00604264">
            <w:pPr>
              <w:pStyle w:val="NoSpacing"/>
              <w:rPr>
                <w:bCs/>
                <w:sz w:val="20"/>
                <w:szCs w:val="20"/>
                <w:lang w:val="en-GB"/>
              </w:rPr>
            </w:pPr>
          </w:p>
        </w:tc>
      </w:tr>
      <w:tr w:rsidR="00BE28F6" w:rsidRPr="00610088" w14:paraId="143258EF" w14:textId="77777777" w:rsidTr="00A8191E">
        <w:trPr>
          <w:cantSplit/>
          <w:trHeight w:val="283"/>
        </w:trPr>
        <w:tc>
          <w:tcPr>
            <w:tcW w:w="563" w:type="pct"/>
            <w:vMerge/>
          </w:tcPr>
          <w:p w14:paraId="2085BEC3" w14:textId="77777777" w:rsidR="00BE28F6" w:rsidRPr="00610088" w:rsidRDefault="00BE28F6" w:rsidP="00604264">
            <w:pPr>
              <w:rPr>
                <w:bCs/>
                <w:sz w:val="20"/>
                <w:szCs w:val="20"/>
                <w:lang w:val="en-GB"/>
              </w:rPr>
            </w:pPr>
          </w:p>
        </w:tc>
        <w:tc>
          <w:tcPr>
            <w:tcW w:w="3036" w:type="pct"/>
            <w:gridSpan w:val="2"/>
          </w:tcPr>
          <w:p w14:paraId="45F3FCE1" w14:textId="16A7742D" w:rsidR="00BE28F6" w:rsidRPr="00610088" w:rsidRDefault="00005619" w:rsidP="00604264">
            <w:pPr>
              <w:pStyle w:val="NoSpacing"/>
              <w:rPr>
                <w:b/>
                <w:sz w:val="20"/>
                <w:szCs w:val="20"/>
                <w:lang w:val="en-GB"/>
              </w:rPr>
            </w:pPr>
            <w:r w:rsidRPr="00610088">
              <w:rPr>
                <w:sz w:val="20"/>
                <w:szCs w:val="20"/>
                <w:lang w:val="en-GB"/>
              </w:rPr>
              <w:t xml:space="preserve">Nominate </w:t>
            </w:r>
            <w:r w:rsidR="00BE28F6" w:rsidRPr="00610088">
              <w:rPr>
                <w:sz w:val="20"/>
                <w:szCs w:val="20"/>
                <w:lang w:val="en-GB"/>
              </w:rPr>
              <w:t xml:space="preserve">national focal persons for all key NCD areas </w:t>
            </w:r>
          </w:p>
        </w:tc>
        <w:tc>
          <w:tcPr>
            <w:tcW w:w="501" w:type="pct"/>
          </w:tcPr>
          <w:p w14:paraId="3C392CDD" w14:textId="4BA730B6"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787AEE0D" w14:textId="77777777" w:rsidR="00BE28F6" w:rsidRPr="00610088" w:rsidRDefault="00BE28F6" w:rsidP="00604264">
            <w:pPr>
              <w:pStyle w:val="NoSpacing"/>
              <w:rPr>
                <w:bCs/>
                <w:sz w:val="20"/>
                <w:szCs w:val="20"/>
                <w:lang w:val="en-GB"/>
              </w:rPr>
            </w:pPr>
          </w:p>
        </w:tc>
        <w:tc>
          <w:tcPr>
            <w:tcW w:w="450" w:type="pct"/>
          </w:tcPr>
          <w:p w14:paraId="1F0B6BC6" w14:textId="77777777" w:rsidR="00BE28F6" w:rsidRPr="00610088" w:rsidRDefault="00BE28F6" w:rsidP="00604264">
            <w:pPr>
              <w:pStyle w:val="NoSpacing"/>
              <w:rPr>
                <w:bCs/>
                <w:sz w:val="20"/>
                <w:szCs w:val="20"/>
                <w:lang w:val="en-GB"/>
              </w:rPr>
            </w:pPr>
          </w:p>
        </w:tc>
      </w:tr>
      <w:tr w:rsidR="00BE28F6" w:rsidRPr="00610088" w14:paraId="72B66BA5" w14:textId="77777777" w:rsidTr="00A8191E">
        <w:trPr>
          <w:cantSplit/>
          <w:trHeight w:val="283"/>
        </w:trPr>
        <w:tc>
          <w:tcPr>
            <w:tcW w:w="563" w:type="pct"/>
            <w:vMerge/>
          </w:tcPr>
          <w:p w14:paraId="4F09F08F" w14:textId="77777777" w:rsidR="00BE28F6" w:rsidRPr="00610088" w:rsidRDefault="00BE28F6" w:rsidP="00604264">
            <w:pPr>
              <w:rPr>
                <w:bCs/>
                <w:sz w:val="20"/>
                <w:szCs w:val="20"/>
                <w:lang w:val="en-GB"/>
              </w:rPr>
            </w:pPr>
          </w:p>
        </w:tc>
        <w:tc>
          <w:tcPr>
            <w:tcW w:w="3036" w:type="pct"/>
            <w:gridSpan w:val="2"/>
          </w:tcPr>
          <w:p w14:paraId="4B5E7C0F" w14:textId="07466DBC" w:rsidR="00BE28F6" w:rsidRPr="00610088" w:rsidRDefault="00005619" w:rsidP="00604264">
            <w:pPr>
              <w:pStyle w:val="NoSpacing"/>
              <w:rPr>
                <w:bCs/>
                <w:sz w:val="20"/>
                <w:szCs w:val="20"/>
                <w:lang w:val="en-GB"/>
              </w:rPr>
            </w:pPr>
            <w:r w:rsidRPr="00610088">
              <w:rPr>
                <w:sz w:val="20"/>
                <w:szCs w:val="20"/>
                <w:lang w:val="en-GB"/>
              </w:rPr>
              <w:t>Nominate</w:t>
            </w:r>
            <w:r w:rsidR="00BE28F6" w:rsidRPr="00610088">
              <w:rPr>
                <w:sz w:val="20"/>
                <w:szCs w:val="20"/>
                <w:lang w:val="en-GB"/>
              </w:rPr>
              <w:t xml:space="preserve"> and support district NCD focal persons (DHMT), including 1 motorbike per district (16 motorbikes) </w:t>
            </w:r>
            <w:r w:rsidR="00BE28F6" w:rsidRPr="00610088">
              <w:rPr>
                <w:color w:val="000000" w:themeColor="text1"/>
                <w:sz w:val="20"/>
                <w:szCs w:val="20"/>
                <w:lang w:val="en-GB"/>
              </w:rPr>
              <w:t>and other equipment</w:t>
            </w:r>
          </w:p>
        </w:tc>
        <w:tc>
          <w:tcPr>
            <w:tcW w:w="501" w:type="pct"/>
          </w:tcPr>
          <w:p w14:paraId="02CA2AB0" w14:textId="56ED07A4"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20D4503F" w14:textId="5E4B1377"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0C173E1C" w14:textId="0136A3DC" w:rsidR="00BE28F6" w:rsidRPr="00610088" w:rsidRDefault="00BE28F6" w:rsidP="00604264">
            <w:pPr>
              <w:pStyle w:val="NoSpacing"/>
              <w:rPr>
                <w:bCs/>
                <w:sz w:val="20"/>
                <w:szCs w:val="20"/>
                <w:lang w:val="en-GB"/>
              </w:rPr>
            </w:pPr>
            <w:r w:rsidRPr="00610088">
              <w:rPr>
                <w:bCs/>
                <w:sz w:val="20"/>
                <w:szCs w:val="20"/>
                <w:lang w:val="en-GB"/>
              </w:rPr>
              <w:t>x</w:t>
            </w:r>
          </w:p>
        </w:tc>
      </w:tr>
      <w:tr w:rsidR="00BE28F6" w:rsidRPr="00610088" w14:paraId="15223722" w14:textId="77777777" w:rsidTr="00A8191E">
        <w:trPr>
          <w:cantSplit/>
          <w:trHeight w:val="283"/>
        </w:trPr>
        <w:tc>
          <w:tcPr>
            <w:tcW w:w="563" w:type="pct"/>
            <w:vMerge/>
          </w:tcPr>
          <w:p w14:paraId="07EBC1D7" w14:textId="77777777" w:rsidR="00BE28F6" w:rsidRPr="00610088" w:rsidRDefault="00BE28F6" w:rsidP="00604264">
            <w:pPr>
              <w:rPr>
                <w:bCs/>
                <w:sz w:val="20"/>
                <w:szCs w:val="20"/>
                <w:lang w:val="en-GB"/>
              </w:rPr>
            </w:pPr>
          </w:p>
        </w:tc>
        <w:tc>
          <w:tcPr>
            <w:tcW w:w="3036" w:type="pct"/>
            <w:gridSpan w:val="2"/>
          </w:tcPr>
          <w:p w14:paraId="7A780821" w14:textId="4FFBC607" w:rsidR="00BE28F6" w:rsidRPr="00610088" w:rsidRDefault="00005619" w:rsidP="00604264">
            <w:pPr>
              <w:pStyle w:val="NoSpacing"/>
              <w:tabs>
                <w:tab w:val="left" w:pos="360"/>
              </w:tabs>
              <w:rPr>
                <w:bCs/>
                <w:sz w:val="20"/>
                <w:szCs w:val="20"/>
                <w:lang w:val="en-GB"/>
              </w:rPr>
            </w:pPr>
            <w:r w:rsidRPr="00610088">
              <w:rPr>
                <w:bCs/>
                <w:sz w:val="20"/>
                <w:szCs w:val="20"/>
                <w:lang w:val="en-GB"/>
              </w:rPr>
              <w:t>Nominate</w:t>
            </w:r>
            <w:r w:rsidR="00BE28F6" w:rsidRPr="00610088">
              <w:rPr>
                <w:bCs/>
                <w:sz w:val="20"/>
                <w:szCs w:val="20"/>
                <w:lang w:val="en-GB"/>
              </w:rPr>
              <w:t xml:space="preserve"> and support assistant district NCD focal persons (hospital)</w:t>
            </w:r>
          </w:p>
        </w:tc>
        <w:tc>
          <w:tcPr>
            <w:tcW w:w="501" w:type="pct"/>
          </w:tcPr>
          <w:p w14:paraId="69DCCE93" w14:textId="54DA1970"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56EDCF84" w14:textId="249DF37C"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7C3EED4A" w14:textId="47FCC6C9" w:rsidR="00BE28F6" w:rsidRPr="00610088" w:rsidRDefault="00BE28F6" w:rsidP="00604264">
            <w:pPr>
              <w:pStyle w:val="NoSpacing"/>
              <w:rPr>
                <w:bCs/>
                <w:sz w:val="20"/>
                <w:szCs w:val="20"/>
                <w:lang w:val="en-GB"/>
              </w:rPr>
            </w:pPr>
            <w:r w:rsidRPr="00610088">
              <w:rPr>
                <w:bCs/>
                <w:sz w:val="20"/>
                <w:szCs w:val="20"/>
                <w:lang w:val="en-GB"/>
              </w:rPr>
              <w:t>x</w:t>
            </w:r>
          </w:p>
        </w:tc>
      </w:tr>
      <w:tr w:rsidR="00BE28F6" w:rsidRPr="00610088" w14:paraId="6EF4D5B5" w14:textId="77777777" w:rsidTr="00A8191E">
        <w:trPr>
          <w:cantSplit/>
          <w:trHeight w:val="283"/>
        </w:trPr>
        <w:tc>
          <w:tcPr>
            <w:tcW w:w="563" w:type="pct"/>
            <w:vMerge/>
          </w:tcPr>
          <w:p w14:paraId="5CA9C195" w14:textId="77777777" w:rsidR="00BE28F6" w:rsidRPr="00610088" w:rsidRDefault="00BE28F6" w:rsidP="00604264">
            <w:pPr>
              <w:rPr>
                <w:bCs/>
                <w:sz w:val="20"/>
                <w:szCs w:val="20"/>
                <w:lang w:val="en-GB"/>
              </w:rPr>
            </w:pPr>
          </w:p>
        </w:tc>
        <w:tc>
          <w:tcPr>
            <w:tcW w:w="3036" w:type="pct"/>
            <w:gridSpan w:val="2"/>
          </w:tcPr>
          <w:p w14:paraId="77744DBD" w14:textId="08EEC81C" w:rsidR="00BE28F6" w:rsidRPr="00610088" w:rsidRDefault="00BE28F6" w:rsidP="00604264">
            <w:pPr>
              <w:pStyle w:val="NoSpacing"/>
              <w:rPr>
                <w:bCs/>
                <w:sz w:val="20"/>
                <w:szCs w:val="20"/>
                <w:lang w:val="en-GB"/>
              </w:rPr>
            </w:pPr>
            <w:r w:rsidRPr="00610088">
              <w:rPr>
                <w:color w:val="000000" w:themeColor="text1"/>
                <w:sz w:val="20"/>
                <w:szCs w:val="20"/>
                <w:lang w:val="en-GB"/>
              </w:rPr>
              <w:t>Annual in-service/on the job training for NCD Directorate staff and (assistant) district NCD focal persons, based on the capacity building plan</w:t>
            </w:r>
          </w:p>
        </w:tc>
        <w:tc>
          <w:tcPr>
            <w:tcW w:w="501" w:type="pct"/>
          </w:tcPr>
          <w:p w14:paraId="43D738FB" w14:textId="7FB56C79"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32B1CFA0" w14:textId="60344A47"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6A76E9D1" w14:textId="4872E0F4" w:rsidR="00BE28F6" w:rsidRPr="00610088" w:rsidRDefault="00BE28F6" w:rsidP="00604264">
            <w:pPr>
              <w:pStyle w:val="NoSpacing"/>
              <w:rPr>
                <w:bCs/>
                <w:sz w:val="20"/>
                <w:szCs w:val="20"/>
                <w:lang w:val="en-GB"/>
              </w:rPr>
            </w:pPr>
            <w:r w:rsidRPr="00610088">
              <w:rPr>
                <w:bCs/>
                <w:sz w:val="20"/>
                <w:szCs w:val="20"/>
                <w:lang w:val="en-GB"/>
              </w:rPr>
              <w:t>x</w:t>
            </w:r>
          </w:p>
        </w:tc>
      </w:tr>
      <w:tr w:rsidR="00BE28F6" w:rsidRPr="00610088" w14:paraId="026B279C" w14:textId="77777777" w:rsidTr="00A8191E">
        <w:trPr>
          <w:cantSplit/>
          <w:trHeight w:val="283"/>
        </w:trPr>
        <w:tc>
          <w:tcPr>
            <w:tcW w:w="563" w:type="pct"/>
            <w:vMerge/>
          </w:tcPr>
          <w:p w14:paraId="2AFE82B8" w14:textId="77777777" w:rsidR="00BE28F6" w:rsidRPr="00610088" w:rsidRDefault="00BE28F6" w:rsidP="00604264">
            <w:pPr>
              <w:rPr>
                <w:bCs/>
                <w:sz w:val="20"/>
                <w:szCs w:val="20"/>
                <w:lang w:val="en-GB"/>
              </w:rPr>
            </w:pPr>
          </w:p>
        </w:tc>
        <w:tc>
          <w:tcPr>
            <w:tcW w:w="3036" w:type="pct"/>
            <w:gridSpan w:val="2"/>
          </w:tcPr>
          <w:p w14:paraId="00E9886A" w14:textId="0F6F28F9" w:rsidR="00BE28F6" w:rsidRPr="00610088" w:rsidRDefault="00BE28F6" w:rsidP="00604264">
            <w:pPr>
              <w:pStyle w:val="NoSpacing"/>
              <w:rPr>
                <w:bCs/>
                <w:sz w:val="20"/>
                <w:szCs w:val="20"/>
                <w:lang w:val="en-GB"/>
              </w:rPr>
            </w:pPr>
            <w:r w:rsidRPr="00610088">
              <w:rPr>
                <w:bCs/>
                <w:sz w:val="20"/>
                <w:szCs w:val="20"/>
                <w:lang w:val="en-GB"/>
              </w:rPr>
              <w:t>Implement other activities based on the developed organizational development plan</w:t>
            </w:r>
          </w:p>
        </w:tc>
        <w:tc>
          <w:tcPr>
            <w:tcW w:w="501" w:type="pct"/>
          </w:tcPr>
          <w:p w14:paraId="1A230D7F" w14:textId="363B87DF"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4DC98373" w14:textId="24D84417" w:rsidR="00BE28F6" w:rsidRPr="00610088" w:rsidRDefault="00BE28F6" w:rsidP="00604264">
            <w:pPr>
              <w:pStyle w:val="NoSpacing"/>
              <w:rPr>
                <w:bCs/>
                <w:sz w:val="20"/>
                <w:szCs w:val="20"/>
                <w:lang w:val="en-GB"/>
              </w:rPr>
            </w:pPr>
            <w:r w:rsidRPr="00610088">
              <w:rPr>
                <w:bCs/>
                <w:sz w:val="20"/>
                <w:szCs w:val="20"/>
                <w:lang w:val="en-GB"/>
              </w:rPr>
              <w:t>x</w:t>
            </w:r>
          </w:p>
        </w:tc>
        <w:tc>
          <w:tcPr>
            <w:tcW w:w="450" w:type="pct"/>
          </w:tcPr>
          <w:p w14:paraId="46C4AE9A" w14:textId="17B8E42D" w:rsidR="00BE28F6" w:rsidRPr="00610088" w:rsidRDefault="00BE28F6" w:rsidP="00604264">
            <w:pPr>
              <w:pStyle w:val="NoSpacing"/>
              <w:rPr>
                <w:bCs/>
                <w:sz w:val="20"/>
                <w:szCs w:val="20"/>
                <w:lang w:val="en-GB"/>
              </w:rPr>
            </w:pPr>
            <w:r w:rsidRPr="00610088">
              <w:rPr>
                <w:bCs/>
                <w:sz w:val="20"/>
                <w:szCs w:val="20"/>
                <w:lang w:val="en-GB"/>
              </w:rPr>
              <w:t>x</w:t>
            </w:r>
          </w:p>
        </w:tc>
      </w:tr>
      <w:tr w:rsidR="00BE28F6" w:rsidRPr="00610088" w14:paraId="67E6CE7A" w14:textId="77777777" w:rsidTr="00A8191E">
        <w:trPr>
          <w:cantSplit/>
          <w:trHeight w:val="283"/>
        </w:trPr>
        <w:tc>
          <w:tcPr>
            <w:tcW w:w="563" w:type="pct"/>
            <w:vMerge/>
          </w:tcPr>
          <w:p w14:paraId="2B9E39A0" w14:textId="77777777" w:rsidR="00BE28F6" w:rsidRPr="00610088" w:rsidRDefault="00BE28F6" w:rsidP="00604264">
            <w:pPr>
              <w:rPr>
                <w:bCs/>
                <w:sz w:val="20"/>
                <w:szCs w:val="20"/>
                <w:lang w:val="en-GB"/>
              </w:rPr>
            </w:pPr>
          </w:p>
        </w:tc>
        <w:tc>
          <w:tcPr>
            <w:tcW w:w="3036" w:type="pct"/>
            <w:gridSpan w:val="2"/>
          </w:tcPr>
          <w:p w14:paraId="7015800C" w14:textId="474D6463" w:rsidR="00BE28F6" w:rsidRPr="00610088" w:rsidRDefault="00BE28F6" w:rsidP="00604264">
            <w:pPr>
              <w:pStyle w:val="NoSpacing"/>
              <w:rPr>
                <w:bCs/>
                <w:sz w:val="20"/>
                <w:szCs w:val="20"/>
                <w:lang w:val="en-GB"/>
              </w:rPr>
            </w:pPr>
            <w:r w:rsidRPr="00610088">
              <w:rPr>
                <w:bCs/>
                <w:sz w:val="20"/>
                <w:szCs w:val="20"/>
                <w:lang w:val="en-GB"/>
              </w:rPr>
              <w:t xml:space="preserve">Development of detailed 2-year rolling implementation </w:t>
            </w:r>
            <w:r w:rsidR="00F8718F" w:rsidRPr="00610088">
              <w:rPr>
                <w:bCs/>
                <w:sz w:val="20"/>
                <w:szCs w:val="20"/>
                <w:lang w:val="en-GB"/>
              </w:rPr>
              <w:t xml:space="preserve">and sub-implementation </w:t>
            </w:r>
            <w:r w:rsidRPr="00610088">
              <w:rPr>
                <w:bCs/>
                <w:sz w:val="20"/>
                <w:szCs w:val="20"/>
                <w:lang w:val="en-GB"/>
              </w:rPr>
              <w:t xml:space="preserve">plans for the areas </w:t>
            </w:r>
            <w:r w:rsidRPr="00610088">
              <w:rPr>
                <w:bCs/>
                <w:i/>
                <w:iCs/>
                <w:sz w:val="20"/>
                <w:szCs w:val="20"/>
                <w:lang w:val="en-GB"/>
              </w:rPr>
              <w:t>Leadership and Governance, Health Promotion</w:t>
            </w:r>
            <w:r w:rsidR="00F8718F" w:rsidRPr="00610088">
              <w:rPr>
                <w:bCs/>
                <w:i/>
                <w:iCs/>
                <w:sz w:val="20"/>
                <w:szCs w:val="20"/>
                <w:lang w:val="en-GB"/>
              </w:rPr>
              <w:t xml:space="preserve"> (incl. Tobacco and Alcohol) </w:t>
            </w:r>
            <w:r w:rsidRPr="00610088">
              <w:rPr>
                <w:bCs/>
                <w:sz w:val="20"/>
                <w:szCs w:val="20"/>
                <w:lang w:val="en-GB"/>
              </w:rPr>
              <w:t xml:space="preserve">and </w:t>
            </w:r>
            <w:r w:rsidRPr="00610088">
              <w:rPr>
                <w:bCs/>
                <w:i/>
                <w:iCs/>
                <w:sz w:val="20"/>
                <w:szCs w:val="20"/>
                <w:lang w:val="en-GB"/>
              </w:rPr>
              <w:t>NCD services</w:t>
            </w:r>
            <w:r w:rsidR="00F8718F" w:rsidRPr="00610088">
              <w:rPr>
                <w:bCs/>
                <w:i/>
                <w:iCs/>
                <w:sz w:val="20"/>
                <w:szCs w:val="20"/>
                <w:lang w:val="en-GB"/>
              </w:rPr>
              <w:t xml:space="preserve"> (incl. Cancer)</w:t>
            </w:r>
          </w:p>
        </w:tc>
        <w:tc>
          <w:tcPr>
            <w:tcW w:w="501" w:type="pct"/>
          </w:tcPr>
          <w:p w14:paraId="03DE2CCC" w14:textId="1F9F3B43" w:rsidR="00BE28F6" w:rsidRPr="00610088" w:rsidRDefault="00F8718F" w:rsidP="00604264">
            <w:pPr>
              <w:pStyle w:val="NoSpacing"/>
              <w:rPr>
                <w:bCs/>
                <w:sz w:val="20"/>
                <w:szCs w:val="20"/>
                <w:lang w:val="en-GB"/>
              </w:rPr>
            </w:pPr>
            <w:r w:rsidRPr="00610088">
              <w:rPr>
                <w:bCs/>
                <w:sz w:val="20"/>
                <w:szCs w:val="20"/>
                <w:lang w:val="en-GB"/>
              </w:rPr>
              <w:t>x</w:t>
            </w:r>
          </w:p>
        </w:tc>
        <w:tc>
          <w:tcPr>
            <w:tcW w:w="450" w:type="pct"/>
          </w:tcPr>
          <w:p w14:paraId="7D6938E4" w14:textId="3AB1416C" w:rsidR="00BE28F6" w:rsidRPr="00610088" w:rsidRDefault="00F8718F" w:rsidP="00604264">
            <w:pPr>
              <w:pStyle w:val="NoSpacing"/>
              <w:rPr>
                <w:bCs/>
                <w:sz w:val="20"/>
                <w:szCs w:val="20"/>
                <w:lang w:val="en-GB"/>
              </w:rPr>
            </w:pPr>
            <w:r w:rsidRPr="00610088">
              <w:rPr>
                <w:bCs/>
                <w:sz w:val="20"/>
                <w:szCs w:val="20"/>
                <w:lang w:val="en-GB"/>
              </w:rPr>
              <w:t>x</w:t>
            </w:r>
          </w:p>
        </w:tc>
        <w:tc>
          <w:tcPr>
            <w:tcW w:w="450" w:type="pct"/>
          </w:tcPr>
          <w:p w14:paraId="48B8782A" w14:textId="3D279C09" w:rsidR="00BE28F6" w:rsidRPr="00610088" w:rsidRDefault="00F8718F" w:rsidP="00604264">
            <w:pPr>
              <w:pStyle w:val="NoSpacing"/>
              <w:rPr>
                <w:bCs/>
                <w:sz w:val="20"/>
                <w:szCs w:val="20"/>
                <w:lang w:val="en-GB"/>
              </w:rPr>
            </w:pPr>
            <w:r w:rsidRPr="00610088">
              <w:rPr>
                <w:bCs/>
                <w:sz w:val="20"/>
                <w:szCs w:val="20"/>
                <w:lang w:val="en-GB"/>
              </w:rPr>
              <w:t>x</w:t>
            </w:r>
          </w:p>
        </w:tc>
      </w:tr>
      <w:tr w:rsidR="004C2636" w:rsidRPr="00610088" w14:paraId="051542D6" w14:textId="77777777" w:rsidTr="00A8191E">
        <w:trPr>
          <w:cantSplit/>
          <w:trHeight w:val="283"/>
        </w:trPr>
        <w:tc>
          <w:tcPr>
            <w:tcW w:w="563" w:type="pct"/>
            <w:vMerge w:val="restart"/>
          </w:tcPr>
          <w:p w14:paraId="274C0B59" w14:textId="03F024B0" w:rsidR="004C2636" w:rsidRPr="00610088" w:rsidRDefault="004C2636" w:rsidP="00604264">
            <w:pPr>
              <w:rPr>
                <w:bCs/>
                <w:sz w:val="20"/>
                <w:szCs w:val="20"/>
                <w:lang w:val="en-GB"/>
              </w:rPr>
            </w:pPr>
            <w:r w:rsidRPr="00610088">
              <w:rPr>
                <w:bCs/>
                <w:sz w:val="20"/>
                <w:szCs w:val="20"/>
                <w:lang w:val="en-GB"/>
              </w:rPr>
              <w:t xml:space="preserve">Sensitization/ Advocacy </w:t>
            </w:r>
            <w:r w:rsidR="009832F9" w:rsidRPr="00610088">
              <w:rPr>
                <w:bCs/>
                <w:sz w:val="20"/>
                <w:szCs w:val="20"/>
                <w:lang w:val="en-GB"/>
              </w:rPr>
              <w:t xml:space="preserve">at </w:t>
            </w:r>
            <w:r w:rsidRPr="00610088">
              <w:rPr>
                <w:bCs/>
                <w:sz w:val="20"/>
                <w:szCs w:val="20"/>
                <w:lang w:val="en-GB"/>
              </w:rPr>
              <w:t xml:space="preserve">all levels (Other sectors, </w:t>
            </w:r>
            <w:proofErr w:type="spellStart"/>
            <w:r w:rsidR="00156C15">
              <w:rPr>
                <w:bCs/>
                <w:sz w:val="20"/>
                <w:szCs w:val="20"/>
                <w:lang w:val="en-GB"/>
              </w:rPr>
              <w:t>MoHS</w:t>
            </w:r>
            <w:proofErr w:type="spellEnd"/>
            <w:r w:rsidRPr="00610088">
              <w:rPr>
                <w:bCs/>
                <w:sz w:val="20"/>
                <w:szCs w:val="20"/>
                <w:lang w:val="en-GB"/>
              </w:rPr>
              <w:t>)</w:t>
            </w:r>
          </w:p>
        </w:tc>
        <w:tc>
          <w:tcPr>
            <w:tcW w:w="3036" w:type="pct"/>
            <w:gridSpan w:val="2"/>
          </w:tcPr>
          <w:p w14:paraId="2B5C0D4E" w14:textId="4CBE09BE" w:rsidR="004C2636" w:rsidRPr="00610088" w:rsidRDefault="004C2636" w:rsidP="004C2636">
            <w:pPr>
              <w:rPr>
                <w:bCs/>
                <w:sz w:val="20"/>
                <w:szCs w:val="20"/>
                <w:lang w:val="en-GB"/>
              </w:rPr>
            </w:pPr>
            <w:r w:rsidRPr="00610088">
              <w:rPr>
                <w:bCs/>
                <w:sz w:val="20"/>
                <w:szCs w:val="20"/>
                <w:lang w:val="en-GB"/>
              </w:rPr>
              <w:t>Develop and regularly update NCD advocacy / briefing package/kit for the various target audiences (</w:t>
            </w:r>
            <w:r w:rsidRPr="00610088">
              <w:rPr>
                <w:b/>
                <w:i/>
                <w:iCs/>
                <w:sz w:val="20"/>
                <w:szCs w:val="20"/>
                <w:lang w:val="en-GB"/>
              </w:rPr>
              <w:t>see also SO2</w:t>
            </w:r>
            <w:r w:rsidRPr="00610088">
              <w:rPr>
                <w:bCs/>
                <w:sz w:val="20"/>
                <w:szCs w:val="20"/>
                <w:lang w:val="en-GB"/>
              </w:rPr>
              <w:t>)</w:t>
            </w:r>
          </w:p>
        </w:tc>
        <w:tc>
          <w:tcPr>
            <w:tcW w:w="501" w:type="pct"/>
          </w:tcPr>
          <w:p w14:paraId="0577371E" w14:textId="77777777" w:rsidR="004C2636" w:rsidRPr="00610088" w:rsidRDefault="004C2636" w:rsidP="00604264">
            <w:pPr>
              <w:pStyle w:val="NoSpacing"/>
              <w:rPr>
                <w:bCs/>
                <w:sz w:val="20"/>
                <w:szCs w:val="20"/>
                <w:lang w:val="en-GB"/>
              </w:rPr>
            </w:pPr>
          </w:p>
        </w:tc>
        <w:tc>
          <w:tcPr>
            <w:tcW w:w="450" w:type="pct"/>
          </w:tcPr>
          <w:p w14:paraId="498A1BD7" w14:textId="77777777" w:rsidR="004C2636" w:rsidRPr="00610088" w:rsidRDefault="004C2636" w:rsidP="00604264">
            <w:pPr>
              <w:pStyle w:val="NoSpacing"/>
              <w:rPr>
                <w:bCs/>
                <w:sz w:val="20"/>
                <w:szCs w:val="20"/>
                <w:lang w:val="en-GB"/>
              </w:rPr>
            </w:pPr>
          </w:p>
        </w:tc>
        <w:tc>
          <w:tcPr>
            <w:tcW w:w="450" w:type="pct"/>
          </w:tcPr>
          <w:p w14:paraId="525AEBCF" w14:textId="77777777" w:rsidR="004C2636" w:rsidRPr="00610088" w:rsidRDefault="004C2636" w:rsidP="00604264">
            <w:pPr>
              <w:pStyle w:val="NoSpacing"/>
              <w:rPr>
                <w:bCs/>
                <w:sz w:val="20"/>
                <w:szCs w:val="20"/>
                <w:lang w:val="en-GB"/>
              </w:rPr>
            </w:pPr>
          </w:p>
        </w:tc>
      </w:tr>
      <w:tr w:rsidR="004C2636" w:rsidRPr="00610088" w14:paraId="65B320FA" w14:textId="77777777" w:rsidTr="00A8191E">
        <w:trPr>
          <w:cantSplit/>
          <w:trHeight w:val="283"/>
        </w:trPr>
        <w:tc>
          <w:tcPr>
            <w:tcW w:w="563" w:type="pct"/>
            <w:vMerge/>
          </w:tcPr>
          <w:p w14:paraId="1BB1CF08" w14:textId="77777777" w:rsidR="004C2636" w:rsidRPr="00610088" w:rsidRDefault="004C2636" w:rsidP="00604264">
            <w:pPr>
              <w:rPr>
                <w:bCs/>
                <w:sz w:val="20"/>
                <w:szCs w:val="20"/>
                <w:lang w:val="en-GB"/>
              </w:rPr>
            </w:pPr>
          </w:p>
        </w:tc>
        <w:tc>
          <w:tcPr>
            <w:tcW w:w="3036" w:type="pct"/>
            <w:gridSpan w:val="2"/>
          </w:tcPr>
          <w:p w14:paraId="46F2A700" w14:textId="022CEB99" w:rsidR="004C2636" w:rsidRPr="00610088" w:rsidRDefault="004C2636" w:rsidP="00604264">
            <w:pPr>
              <w:pStyle w:val="NoSpacing"/>
              <w:rPr>
                <w:b/>
                <w:sz w:val="20"/>
                <w:szCs w:val="20"/>
                <w:u w:val="single"/>
                <w:lang w:val="en-GB"/>
              </w:rPr>
            </w:pPr>
            <w:r w:rsidRPr="00610088">
              <w:rPr>
                <w:b/>
                <w:sz w:val="20"/>
                <w:szCs w:val="20"/>
                <w:u w:val="single"/>
                <w:lang w:val="en-GB"/>
              </w:rPr>
              <w:t xml:space="preserve">Advocate to other </w:t>
            </w:r>
            <w:proofErr w:type="spellStart"/>
            <w:r w:rsidR="00156C15">
              <w:rPr>
                <w:b/>
                <w:sz w:val="20"/>
                <w:szCs w:val="20"/>
                <w:u w:val="single"/>
                <w:lang w:val="en-GB"/>
              </w:rPr>
              <w:t>MoHS</w:t>
            </w:r>
            <w:proofErr w:type="spellEnd"/>
            <w:r w:rsidRPr="00610088">
              <w:rPr>
                <w:b/>
                <w:sz w:val="20"/>
                <w:szCs w:val="20"/>
                <w:u w:val="single"/>
                <w:lang w:val="en-GB"/>
              </w:rPr>
              <w:t xml:space="preserve"> entities</w:t>
            </w:r>
            <w:r w:rsidR="00A32C64" w:rsidRPr="00610088">
              <w:rPr>
                <w:b/>
                <w:sz w:val="20"/>
                <w:szCs w:val="20"/>
                <w:u w:val="single"/>
                <w:lang w:val="en-GB"/>
              </w:rPr>
              <w:t xml:space="preserve"> (DNCD&amp;MH </w:t>
            </w:r>
            <w:r w:rsidR="00DE208E" w:rsidRPr="00610088">
              <w:rPr>
                <w:b/>
                <w:sz w:val="20"/>
                <w:szCs w:val="20"/>
                <w:u w:val="single"/>
                <w:lang w:val="en-GB"/>
              </w:rPr>
              <w:t>with NCDI commission</w:t>
            </w:r>
            <w:r w:rsidR="00702C96" w:rsidRPr="00610088">
              <w:rPr>
                <w:b/>
                <w:sz w:val="20"/>
                <w:szCs w:val="20"/>
                <w:u w:val="single"/>
                <w:lang w:val="en-GB"/>
              </w:rPr>
              <w:t xml:space="preserve"> and relevant TWGs</w:t>
            </w:r>
            <w:r w:rsidR="00A32C64" w:rsidRPr="00610088">
              <w:rPr>
                <w:b/>
                <w:sz w:val="20"/>
                <w:szCs w:val="20"/>
                <w:u w:val="single"/>
                <w:lang w:val="en-GB"/>
              </w:rPr>
              <w:t xml:space="preserve">, </w:t>
            </w:r>
            <w:r w:rsidR="00DE208E" w:rsidRPr="00610088">
              <w:rPr>
                <w:b/>
                <w:sz w:val="20"/>
                <w:szCs w:val="20"/>
                <w:u w:val="single"/>
                <w:lang w:val="en-GB"/>
              </w:rPr>
              <w:t>see SO5)</w:t>
            </w:r>
            <w:r w:rsidRPr="00610088">
              <w:rPr>
                <w:b/>
                <w:sz w:val="20"/>
                <w:szCs w:val="20"/>
                <w:u w:val="single"/>
                <w:lang w:val="en-GB"/>
              </w:rPr>
              <w:t>:</w:t>
            </w:r>
          </w:p>
          <w:p w14:paraId="7DF0F542" w14:textId="5FDE6B5D" w:rsidR="004C2636" w:rsidRPr="00610088" w:rsidRDefault="001D1B62" w:rsidP="00B82C13">
            <w:pPr>
              <w:pStyle w:val="ListParagraph"/>
              <w:numPr>
                <w:ilvl w:val="0"/>
                <w:numId w:val="3"/>
              </w:numPr>
              <w:autoSpaceDE w:val="0"/>
              <w:autoSpaceDN w:val="0"/>
              <w:adjustRightInd w:val="0"/>
              <w:rPr>
                <w:bCs/>
                <w:sz w:val="20"/>
                <w:szCs w:val="20"/>
                <w:lang w:val="en-GB"/>
              </w:rPr>
            </w:pPr>
            <w:r w:rsidRPr="00610088">
              <w:rPr>
                <w:bCs/>
                <w:sz w:val="20"/>
                <w:szCs w:val="20"/>
                <w:lang w:val="en-GB"/>
              </w:rPr>
              <w:t>Engage in / Advocate for r</w:t>
            </w:r>
            <w:r w:rsidR="004C2636" w:rsidRPr="00610088">
              <w:rPr>
                <w:bCs/>
                <w:sz w:val="20"/>
                <w:szCs w:val="20"/>
                <w:lang w:val="en-GB"/>
              </w:rPr>
              <w:t xml:space="preserve">eview </w:t>
            </w:r>
            <w:r w:rsidRPr="00610088">
              <w:rPr>
                <w:bCs/>
                <w:sz w:val="20"/>
                <w:szCs w:val="20"/>
                <w:lang w:val="en-GB"/>
              </w:rPr>
              <w:t xml:space="preserve">of </w:t>
            </w:r>
            <w:r w:rsidR="004C2636" w:rsidRPr="00610088">
              <w:rPr>
                <w:bCs/>
                <w:sz w:val="20"/>
                <w:szCs w:val="20"/>
                <w:lang w:val="en-GB"/>
              </w:rPr>
              <w:t>essential medicine</w:t>
            </w:r>
            <w:r w:rsidRPr="00610088">
              <w:rPr>
                <w:bCs/>
                <w:sz w:val="20"/>
                <w:szCs w:val="20"/>
                <w:lang w:val="en-GB"/>
              </w:rPr>
              <w:t>, supplies</w:t>
            </w:r>
            <w:r w:rsidR="004C2636" w:rsidRPr="00610088">
              <w:rPr>
                <w:bCs/>
                <w:sz w:val="20"/>
                <w:szCs w:val="20"/>
                <w:lang w:val="en-GB"/>
              </w:rPr>
              <w:t xml:space="preserve"> and equipment lists</w:t>
            </w:r>
            <w:r w:rsidRPr="00610088">
              <w:rPr>
                <w:bCs/>
                <w:sz w:val="20"/>
                <w:szCs w:val="20"/>
                <w:lang w:val="en-GB"/>
              </w:rPr>
              <w:t xml:space="preserve"> and the BPEHS</w:t>
            </w:r>
            <w:r w:rsidR="004C2636" w:rsidRPr="00610088">
              <w:rPr>
                <w:bCs/>
                <w:sz w:val="20"/>
                <w:szCs w:val="20"/>
                <w:lang w:val="en-GB"/>
              </w:rPr>
              <w:t xml:space="preserve"> and advocate for reflection o</w:t>
            </w:r>
            <w:r w:rsidRPr="00610088">
              <w:rPr>
                <w:bCs/>
                <w:sz w:val="20"/>
                <w:szCs w:val="20"/>
                <w:lang w:val="en-GB"/>
              </w:rPr>
              <w:t>f drugs, supplies and equipment for</w:t>
            </w:r>
            <w:r w:rsidR="004C2636" w:rsidRPr="00610088">
              <w:rPr>
                <w:bCs/>
                <w:sz w:val="20"/>
                <w:szCs w:val="20"/>
                <w:lang w:val="en-GB"/>
              </w:rPr>
              <w:t xml:space="preserve"> early detection, prevention</w:t>
            </w:r>
            <w:r w:rsidRPr="00610088">
              <w:rPr>
                <w:bCs/>
                <w:sz w:val="20"/>
                <w:szCs w:val="20"/>
                <w:lang w:val="en-GB"/>
              </w:rPr>
              <w:t>,</w:t>
            </w:r>
            <w:r w:rsidR="004C2636" w:rsidRPr="00610088">
              <w:rPr>
                <w:bCs/>
                <w:sz w:val="20"/>
                <w:szCs w:val="20"/>
                <w:lang w:val="en-GB"/>
              </w:rPr>
              <w:t xml:space="preserve"> treatment </w:t>
            </w:r>
            <w:r w:rsidRPr="00610088">
              <w:rPr>
                <w:bCs/>
                <w:sz w:val="20"/>
                <w:szCs w:val="20"/>
                <w:lang w:val="en-GB"/>
              </w:rPr>
              <w:t xml:space="preserve">and management </w:t>
            </w:r>
            <w:r w:rsidR="004C2636" w:rsidRPr="00610088">
              <w:rPr>
                <w:bCs/>
                <w:sz w:val="20"/>
                <w:szCs w:val="20"/>
                <w:lang w:val="en-GB"/>
              </w:rPr>
              <w:t>of NCDs (</w:t>
            </w:r>
            <w:r w:rsidR="002B6A70">
              <w:rPr>
                <w:bCs/>
                <w:sz w:val="20"/>
                <w:szCs w:val="20"/>
                <w:lang w:val="en-GB"/>
              </w:rPr>
              <w:t xml:space="preserve">Directorate of Drugs and Medical Supplies - </w:t>
            </w:r>
            <w:r w:rsidR="004C2636" w:rsidRPr="00610088">
              <w:rPr>
                <w:bCs/>
                <w:sz w:val="20"/>
                <w:szCs w:val="20"/>
                <w:lang w:val="en-GB"/>
              </w:rPr>
              <w:t>DDMS, NMSA)</w:t>
            </w:r>
          </w:p>
          <w:p w14:paraId="7B936972" w14:textId="200331D4" w:rsidR="004C2636" w:rsidRPr="00610088" w:rsidRDefault="004C2636" w:rsidP="00B82C13">
            <w:pPr>
              <w:numPr>
                <w:ilvl w:val="0"/>
                <w:numId w:val="3"/>
              </w:numPr>
              <w:rPr>
                <w:bCs/>
                <w:sz w:val="20"/>
                <w:szCs w:val="20"/>
                <w:lang w:val="en-GB"/>
              </w:rPr>
            </w:pPr>
            <w:r w:rsidRPr="00610088">
              <w:rPr>
                <w:bCs/>
                <w:sz w:val="20"/>
                <w:szCs w:val="20"/>
                <w:lang w:val="en-GB"/>
              </w:rPr>
              <w:t>Advocate for inclusion of NCD drugs</w:t>
            </w:r>
            <w:r w:rsidR="001D1B62" w:rsidRPr="00610088">
              <w:rPr>
                <w:bCs/>
                <w:sz w:val="20"/>
                <w:szCs w:val="20"/>
                <w:lang w:val="en-GB"/>
              </w:rPr>
              <w:t xml:space="preserve"> and</w:t>
            </w:r>
            <w:r w:rsidRPr="00610088">
              <w:rPr>
                <w:bCs/>
                <w:sz w:val="20"/>
                <w:szCs w:val="20"/>
                <w:lang w:val="en-GB"/>
              </w:rPr>
              <w:t xml:space="preserve"> supplies in revised cost-recovery scheme (DDMS, NMSA)</w:t>
            </w:r>
            <w:r w:rsidR="001D1B62" w:rsidRPr="00610088">
              <w:rPr>
                <w:bCs/>
                <w:sz w:val="20"/>
                <w:szCs w:val="20"/>
                <w:lang w:val="en-GB"/>
              </w:rPr>
              <w:t xml:space="preserve"> for all levels</w:t>
            </w:r>
          </w:p>
          <w:p w14:paraId="04F419B5" w14:textId="28463553" w:rsidR="004C2636" w:rsidRPr="00610088" w:rsidRDefault="004C2636" w:rsidP="00B82C13">
            <w:pPr>
              <w:numPr>
                <w:ilvl w:val="0"/>
                <w:numId w:val="3"/>
              </w:numPr>
              <w:rPr>
                <w:bCs/>
                <w:sz w:val="20"/>
                <w:szCs w:val="20"/>
                <w:lang w:val="en-GB"/>
              </w:rPr>
            </w:pPr>
            <w:r w:rsidRPr="00610088">
              <w:rPr>
                <w:bCs/>
                <w:sz w:val="20"/>
                <w:szCs w:val="20"/>
                <w:lang w:val="en-GB"/>
              </w:rPr>
              <w:t>Advocate for in</w:t>
            </w:r>
            <w:r w:rsidR="009832F9" w:rsidRPr="00610088">
              <w:rPr>
                <w:bCs/>
                <w:sz w:val="20"/>
                <w:szCs w:val="20"/>
                <w:lang w:val="en-GB"/>
              </w:rPr>
              <w:t xml:space="preserve">tegration </w:t>
            </w:r>
            <w:r w:rsidRPr="00610088">
              <w:rPr>
                <w:bCs/>
                <w:sz w:val="20"/>
                <w:szCs w:val="20"/>
                <w:lang w:val="en-GB"/>
              </w:rPr>
              <w:t xml:space="preserve">of cancer registry in DHIS </w:t>
            </w:r>
            <w:r w:rsidR="009832F9" w:rsidRPr="00610088">
              <w:rPr>
                <w:bCs/>
                <w:sz w:val="20"/>
                <w:szCs w:val="20"/>
                <w:lang w:val="en-GB"/>
              </w:rPr>
              <w:t xml:space="preserve">2.0 </w:t>
            </w:r>
            <w:r w:rsidRPr="00610088">
              <w:rPr>
                <w:bCs/>
                <w:sz w:val="20"/>
                <w:szCs w:val="20"/>
                <w:lang w:val="en-GB"/>
              </w:rPr>
              <w:t>(</w:t>
            </w:r>
            <w:r w:rsidR="001D1F74">
              <w:rPr>
                <w:bCs/>
                <w:sz w:val="20"/>
                <w:szCs w:val="20"/>
                <w:lang w:val="en-GB"/>
              </w:rPr>
              <w:t xml:space="preserve">Directorate for Policy, Planning and Information - </w:t>
            </w:r>
            <w:r w:rsidRPr="00610088">
              <w:rPr>
                <w:bCs/>
                <w:sz w:val="20"/>
                <w:szCs w:val="20"/>
                <w:lang w:val="en-GB"/>
              </w:rPr>
              <w:t>DPPI)</w:t>
            </w:r>
          </w:p>
          <w:p w14:paraId="5A4DAE17" w14:textId="2211958F" w:rsidR="001D1B62" w:rsidRPr="00610088" w:rsidRDefault="004C2636" w:rsidP="00B82C13">
            <w:pPr>
              <w:numPr>
                <w:ilvl w:val="0"/>
                <w:numId w:val="3"/>
              </w:numPr>
              <w:rPr>
                <w:bCs/>
                <w:sz w:val="20"/>
                <w:szCs w:val="20"/>
                <w:lang w:val="en-GB"/>
              </w:rPr>
            </w:pPr>
            <w:r w:rsidRPr="00610088">
              <w:rPr>
                <w:bCs/>
                <w:sz w:val="20"/>
                <w:szCs w:val="20"/>
                <w:lang w:val="en-GB"/>
              </w:rPr>
              <w:t xml:space="preserve">Advocate for prevention and early detection of NCDs in other </w:t>
            </w:r>
            <w:proofErr w:type="gramStart"/>
            <w:r w:rsidRPr="00610088">
              <w:rPr>
                <w:bCs/>
                <w:sz w:val="20"/>
                <w:szCs w:val="20"/>
                <w:lang w:val="en-GB"/>
              </w:rPr>
              <w:t>Directorates</w:t>
            </w:r>
            <w:proofErr w:type="gramEnd"/>
            <w:r w:rsidRPr="00610088">
              <w:rPr>
                <w:bCs/>
                <w:sz w:val="20"/>
                <w:szCs w:val="20"/>
                <w:lang w:val="en-GB"/>
              </w:rPr>
              <w:t xml:space="preserve"> areas of work (e.g. RMNCAH – </w:t>
            </w:r>
            <w:r w:rsidR="00DC67A7">
              <w:rPr>
                <w:bCs/>
                <w:sz w:val="20"/>
                <w:szCs w:val="20"/>
                <w:lang w:val="en-GB"/>
              </w:rPr>
              <w:t>Directorate of Reproductive and Child Health (</w:t>
            </w:r>
            <w:r w:rsidRPr="00610088">
              <w:rPr>
                <w:bCs/>
                <w:sz w:val="20"/>
                <w:szCs w:val="20"/>
                <w:lang w:val="en-GB"/>
              </w:rPr>
              <w:t>DRCH)</w:t>
            </w:r>
            <w:r w:rsidR="00DC67A7">
              <w:rPr>
                <w:bCs/>
                <w:sz w:val="20"/>
                <w:szCs w:val="20"/>
                <w:lang w:val="en-GB"/>
              </w:rPr>
              <w:t>)</w:t>
            </w:r>
          </w:p>
          <w:p w14:paraId="0F601DBB" w14:textId="26A3C7FE" w:rsidR="00702C96" w:rsidRPr="00610088" w:rsidRDefault="00702C96" w:rsidP="00B82C13">
            <w:pPr>
              <w:numPr>
                <w:ilvl w:val="0"/>
                <w:numId w:val="3"/>
              </w:numPr>
              <w:rPr>
                <w:bCs/>
                <w:sz w:val="20"/>
                <w:szCs w:val="20"/>
                <w:lang w:val="en-GB"/>
              </w:rPr>
            </w:pPr>
            <w:r w:rsidRPr="00610088">
              <w:rPr>
                <w:bCs/>
                <w:sz w:val="20"/>
                <w:szCs w:val="20"/>
                <w:lang w:val="en-GB"/>
              </w:rPr>
              <w:t xml:space="preserve">Advocate for the inclusion of NCD </w:t>
            </w:r>
            <w:r w:rsidR="001D1B62" w:rsidRPr="00610088">
              <w:rPr>
                <w:bCs/>
                <w:sz w:val="20"/>
                <w:szCs w:val="20"/>
                <w:lang w:val="en-GB"/>
              </w:rPr>
              <w:t xml:space="preserve">and NCD </w:t>
            </w:r>
            <w:r w:rsidRPr="00610088">
              <w:rPr>
                <w:bCs/>
                <w:sz w:val="20"/>
                <w:szCs w:val="20"/>
                <w:lang w:val="en-GB"/>
              </w:rPr>
              <w:t xml:space="preserve">risk factors/ cessation in standard treatment guidelines </w:t>
            </w:r>
            <w:r w:rsidR="001D1B62" w:rsidRPr="00610088">
              <w:rPr>
                <w:bCs/>
                <w:sz w:val="20"/>
                <w:szCs w:val="20"/>
                <w:lang w:val="en-GB"/>
              </w:rPr>
              <w:t xml:space="preserve">(DDMS) </w:t>
            </w:r>
          </w:p>
        </w:tc>
        <w:tc>
          <w:tcPr>
            <w:tcW w:w="501" w:type="pct"/>
          </w:tcPr>
          <w:p w14:paraId="75614EC5" w14:textId="3B99465F" w:rsidR="004C2636" w:rsidRPr="00610088" w:rsidRDefault="004C2636" w:rsidP="00604264">
            <w:pPr>
              <w:pStyle w:val="NoSpacing"/>
              <w:rPr>
                <w:bCs/>
                <w:sz w:val="20"/>
                <w:szCs w:val="20"/>
                <w:lang w:val="en-GB"/>
              </w:rPr>
            </w:pPr>
            <w:r w:rsidRPr="00610088">
              <w:rPr>
                <w:bCs/>
                <w:sz w:val="20"/>
                <w:szCs w:val="20"/>
                <w:lang w:val="en-GB"/>
              </w:rPr>
              <w:t>x</w:t>
            </w:r>
          </w:p>
        </w:tc>
        <w:tc>
          <w:tcPr>
            <w:tcW w:w="450" w:type="pct"/>
          </w:tcPr>
          <w:p w14:paraId="3117D27B" w14:textId="50B7F860" w:rsidR="004C2636" w:rsidRPr="00610088" w:rsidRDefault="001A6AEF" w:rsidP="00604264">
            <w:pPr>
              <w:pStyle w:val="NoSpacing"/>
              <w:rPr>
                <w:bCs/>
                <w:sz w:val="20"/>
                <w:szCs w:val="20"/>
                <w:lang w:val="en-GB"/>
              </w:rPr>
            </w:pPr>
            <w:r>
              <w:rPr>
                <w:bCs/>
                <w:sz w:val="20"/>
                <w:szCs w:val="20"/>
                <w:lang w:val="en-GB"/>
              </w:rPr>
              <w:t>x</w:t>
            </w:r>
          </w:p>
        </w:tc>
        <w:tc>
          <w:tcPr>
            <w:tcW w:w="450" w:type="pct"/>
          </w:tcPr>
          <w:p w14:paraId="79F27659" w14:textId="2504FBD9" w:rsidR="004C2636" w:rsidRPr="00610088" w:rsidRDefault="004C2636" w:rsidP="00604264">
            <w:pPr>
              <w:pStyle w:val="NoSpacing"/>
              <w:rPr>
                <w:bCs/>
                <w:sz w:val="20"/>
                <w:szCs w:val="20"/>
                <w:lang w:val="en-GB"/>
              </w:rPr>
            </w:pPr>
            <w:r w:rsidRPr="00610088">
              <w:rPr>
                <w:bCs/>
                <w:sz w:val="20"/>
                <w:szCs w:val="20"/>
                <w:lang w:val="en-GB"/>
              </w:rPr>
              <w:t>x</w:t>
            </w:r>
          </w:p>
        </w:tc>
      </w:tr>
      <w:tr w:rsidR="004C2636" w:rsidRPr="00610088" w14:paraId="283684F7" w14:textId="77777777" w:rsidTr="00A8191E">
        <w:trPr>
          <w:cantSplit/>
          <w:trHeight w:val="283"/>
        </w:trPr>
        <w:tc>
          <w:tcPr>
            <w:tcW w:w="563" w:type="pct"/>
            <w:vMerge w:val="restart"/>
          </w:tcPr>
          <w:p w14:paraId="0E4A26C5" w14:textId="77777777" w:rsidR="004C2636" w:rsidRPr="00610088" w:rsidRDefault="004C2636" w:rsidP="00604264">
            <w:pPr>
              <w:rPr>
                <w:bCs/>
                <w:sz w:val="20"/>
                <w:szCs w:val="20"/>
                <w:lang w:val="en-GB"/>
              </w:rPr>
            </w:pPr>
          </w:p>
        </w:tc>
        <w:tc>
          <w:tcPr>
            <w:tcW w:w="3036" w:type="pct"/>
            <w:gridSpan w:val="2"/>
          </w:tcPr>
          <w:p w14:paraId="72A38DCD" w14:textId="28F4676F" w:rsidR="004C2636" w:rsidRPr="00610088" w:rsidRDefault="004C2636" w:rsidP="00604264">
            <w:pPr>
              <w:pStyle w:val="NoSpacing"/>
              <w:rPr>
                <w:b/>
                <w:sz w:val="20"/>
                <w:szCs w:val="20"/>
                <w:u w:val="single"/>
                <w:lang w:val="en-GB"/>
              </w:rPr>
            </w:pPr>
            <w:r w:rsidRPr="00610088">
              <w:rPr>
                <w:b/>
                <w:sz w:val="20"/>
                <w:szCs w:val="20"/>
                <w:u w:val="single"/>
                <w:lang w:val="en-GB"/>
              </w:rPr>
              <w:t>Advocate to other line ministries</w:t>
            </w:r>
            <w:r w:rsidR="00877364" w:rsidRPr="00610088">
              <w:rPr>
                <w:b/>
                <w:sz w:val="20"/>
                <w:szCs w:val="20"/>
                <w:u w:val="single"/>
                <w:lang w:val="en-GB"/>
              </w:rPr>
              <w:t>, departments and agencies</w:t>
            </w:r>
            <w:r w:rsidR="00BA6E3F" w:rsidRPr="00610088">
              <w:rPr>
                <w:b/>
                <w:sz w:val="20"/>
                <w:szCs w:val="20"/>
                <w:u w:val="single"/>
                <w:lang w:val="en-GB"/>
              </w:rPr>
              <w:t xml:space="preserve"> (DNCD&amp;MH</w:t>
            </w:r>
            <w:r w:rsidR="00DE208E" w:rsidRPr="00610088">
              <w:rPr>
                <w:b/>
                <w:sz w:val="20"/>
                <w:szCs w:val="20"/>
                <w:u w:val="single"/>
                <w:lang w:val="en-GB"/>
              </w:rPr>
              <w:t xml:space="preserve"> with NCDI commission</w:t>
            </w:r>
            <w:r w:rsidR="00BA6E3F" w:rsidRPr="00610088">
              <w:rPr>
                <w:b/>
                <w:sz w:val="20"/>
                <w:szCs w:val="20"/>
                <w:u w:val="single"/>
                <w:lang w:val="en-GB"/>
              </w:rPr>
              <w:t xml:space="preserve">, </w:t>
            </w:r>
            <w:r w:rsidR="00DE208E" w:rsidRPr="00610088">
              <w:rPr>
                <w:b/>
                <w:sz w:val="20"/>
                <w:szCs w:val="20"/>
                <w:u w:val="single"/>
                <w:lang w:val="en-GB"/>
              </w:rPr>
              <w:t>see SO5)</w:t>
            </w:r>
            <w:r w:rsidRPr="00610088">
              <w:rPr>
                <w:b/>
                <w:sz w:val="20"/>
                <w:szCs w:val="20"/>
                <w:u w:val="single"/>
                <w:lang w:val="en-GB"/>
              </w:rPr>
              <w:t>:</w:t>
            </w:r>
          </w:p>
          <w:p w14:paraId="4FE7FBD2" w14:textId="4B993758" w:rsidR="009717C4" w:rsidRPr="00610088" w:rsidRDefault="004C2636" w:rsidP="00B82C13">
            <w:pPr>
              <w:pStyle w:val="ListParagraph"/>
              <w:numPr>
                <w:ilvl w:val="0"/>
                <w:numId w:val="6"/>
              </w:numPr>
              <w:autoSpaceDE w:val="0"/>
              <w:autoSpaceDN w:val="0"/>
              <w:adjustRightInd w:val="0"/>
              <w:rPr>
                <w:bCs/>
                <w:sz w:val="20"/>
                <w:szCs w:val="20"/>
                <w:lang w:val="en-GB"/>
              </w:rPr>
            </w:pPr>
            <w:r w:rsidRPr="00610088">
              <w:rPr>
                <w:bCs/>
                <w:sz w:val="20"/>
                <w:szCs w:val="20"/>
                <w:lang w:val="en-GB"/>
              </w:rPr>
              <w:t xml:space="preserve">Advocate for improvement </w:t>
            </w:r>
            <w:r w:rsidR="00AD59FD" w:rsidRPr="00610088">
              <w:rPr>
                <w:bCs/>
                <w:sz w:val="20"/>
                <w:szCs w:val="20"/>
                <w:lang w:val="en-GB"/>
              </w:rPr>
              <w:t xml:space="preserve">/ establishment </w:t>
            </w:r>
            <w:r w:rsidRPr="00610088">
              <w:rPr>
                <w:bCs/>
                <w:sz w:val="20"/>
                <w:szCs w:val="20"/>
                <w:lang w:val="en-GB"/>
              </w:rPr>
              <w:t xml:space="preserve">of the </w:t>
            </w:r>
            <w:r w:rsidR="00AD59FD" w:rsidRPr="00610088">
              <w:rPr>
                <w:bCs/>
                <w:sz w:val="20"/>
                <w:szCs w:val="20"/>
                <w:lang w:val="en-GB"/>
              </w:rPr>
              <w:t>physical infrastructure</w:t>
            </w:r>
            <w:r w:rsidRPr="00610088">
              <w:rPr>
                <w:bCs/>
                <w:sz w:val="20"/>
                <w:szCs w:val="20"/>
                <w:lang w:val="en-GB"/>
              </w:rPr>
              <w:t xml:space="preserve"> for the prevention of NCDs</w:t>
            </w:r>
            <w:r w:rsidR="00AD59FD" w:rsidRPr="00610088">
              <w:rPr>
                <w:bCs/>
                <w:sz w:val="20"/>
                <w:szCs w:val="20"/>
                <w:lang w:val="en-GB"/>
              </w:rPr>
              <w:t xml:space="preserve"> (</w:t>
            </w:r>
            <w:r w:rsidR="00F47941">
              <w:rPr>
                <w:bCs/>
                <w:sz w:val="20"/>
                <w:szCs w:val="20"/>
                <w:lang w:val="en-GB"/>
              </w:rPr>
              <w:t>Sierra Leone Road Authority (</w:t>
            </w:r>
            <w:r w:rsidR="00AD59FD" w:rsidRPr="00610088">
              <w:rPr>
                <w:bCs/>
                <w:sz w:val="20"/>
                <w:szCs w:val="20"/>
                <w:lang w:val="en-GB"/>
              </w:rPr>
              <w:t>SLRA</w:t>
            </w:r>
            <w:r w:rsidR="00F47941">
              <w:rPr>
                <w:bCs/>
                <w:sz w:val="20"/>
                <w:szCs w:val="20"/>
                <w:lang w:val="en-GB"/>
              </w:rPr>
              <w:t>)</w:t>
            </w:r>
            <w:r w:rsidR="00F56CAD">
              <w:rPr>
                <w:bCs/>
                <w:sz w:val="20"/>
                <w:szCs w:val="20"/>
                <w:lang w:val="en-GB"/>
              </w:rPr>
              <w:t>, SLSRA</w:t>
            </w:r>
            <w:r w:rsidR="00AD59FD" w:rsidRPr="00610088">
              <w:rPr>
                <w:bCs/>
                <w:sz w:val="20"/>
                <w:szCs w:val="20"/>
                <w:lang w:val="en-GB"/>
              </w:rPr>
              <w:t>, Ministry of Works, Ministry of Lands, Housing and Environment)</w:t>
            </w:r>
            <w:r w:rsidRPr="00610088">
              <w:rPr>
                <w:bCs/>
                <w:sz w:val="20"/>
                <w:szCs w:val="20"/>
                <w:lang w:val="en-GB"/>
              </w:rPr>
              <w:t xml:space="preserve"> </w:t>
            </w:r>
          </w:p>
          <w:p w14:paraId="31027D4F" w14:textId="4EFFE972" w:rsidR="00702C96" w:rsidRPr="00610088" w:rsidRDefault="00702C96" w:rsidP="00B82C13">
            <w:pPr>
              <w:pStyle w:val="ListParagraph"/>
              <w:numPr>
                <w:ilvl w:val="0"/>
                <w:numId w:val="6"/>
              </w:numPr>
              <w:autoSpaceDE w:val="0"/>
              <w:autoSpaceDN w:val="0"/>
              <w:adjustRightInd w:val="0"/>
              <w:rPr>
                <w:bCs/>
                <w:sz w:val="20"/>
                <w:szCs w:val="20"/>
                <w:lang w:val="en-GB"/>
              </w:rPr>
            </w:pPr>
            <w:r w:rsidRPr="00610088">
              <w:rPr>
                <w:bCs/>
                <w:sz w:val="20"/>
                <w:szCs w:val="20"/>
                <w:lang w:val="en-GB"/>
              </w:rPr>
              <w:t>Advocate for the increased availability of fruit and vegetables (MAF</w:t>
            </w:r>
            <w:r w:rsidR="001A6AEF">
              <w:rPr>
                <w:bCs/>
                <w:sz w:val="20"/>
                <w:szCs w:val="20"/>
                <w:lang w:val="en-GB"/>
              </w:rPr>
              <w:t>FS</w:t>
            </w:r>
            <w:r w:rsidRPr="00610088">
              <w:rPr>
                <w:bCs/>
                <w:sz w:val="20"/>
                <w:szCs w:val="20"/>
                <w:lang w:val="en-GB"/>
              </w:rPr>
              <w:t>)</w:t>
            </w:r>
          </w:p>
          <w:p w14:paraId="3202BB2D" w14:textId="71E54700" w:rsidR="009E79AB" w:rsidRPr="00610088" w:rsidRDefault="009E79AB" w:rsidP="00B82C13">
            <w:pPr>
              <w:pStyle w:val="ListParagraph"/>
              <w:numPr>
                <w:ilvl w:val="0"/>
                <w:numId w:val="6"/>
              </w:numPr>
              <w:autoSpaceDE w:val="0"/>
              <w:autoSpaceDN w:val="0"/>
              <w:adjustRightInd w:val="0"/>
              <w:rPr>
                <w:bCs/>
                <w:sz w:val="20"/>
                <w:szCs w:val="20"/>
                <w:lang w:val="en-GB"/>
              </w:rPr>
            </w:pPr>
            <w:r w:rsidRPr="00610088">
              <w:rPr>
                <w:bCs/>
                <w:sz w:val="20"/>
                <w:szCs w:val="20"/>
                <w:lang w:val="en-GB"/>
              </w:rPr>
              <w:t>Advocate for inclusion of health promotion in primary and secondary school curricula (</w:t>
            </w:r>
            <w:r w:rsidR="00640482" w:rsidRPr="00610088">
              <w:rPr>
                <w:bCs/>
                <w:sz w:val="20"/>
                <w:szCs w:val="20"/>
                <w:lang w:val="en-GB"/>
              </w:rPr>
              <w:t xml:space="preserve">Ministry of </w:t>
            </w:r>
            <w:r w:rsidR="00AD59FD" w:rsidRPr="00610088">
              <w:rPr>
                <w:bCs/>
                <w:sz w:val="20"/>
                <w:szCs w:val="20"/>
                <w:lang w:val="en-GB"/>
              </w:rPr>
              <w:t xml:space="preserve">Basic and Secondary School </w:t>
            </w:r>
            <w:r w:rsidR="00640482" w:rsidRPr="00610088">
              <w:rPr>
                <w:bCs/>
                <w:sz w:val="20"/>
                <w:szCs w:val="20"/>
                <w:lang w:val="en-GB"/>
              </w:rPr>
              <w:t>Educatio</w:t>
            </w:r>
            <w:r w:rsidR="00AD59FD" w:rsidRPr="00610088">
              <w:rPr>
                <w:bCs/>
                <w:sz w:val="20"/>
                <w:szCs w:val="20"/>
                <w:lang w:val="en-GB"/>
              </w:rPr>
              <w:t>n - MBSSE</w:t>
            </w:r>
            <w:r w:rsidRPr="00610088">
              <w:rPr>
                <w:bCs/>
                <w:sz w:val="20"/>
                <w:szCs w:val="20"/>
                <w:lang w:val="en-GB"/>
              </w:rPr>
              <w:t>)</w:t>
            </w:r>
          </w:p>
          <w:p w14:paraId="1412D55C" w14:textId="044AE0B4" w:rsidR="00877364" w:rsidRPr="00610088" w:rsidRDefault="00877364" w:rsidP="00877364">
            <w:pPr>
              <w:pStyle w:val="ListParagraph"/>
              <w:numPr>
                <w:ilvl w:val="0"/>
                <w:numId w:val="6"/>
              </w:numPr>
              <w:autoSpaceDE w:val="0"/>
              <w:autoSpaceDN w:val="0"/>
              <w:adjustRightInd w:val="0"/>
              <w:rPr>
                <w:bCs/>
                <w:sz w:val="20"/>
                <w:szCs w:val="20"/>
                <w:lang w:val="en-GB"/>
              </w:rPr>
            </w:pPr>
            <w:r w:rsidRPr="00610088">
              <w:rPr>
                <w:bCs/>
                <w:sz w:val="20"/>
                <w:szCs w:val="20"/>
                <w:lang w:val="en-GB"/>
              </w:rPr>
              <w:t>Advocacy on the importance of alcohol-free school environment (MBSSE)</w:t>
            </w:r>
          </w:p>
          <w:p w14:paraId="318FEBE9" w14:textId="549A85DA" w:rsidR="00877364" w:rsidRPr="00610088" w:rsidRDefault="00877364" w:rsidP="00877364">
            <w:pPr>
              <w:pStyle w:val="ListParagraph"/>
              <w:numPr>
                <w:ilvl w:val="0"/>
                <w:numId w:val="6"/>
              </w:numPr>
              <w:autoSpaceDE w:val="0"/>
              <w:autoSpaceDN w:val="0"/>
              <w:adjustRightInd w:val="0"/>
              <w:rPr>
                <w:bCs/>
                <w:sz w:val="20"/>
                <w:szCs w:val="20"/>
                <w:lang w:val="en-GB"/>
              </w:rPr>
            </w:pPr>
            <w:r w:rsidRPr="00610088">
              <w:rPr>
                <w:bCs/>
                <w:sz w:val="20"/>
                <w:szCs w:val="20"/>
                <w:lang w:val="en-GB"/>
              </w:rPr>
              <w:t>Advocacy to review and enforce the drink-driving regulation (SLRSA, S</w:t>
            </w:r>
            <w:r w:rsidR="001A6AEF">
              <w:rPr>
                <w:bCs/>
                <w:sz w:val="20"/>
                <w:szCs w:val="20"/>
                <w:lang w:val="en-GB"/>
              </w:rPr>
              <w:t>ierra Leone Police -SL</w:t>
            </w:r>
            <w:r w:rsidRPr="00610088">
              <w:rPr>
                <w:bCs/>
                <w:sz w:val="20"/>
                <w:szCs w:val="20"/>
                <w:lang w:val="en-GB"/>
              </w:rPr>
              <w:t>P)</w:t>
            </w:r>
          </w:p>
          <w:p w14:paraId="09164F99" w14:textId="6F766847" w:rsidR="009E79AB" w:rsidRPr="00610088" w:rsidRDefault="009E79AB" w:rsidP="00B82C13">
            <w:pPr>
              <w:pStyle w:val="ListParagraph"/>
              <w:numPr>
                <w:ilvl w:val="0"/>
                <w:numId w:val="6"/>
              </w:numPr>
              <w:autoSpaceDE w:val="0"/>
              <w:autoSpaceDN w:val="0"/>
              <w:adjustRightInd w:val="0"/>
              <w:rPr>
                <w:bCs/>
                <w:sz w:val="20"/>
                <w:szCs w:val="20"/>
                <w:lang w:val="en-GB"/>
              </w:rPr>
            </w:pPr>
            <w:r w:rsidRPr="00610088">
              <w:rPr>
                <w:bCs/>
                <w:sz w:val="20"/>
                <w:szCs w:val="20"/>
                <w:lang w:val="en-GB"/>
              </w:rPr>
              <w:t>Advocate for inclusion of mandatory regular physical activities in school curricula (</w:t>
            </w:r>
            <w:proofErr w:type="gramStart"/>
            <w:r w:rsidRPr="00610088">
              <w:rPr>
                <w:bCs/>
                <w:sz w:val="20"/>
                <w:szCs w:val="20"/>
                <w:lang w:val="en-GB"/>
              </w:rPr>
              <w:t>e.g.</w:t>
            </w:r>
            <w:proofErr w:type="gramEnd"/>
            <w:r w:rsidRPr="00610088">
              <w:rPr>
                <w:bCs/>
                <w:sz w:val="20"/>
                <w:szCs w:val="20"/>
                <w:lang w:val="en-GB"/>
              </w:rPr>
              <w:t xml:space="preserve"> 2x per week) (</w:t>
            </w:r>
            <w:r w:rsidR="00640482" w:rsidRPr="00610088">
              <w:rPr>
                <w:bCs/>
                <w:sz w:val="20"/>
                <w:szCs w:val="20"/>
                <w:lang w:val="en-GB"/>
              </w:rPr>
              <w:t>M</w:t>
            </w:r>
            <w:r w:rsidR="00AD59FD" w:rsidRPr="00610088">
              <w:rPr>
                <w:bCs/>
                <w:sz w:val="20"/>
                <w:szCs w:val="20"/>
                <w:lang w:val="en-GB"/>
              </w:rPr>
              <w:t>BSSE</w:t>
            </w:r>
            <w:r w:rsidRPr="00610088">
              <w:rPr>
                <w:bCs/>
                <w:sz w:val="20"/>
                <w:szCs w:val="20"/>
                <w:lang w:val="en-GB"/>
              </w:rPr>
              <w:t>)</w:t>
            </w:r>
          </w:p>
          <w:p w14:paraId="2F089F29" w14:textId="2F241E76" w:rsidR="009F4182" w:rsidRPr="00610088" w:rsidRDefault="009F4182" w:rsidP="00B82C13">
            <w:pPr>
              <w:pStyle w:val="ListParagraph"/>
              <w:numPr>
                <w:ilvl w:val="0"/>
                <w:numId w:val="6"/>
              </w:numPr>
              <w:autoSpaceDE w:val="0"/>
              <w:autoSpaceDN w:val="0"/>
              <w:adjustRightInd w:val="0"/>
              <w:rPr>
                <w:bCs/>
                <w:color w:val="000000" w:themeColor="text1"/>
                <w:sz w:val="20"/>
                <w:szCs w:val="20"/>
                <w:lang w:val="en-GB"/>
              </w:rPr>
            </w:pPr>
            <w:r w:rsidRPr="00610088">
              <w:rPr>
                <w:bCs/>
                <w:color w:val="000000" w:themeColor="text1"/>
                <w:sz w:val="20"/>
                <w:szCs w:val="20"/>
                <w:lang w:val="en-GB"/>
              </w:rPr>
              <w:t>Advocate for establishment and maintenance of healthy workplaces (</w:t>
            </w:r>
            <w:r w:rsidR="00640482" w:rsidRPr="00610088">
              <w:rPr>
                <w:bCs/>
                <w:color w:val="000000" w:themeColor="text1"/>
                <w:sz w:val="20"/>
                <w:szCs w:val="20"/>
                <w:lang w:val="en-GB"/>
              </w:rPr>
              <w:t xml:space="preserve">Ministry of </w:t>
            </w:r>
            <w:r w:rsidR="001D1F74" w:rsidRPr="00610088">
              <w:rPr>
                <w:bCs/>
                <w:color w:val="000000" w:themeColor="text1"/>
                <w:sz w:val="20"/>
                <w:szCs w:val="20"/>
                <w:lang w:val="en-GB"/>
              </w:rPr>
              <w:t>Labour</w:t>
            </w:r>
            <w:r w:rsidR="00AD59FD" w:rsidRPr="00610088">
              <w:rPr>
                <w:bCs/>
                <w:color w:val="000000" w:themeColor="text1"/>
                <w:sz w:val="20"/>
                <w:szCs w:val="20"/>
                <w:lang w:val="en-GB"/>
              </w:rPr>
              <w:t xml:space="preserve"> and Social Security</w:t>
            </w:r>
            <w:r w:rsidR="00640482" w:rsidRPr="00610088">
              <w:rPr>
                <w:bCs/>
                <w:color w:val="000000" w:themeColor="text1"/>
                <w:sz w:val="20"/>
                <w:szCs w:val="20"/>
                <w:lang w:val="en-GB"/>
              </w:rPr>
              <w:t xml:space="preserve"> </w:t>
            </w:r>
            <w:r w:rsidR="00AD59FD" w:rsidRPr="00610088">
              <w:rPr>
                <w:bCs/>
                <w:color w:val="000000" w:themeColor="text1"/>
                <w:sz w:val="20"/>
                <w:szCs w:val="20"/>
                <w:lang w:val="en-GB"/>
              </w:rPr>
              <w:t>–</w:t>
            </w:r>
            <w:r w:rsidR="00640482" w:rsidRPr="00610088">
              <w:rPr>
                <w:bCs/>
                <w:color w:val="000000" w:themeColor="text1"/>
                <w:sz w:val="20"/>
                <w:szCs w:val="20"/>
                <w:lang w:val="en-GB"/>
              </w:rPr>
              <w:t xml:space="preserve"> M</w:t>
            </w:r>
            <w:r w:rsidR="00BF6339" w:rsidRPr="00610088">
              <w:rPr>
                <w:bCs/>
                <w:color w:val="000000" w:themeColor="text1"/>
                <w:sz w:val="20"/>
                <w:szCs w:val="20"/>
                <w:lang w:val="en-GB"/>
              </w:rPr>
              <w:t>LSS</w:t>
            </w:r>
            <w:r w:rsidRPr="00610088">
              <w:rPr>
                <w:bCs/>
                <w:color w:val="000000" w:themeColor="text1"/>
                <w:sz w:val="20"/>
                <w:szCs w:val="20"/>
                <w:lang w:val="en-GB"/>
              </w:rPr>
              <w:t xml:space="preserve">) </w:t>
            </w:r>
          </w:p>
          <w:p w14:paraId="479CE6F1" w14:textId="51F9D5CC" w:rsidR="00A32C64" w:rsidRPr="00610088" w:rsidRDefault="00FC1049" w:rsidP="00B82C13">
            <w:pPr>
              <w:pStyle w:val="ListParagraph"/>
              <w:numPr>
                <w:ilvl w:val="0"/>
                <w:numId w:val="6"/>
              </w:numPr>
              <w:autoSpaceDE w:val="0"/>
              <w:autoSpaceDN w:val="0"/>
              <w:adjustRightInd w:val="0"/>
              <w:rPr>
                <w:bCs/>
                <w:sz w:val="20"/>
                <w:szCs w:val="20"/>
                <w:lang w:val="en-GB"/>
              </w:rPr>
            </w:pPr>
            <w:r w:rsidRPr="00610088">
              <w:rPr>
                <w:bCs/>
                <w:sz w:val="20"/>
                <w:szCs w:val="20"/>
                <w:lang w:val="en-GB"/>
              </w:rPr>
              <w:t>Advocacy on importance of physical activity (Ministry of Youth and Sports</w:t>
            </w:r>
            <w:r w:rsidR="00A8191E" w:rsidRPr="00610088">
              <w:rPr>
                <w:bCs/>
                <w:sz w:val="20"/>
                <w:szCs w:val="20"/>
                <w:lang w:val="en-GB"/>
              </w:rPr>
              <w:t>)</w:t>
            </w:r>
          </w:p>
          <w:p w14:paraId="4DBE1BCC" w14:textId="7A35861E" w:rsidR="009E79AB" w:rsidRPr="00610088" w:rsidRDefault="009E79AB" w:rsidP="00B82C13">
            <w:pPr>
              <w:pStyle w:val="ListParagraph"/>
              <w:numPr>
                <w:ilvl w:val="0"/>
                <w:numId w:val="6"/>
              </w:numPr>
              <w:autoSpaceDE w:val="0"/>
              <w:autoSpaceDN w:val="0"/>
              <w:adjustRightInd w:val="0"/>
              <w:rPr>
                <w:bCs/>
                <w:sz w:val="20"/>
                <w:szCs w:val="20"/>
                <w:lang w:val="en-GB"/>
              </w:rPr>
            </w:pPr>
            <w:r w:rsidRPr="00610088">
              <w:rPr>
                <w:sz w:val="20"/>
                <w:szCs w:val="20"/>
                <w:lang w:val="en-GB"/>
              </w:rPr>
              <w:t>A</w:t>
            </w:r>
            <w:r w:rsidR="004C2636" w:rsidRPr="00610088">
              <w:rPr>
                <w:sz w:val="20"/>
                <w:szCs w:val="20"/>
                <w:lang w:val="en-GB"/>
              </w:rPr>
              <w:t>dvocacy to other relevant line ministries</w:t>
            </w:r>
            <w:r w:rsidR="00877364" w:rsidRPr="00610088">
              <w:rPr>
                <w:sz w:val="20"/>
                <w:szCs w:val="20"/>
                <w:lang w:val="en-GB"/>
              </w:rPr>
              <w:t>, departments and agencies</w:t>
            </w:r>
            <w:r w:rsidR="004C2636" w:rsidRPr="00610088">
              <w:rPr>
                <w:sz w:val="20"/>
                <w:szCs w:val="20"/>
                <w:lang w:val="en-GB"/>
              </w:rPr>
              <w:t xml:space="preserve"> (</w:t>
            </w:r>
            <w:proofErr w:type="gramStart"/>
            <w:r w:rsidR="004C2636" w:rsidRPr="00610088">
              <w:rPr>
                <w:sz w:val="20"/>
                <w:szCs w:val="20"/>
                <w:lang w:val="en-GB"/>
              </w:rPr>
              <w:t>e.g.</w:t>
            </w:r>
            <w:proofErr w:type="gramEnd"/>
            <w:r w:rsidR="004C2636" w:rsidRPr="00610088">
              <w:rPr>
                <w:sz w:val="20"/>
                <w:szCs w:val="20"/>
                <w:lang w:val="en-GB"/>
              </w:rPr>
              <w:t xml:space="preserve"> EPA) </w:t>
            </w:r>
          </w:p>
        </w:tc>
        <w:tc>
          <w:tcPr>
            <w:tcW w:w="501" w:type="pct"/>
          </w:tcPr>
          <w:p w14:paraId="113D3ED9" w14:textId="65E68EE8" w:rsidR="004C2636" w:rsidRPr="00610088" w:rsidRDefault="004C2636" w:rsidP="00604264">
            <w:pPr>
              <w:pStyle w:val="NoSpacing"/>
              <w:rPr>
                <w:bCs/>
                <w:sz w:val="20"/>
                <w:szCs w:val="20"/>
                <w:lang w:val="en-GB"/>
              </w:rPr>
            </w:pPr>
            <w:r w:rsidRPr="00610088">
              <w:rPr>
                <w:bCs/>
                <w:sz w:val="20"/>
                <w:szCs w:val="20"/>
                <w:lang w:val="en-GB"/>
              </w:rPr>
              <w:t>x</w:t>
            </w:r>
          </w:p>
        </w:tc>
        <w:tc>
          <w:tcPr>
            <w:tcW w:w="450" w:type="pct"/>
          </w:tcPr>
          <w:p w14:paraId="75A0C739" w14:textId="3BA3C974" w:rsidR="004C2636" w:rsidRPr="00610088" w:rsidRDefault="001A6AEF" w:rsidP="00604264">
            <w:pPr>
              <w:pStyle w:val="NoSpacing"/>
              <w:rPr>
                <w:bCs/>
                <w:sz w:val="20"/>
                <w:szCs w:val="20"/>
                <w:lang w:val="en-GB"/>
              </w:rPr>
            </w:pPr>
            <w:r>
              <w:rPr>
                <w:bCs/>
                <w:sz w:val="20"/>
                <w:szCs w:val="20"/>
                <w:lang w:val="en-GB"/>
              </w:rPr>
              <w:t>x</w:t>
            </w:r>
          </w:p>
        </w:tc>
        <w:tc>
          <w:tcPr>
            <w:tcW w:w="450" w:type="pct"/>
          </w:tcPr>
          <w:p w14:paraId="3407BEFB" w14:textId="74D977D3" w:rsidR="004C2636" w:rsidRPr="00610088" w:rsidRDefault="004C2636" w:rsidP="00604264">
            <w:pPr>
              <w:pStyle w:val="NoSpacing"/>
              <w:rPr>
                <w:bCs/>
                <w:sz w:val="20"/>
                <w:szCs w:val="20"/>
                <w:lang w:val="en-GB"/>
              </w:rPr>
            </w:pPr>
            <w:r w:rsidRPr="00610088">
              <w:rPr>
                <w:bCs/>
                <w:sz w:val="20"/>
                <w:szCs w:val="20"/>
                <w:lang w:val="en-GB"/>
              </w:rPr>
              <w:t>x</w:t>
            </w:r>
          </w:p>
        </w:tc>
      </w:tr>
      <w:tr w:rsidR="004C2636" w:rsidRPr="00610088" w14:paraId="38BC22ED" w14:textId="77777777" w:rsidTr="00A8191E">
        <w:trPr>
          <w:cantSplit/>
          <w:trHeight w:val="283"/>
        </w:trPr>
        <w:tc>
          <w:tcPr>
            <w:tcW w:w="563" w:type="pct"/>
            <w:vMerge/>
          </w:tcPr>
          <w:p w14:paraId="116FAE35" w14:textId="77777777" w:rsidR="004C2636" w:rsidRPr="00610088" w:rsidRDefault="004C2636" w:rsidP="00604264">
            <w:pPr>
              <w:rPr>
                <w:bCs/>
                <w:sz w:val="20"/>
                <w:szCs w:val="20"/>
                <w:lang w:val="en-GB"/>
              </w:rPr>
            </w:pPr>
          </w:p>
        </w:tc>
        <w:tc>
          <w:tcPr>
            <w:tcW w:w="3036" w:type="pct"/>
            <w:gridSpan w:val="2"/>
          </w:tcPr>
          <w:p w14:paraId="1F5095F7" w14:textId="3645661A" w:rsidR="004C2636" w:rsidRPr="00610088" w:rsidRDefault="004C2636" w:rsidP="00604264">
            <w:pPr>
              <w:pStyle w:val="NoSpacing"/>
              <w:rPr>
                <w:b/>
                <w:sz w:val="20"/>
                <w:szCs w:val="20"/>
                <w:u w:val="single"/>
                <w:lang w:val="en-GB"/>
              </w:rPr>
            </w:pPr>
            <w:r w:rsidRPr="00610088">
              <w:rPr>
                <w:b/>
                <w:sz w:val="20"/>
                <w:szCs w:val="20"/>
                <w:u w:val="single"/>
                <w:lang w:val="en-GB"/>
              </w:rPr>
              <w:t>Increase political / high profile engagement</w:t>
            </w:r>
            <w:r w:rsidR="00AD59FD" w:rsidRPr="00610088">
              <w:rPr>
                <w:b/>
                <w:sz w:val="20"/>
                <w:szCs w:val="20"/>
                <w:u w:val="single"/>
                <w:lang w:val="en-GB"/>
              </w:rPr>
              <w:t xml:space="preserve"> (DNCD&amp;MH with</w:t>
            </w:r>
            <w:r w:rsidR="00DE208E" w:rsidRPr="00610088">
              <w:rPr>
                <w:b/>
                <w:sz w:val="20"/>
                <w:szCs w:val="20"/>
                <w:u w:val="single"/>
                <w:lang w:val="en-GB"/>
              </w:rPr>
              <w:t xml:space="preserve"> NCDI commission</w:t>
            </w:r>
            <w:r w:rsidR="00AD59FD" w:rsidRPr="00610088">
              <w:rPr>
                <w:b/>
                <w:sz w:val="20"/>
                <w:szCs w:val="20"/>
                <w:u w:val="single"/>
                <w:lang w:val="en-GB"/>
              </w:rPr>
              <w:t>,</w:t>
            </w:r>
            <w:r w:rsidR="0047125C" w:rsidRPr="00610088">
              <w:rPr>
                <w:b/>
                <w:sz w:val="20"/>
                <w:szCs w:val="20"/>
                <w:u w:val="single"/>
                <w:lang w:val="en-GB"/>
              </w:rPr>
              <w:t xml:space="preserve"> </w:t>
            </w:r>
            <w:r w:rsidR="00DE208E" w:rsidRPr="00610088">
              <w:rPr>
                <w:b/>
                <w:sz w:val="20"/>
                <w:szCs w:val="20"/>
                <w:u w:val="single"/>
                <w:lang w:val="en-GB"/>
              </w:rPr>
              <w:t>see SO5)</w:t>
            </w:r>
            <w:r w:rsidRPr="00610088">
              <w:rPr>
                <w:b/>
                <w:sz w:val="20"/>
                <w:szCs w:val="20"/>
                <w:u w:val="single"/>
                <w:lang w:val="en-GB"/>
              </w:rPr>
              <w:t xml:space="preserve"> </w:t>
            </w:r>
          </w:p>
          <w:p w14:paraId="507B1A35" w14:textId="3AB178D8" w:rsidR="004C2636" w:rsidRPr="00610088" w:rsidRDefault="004C2636" w:rsidP="00B82C13">
            <w:pPr>
              <w:pStyle w:val="ListParagraph"/>
              <w:numPr>
                <w:ilvl w:val="0"/>
                <w:numId w:val="3"/>
              </w:numPr>
              <w:autoSpaceDE w:val="0"/>
              <w:autoSpaceDN w:val="0"/>
              <w:adjustRightInd w:val="0"/>
              <w:rPr>
                <w:bCs/>
                <w:sz w:val="20"/>
                <w:szCs w:val="20"/>
                <w:lang w:val="en-GB"/>
              </w:rPr>
            </w:pPr>
            <w:r w:rsidRPr="00610088">
              <w:rPr>
                <w:bCs/>
                <w:sz w:val="20"/>
                <w:szCs w:val="20"/>
                <w:lang w:val="en-GB"/>
              </w:rPr>
              <w:t>Campaign to highlight the incidence, prevalence and impact of NCD</w:t>
            </w:r>
            <w:r w:rsidR="00AD59FD" w:rsidRPr="00610088">
              <w:rPr>
                <w:bCs/>
                <w:sz w:val="20"/>
                <w:szCs w:val="20"/>
                <w:lang w:val="en-GB"/>
              </w:rPr>
              <w:t>s</w:t>
            </w:r>
          </w:p>
          <w:p w14:paraId="1DA94A95" w14:textId="77777777" w:rsidR="00FC1049" w:rsidRPr="00610088" w:rsidRDefault="00FC1049" w:rsidP="00B82C13">
            <w:pPr>
              <w:pStyle w:val="ListParagraph"/>
              <w:numPr>
                <w:ilvl w:val="0"/>
                <w:numId w:val="3"/>
              </w:numPr>
              <w:autoSpaceDE w:val="0"/>
              <w:autoSpaceDN w:val="0"/>
              <w:adjustRightInd w:val="0"/>
              <w:rPr>
                <w:bCs/>
                <w:sz w:val="20"/>
                <w:szCs w:val="20"/>
                <w:lang w:val="en-GB"/>
              </w:rPr>
            </w:pPr>
            <w:r w:rsidRPr="00610088">
              <w:rPr>
                <w:bCs/>
                <w:sz w:val="20"/>
                <w:szCs w:val="20"/>
                <w:lang w:val="en-GB"/>
              </w:rPr>
              <w:t xml:space="preserve">Plan meetings to increase political buy-in </w:t>
            </w:r>
          </w:p>
          <w:p w14:paraId="1A61F2DB" w14:textId="77777777" w:rsidR="00FC1049" w:rsidRPr="00610088" w:rsidRDefault="00FC1049" w:rsidP="00B82C13">
            <w:pPr>
              <w:pStyle w:val="ListParagraph"/>
              <w:numPr>
                <w:ilvl w:val="0"/>
                <w:numId w:val="3"/>
              </w:numPr>
              <w:autoSpaceDE w:val="0"/>
              <w:autoSpaceDN w:val="0"/>
              <w:adjustRightInd w:val="0"/>
              <w:rPr>
                <w:bCs/>
                <w:sz w:val="20"/>
                <w:szCs w:val="20"/>
                <w:lang w:val="en-GB"/>
              </w:rPr>
            </w:pPr>
            <w:r w:rsidRPr="00610088">
              <w:rPr>
                <w:bCs/>
                <w:sz w:val="20"/>
                <w:szCs w:val="20"/>
                <w:lang w:val="en-GB"/>
              </w:rPr>
              <w:t>High profile media figure to champion NCDs</w:t>
            </w:r>
          </w:p>
          <w:p w14:paraId="047AE2C0" w14:textId="33AAD0EC" w:rsidR="00877364" w:rsidRPr="00610088" w:rsidRDefault="00877364" w:rsidP="00877364">
            <w:pPr>
              <w:pStyle w:val="ListParagraph"/>
              <w:numPr>
                <w:ilvl w:val="0"/>
                <w:numId w:val="3"/>
              </w:numPr>
              <w:autoSpaceDE w:val="0"/>
              <w:autoSpaceDN w:val="0"/>
              <w:adjustRightInd w:val="0"/>
              <w:rPr>
                <w:bCs/>
                <w:sz w:val="20"/>
                <w:szCs w:val="20"/>
                <w:lang w:val="en-GB"/>
              </w:rPr>
            </w:pPr>
            <w:r w:rsidRPr="00610088">
              <w:rPr>
                <w:bCs/>
                <w:sz w:val="20"/>
                <w:szCs w:val="20"/>
                <w:lang w:val="en-GB"/>
              </w:rPr>
              <w:t>Lobby parliamentarians for new laws on alcohol and tobacco control</w:t>
            </w:r>
          </w:p>
        </w:tc>
        <w:tc>
          <w:tcPr>
            <w:tcW w:w="501" w:type="pct"/>
          </w:tcPr>
          <w:p w14:paraId="79599BC4" w14:textId="7CC89F31" w:rsidR="004C2636" w:rsidRPr="00610088" w:rsidRDefault="004C2636" w:rsidP="00604264">
            <w:pPr>
              <w:pStyle w:val="NoSpacing"/>
              <w:rPr>
                <w:bCs/>
                <w:sz w:val="20"/>
                <w:szCs w:val="20"/>
                <w:lang w:val="en-GB"/>
              </w:rPr>
            </w:pPr>
            <w:r w:rsidRPr="00610088">
              <w:rPr>
                <w:bCs/>
                <w:sz w:val="20"/>
                <w:szCs w:val="20"/>
                <w:lang w:val="en-GB"/>
              </w:rPr>
              <w:t>x</w:t>
            </w:r>
          </w:p>
        </w:tc>
        <w:tc>
          <w:tcPr>
            <w:tcW w:w="450" w:type="pct"/>
          </w:tcPr>
          <w:p w14:paraId="7DB99AFF" w14:textId="24E2B1E8" w:rsidR="004C2636" w:rsidRPr="00610088" w:rsidRDefault="001A6AEF" w:rsidP="00604264">
            <w:pPr>
              <w:pStyle w:val="NoSpacing"/>
              <w:rPr>
                <w:bCs/>
                <w:sz w:val="20"/>
                <w:szCs w:val="20"/>
                <w:lang w:val="en-GB"/>
              </w:rPr>
            </w:pPr>
            <w:r>
              <w:rPr>
                <w:bCs/>
                <w:sz w:val="20"/>
                <w:szCs w:val="20"/>
                <w:lang w:val="en-GB"/>
              </w:rPr>
              <w:t>x</w:t>
            </w:r>
          </w:p>
        </w:tc>
        <w:tc>
          <w:tcPr>
            <w:tcW w:w="450" w:type="pct"/>
          </w:tcPr>
          <w:p w14:paraId="547C1EF3" w14:textId="694EB18D" w:rsidR="004C2636" w:rsidRPr="00610088" w:rsidRDefault="001A6AEF" w:rsidP="00604264">
            <w:pPr>
              <w:pStyle w:val="NoSpacing"/>
              <w:rPr>
                <w:bCs/>
                <w:sz w:val="20"/>
                <w:szCs w:val="20"/>
                <w:lang w:val="en-GB"/>
              </w:rPr>
            </w:pPr>
            <w:r>
              <w:rPr>
                <w:bCs/>
                <w:sz w:val="20"/>
                <w:szCs w:val="20"/>
                <w:lang w:val="en-GB"/>
              </w:rPr>
              <w:t>x</w:t>
            </w:r>
          </w:p>
        </w:tc>
      </w:tr>
      <w:tr w:rsidR="00BC49DC" w:rsidRPr="00610088" w14:paraId="2DD07226" w14:textId="77777777" w:rsidTr="00A8191E">
        <w:trPr>
          <w:cantSplit/>
          <w:trHeight w:val="283"/>
        </w:trPr>
        <w:tc>
          <w:tcPr>
            <w:tcW w:w="563" w:type="pct"/>
            <w:vMerge w:val="restart"/>
          </w:tcPr>
          <w:p w14:paraId="304FFBC3" w14:textId="4870AC68" w:rsidR="00BC49DC" w:rsidRPr="00610088" w:rsidRDefault="00BC49DC" w:rsidP="004C2636">
            <w:pPr>
              <w:rPr>
                <w:bCs/>
                <w:sz w:val="20"/>
                <w:szCs w:val="20"/>
                <w:lang w:val="en-GB"/>
              </w:rPr>
            </w:pPr>
            <w:r w:rsidRPr="00610088">
              <w:rPr>
                <w:bCs/>
                <w:sz w:val="20"/>
                <w:szCs w:val="20"/>
                <w:lang w:val="en-GB"/>
              </w:rPr>
              <w:t xml:space="preserve">Establish / advocate for legal framework for NCDs and its risk factors </w:t>
            </w:r>
            <w:r w:rsidRPr="00610088">
              <w:rPr>
                <w:bCs/>
                <w:sz w:val="20"/>
                <w:szCs w:val="20"/>
                <w:lang w:val="en-GB"/>
              </w:rPr>
              <w:lastRenderedPageBreak/>
              <w:t>(</w:t>
            </w:r>
            <w:r w:rsidRPr="00610088">
              <w:rPr>
                <w:bCs/>
                <w:i/>
                <w:sz w:val="20"/>
                <w:szCs w:val="20"/>
                <w:lang w:val="en-GB"/>
              </w:rPr>
              <w:t>including reduction of presence of risk factors such as salt, sugar, alcohol and tobacco</w:t>
            </w:r>
            <w:r w:rsidRPr="00610088">
              <w:rPr>
                <w:bCs/>
                <w:sz w:val="20"/>
                <w:szCs w:val="20"/>
                <w:lang w:val="en-GB"/>
              </w:rPr>
              <w:t>)</w:t>
            </w:r>
          </w:p>
        </w:tc>
        <w:tc>
          <w:tcPr>
            <w:tcW w:w="3036" w:type="pct"/>
            <w:gridSpan w:val="2"/>
          </w:tcPr>
          <w:p w14:paraId="077A4162" w14:textId="5908D76A" w:rsidR="00BC49DC" w:rsidRPr="00610088" w:rsidRDefault="00BC49DC" w:rsidP="004C2636">
            <w:pPr>
              <w:rPr>
                <w:sz w:val="20"/>
                <w:szCs w:val="20"/>
                <w:lang w:val="en-GB"/>
              </w:rPr>
            </w:pPr>
            <w:r w:rsidRPr="00610088">
              <w:rPr>
                <w:sz w:val="20"/>
                <w:szCs w:val="20"/>
                <w:lang w:val="en-GB"/>
              </w:rPr>
              <w:lastRenderedPageBreak/>
              <w:t>Develop new NCD strategic plan in 2023, including review / situational analysis</w:t>
            </w:r>
          </w:p>
        </w:tc>
        <w:tc>
          <w:tcPr>
            <w:tcW w:w="501" w:type="pct"/>
          </w:tcPr>
          <w:p w14:paraId="782B0266" w14:textId="77777777" w:rsidR="00BC49DC" w:rsidRPr="00610088" w:rsidRDefault="00BC49DC" w:rsidP="004C2636">
            <w:pPr>
              <w:pStyle w:val="NoSpacing"/>
              <w:rPr>
                <w:bCs/>
                <w:sz w:val="20"/>
                <w:szCs w:val="20"/>
                <w:lang w:val="en-GB"/>
              </w:rPr>
            </w:pPr>
          </w:p>
        </w:tc>
        <w:tc>
          <w:tcPr>
            <w:tcW w:w="450" w:type="pct"/>
          </w:tcPr>
          <w:p w14:paraId="2507ECEE" w14:textId="433CEBF4" w:rsidR="00BC49DC" w:rsidRPr="00610088" w:rsidRDefault="00BC49DC" w:rsidP="004C2636">
            <w:pPr>
              <w:pStyle w:val="NoSpacing"/>
              <w:rPr>
                <w:bCs/>
                <w:sz w:val="20"/>
                <w:szCs w:val="20"/>
                <w:lang w:val="en-GB"/>
              </w:rPr>
            </w:pPr>
          </w:p>
        </w:tc>
        <w:tc>
          <w:tcPr>
            <w:tcW w:w="450" w:type="pct"/>
          </w:tcPr>
          <w:p w14:paraId="3C193343" w14:textId="5B0D9DBB" w:rsidR="00BC49DC" w:rsidRPr="00610088" w:rsidRDefault="001A6AEF" w:rsidP="004C2636">
            <w:pPr>
              <w:pStyle w:val="NoSpacing"/>
              <w:rPr>
                <w:bCs/>
                <w:sz w:val="20"/>
                <w:szCs w:val="20"/>
                <w:lang w:val="en-GB"/>
              </w:rPr>
            </w:pPr>
            <w:r>
              <w:rPr>
                <w:bCs/>
                <w:sz w:val="20"/>
                <w:szCs w:val="20"/>
                <w:lang w:val="en-GB"/>
              </w:rPr>
              <w:t>x</w:t>
            </w:r>
          </w:p>
        </w:tc>
      </w:tr>
      <w:tr w:rsidR="00BC49DC" w:rsidRPr="00610088" w14:paraId="3A397659" w14:textId="77777777" w:rsidTr="00A8191E">
        <w:trPr>
          <w:cantSplit/>
          <w:trHeight w:val="283"/>
        </w:trPr>
        <w:tc>
          <w:tcPr>
            <w:tcW w:w="563" w:type="pct"/>
            <w:vMerge/>
          </w:tcPr>
          <w:p w14:paraId="24949EFD" w14:textId="50899E79" w:rsidR="00BC49DC" w:rsidRPr="00610088" w:rsidRDefault="00BC49DC" w:rsidP="004C2636">
            <w:pPr>
              <w:rPr>
                <w:bCs/>
                <w:sz w:val="20"/>
                <w:szCs w:val="20"/>
                <w:lang w:val="en-GB"/>
              </w:rPr>
            </w:pPr>
          </w:p>
        </w:tc>
        <w:tc>
          <w:tcPr>
            <w:tcW w:w="3036" w:type="pct"/>
            <w:gridSpan w:val="2"/>
          </w:tcPr>
          <w:p w14:paraId="74A40EEC" w14:textId="39B81802" w:rsidR="00BC49DC" w:rsidRPr="00610088" w:rsidRDefault="00BC49DC" w:rsidP="004C2636">
            <w:pPr>
              <w:rPr>
                <w:bCs/>
                <w:sz w:val="20"/>
                <w:szCs w:val="20"/>
                <w:lang w:val="en-GB"/>
              </w:rPr>
            </w:pPr>
            <w:r w:rsidRPr="00610088">
              <w:rPr>
                <w:b/>
                <w:bCs/>
                <w:sz w:val="20"/>
                <w:szCs w:val="20"/>
                <w:u w:val="single"/>
                <w:lang w:val="en-GB"/>
              </w:rPr>
              <w:t>TOBACCO- Support the implementation of FCTC</w:t>
            </w:r>
            <w:r w:rsidRPr="00610088">
              <w:rPr>
                <w:sz w:val="20"/>
                <w:szCs w:val="20"/>
                <w:lang w:val="en-GB"/>
              </w:rPr>
              <w:t xml:space="preserve"> </w:t>
            </w:r>
          </w:p>
        </w:tc>
        <w:tc>
          <w:tcPr>
            <w:tcW w:w="501" w:type="pct"/>
          </w:tcPr>
          <w:p w14:paraId="54DD6AB8" w14:textId="77777777" w:rsidR="00BC49DC" w:rsidRPr="00610088" w:rsidRDefault="00BC49DC" w:rsidP="004C2636">
            <w:pPr>
              <w:pStyle w:val="NoSpacing"/>
              <w:rPr>
                <w:bCs/>
                <w:sz w:val="20"/>
                <w:szCs w:val="20"/>
                <w:lang w:val="en-GB"/>
              </w:rPr>
            </w:pPr>
          </w:p>
        </w:tc>
        <w:tc>
          <w:tcPr>
            <w:tcW w:w="450" w:type="pct"/>
          </w:tcPr>
          <w:p w14:paraId="4D53FFC4" w14:textId="77777777" w:rsidR="00BC49DC" w:rsidRPr="00610088" w:rsidRDefault="00BC49DC" w:rsidP="004C2636">
            <w:pPr>
              <w:pStyle w:val="NoSpacing"/>
              <w:rPr>
                <w:bCs/>
                <w:sz w:val="20"/>
                <w:szCs w:val="20"/>
                <w:lang w:val="en-GB"/>
              </w:rPr>
            </w:pPr>
          </w:p>
        </w:tc>
        <w:tc>
          <w:tcPr>
            <w:tcW w:w="450" w:type="pct"/>
          </w:tcPr>
          <w:p w14:paraId="2A87E3C3" w14:textId="77777777" w:rsidR="00BC49DC" w:rsidRPr="00610088" w:rsidRDefault="00BC49DC" w:rsidP="004C2636">
            <w:pPr>
              <w:pStyle w:val="NoSpacing"/>
              <w:rPr>
                <w:bCs/>
                <w:sz w:val="20"/>
                <w:szCs w:val="20"/>
                <w:lang w:val="en-GB"/>
              </w:rPr>
            </w:pPr>
          </w:p>
        </w:tc>
      </w:tr>
      <w:tr w:rsidR="00BC49DC" w:rsidRPr="00610088" w14:paraId="59AA2413" w14:textId="77777777" w:rsidTr="00A8191E">
        <w:trPr>
          <w:cantSplit/>
          <w:trHeight w:val="283"/>
        </w:trPr>
        <w:tc>
          <w:tcPr>
            <w:tcW w:w="563" w:type="pct"/>
            <w:vMerge/>
          </w:tcPr>
          <w:p w14:paraId="6F507ED7" w14:textId="77777777" w:rsidR="00BC49DC" w:rsidRPr="00610088" w:rsidRDefault="00BC49DC" w:rsidP="004C2636">
            <w:pPr>
              <w:rPr>
                <w:bCs/>
                <w:sz w:val="20"/>
                <w:szCs w:val="20"/>
                <w:lang w:val="en-GB"/>
              </w:rPr>
            </w:pPr>
          </w:p>
        </w:tc>
        <w:tc>
          <w:tcPr>
            <w:tcW w:w="3036" w:type="pct"/>
            <w:gridSpan w:val="2"/>
          </w:tcPr>
          <w:p w14:paraId="7E1EFCE1" w14:textId="6B9B0502" w:rsidR="00BC49DC" w:rsidRPr="00610088" w:rsidRDefault="00BC49DC" w:rsidP="004C2636">
            <w:pPr>
              <w:rPr>
                <w:b/>
                <w:bCs/>
                <w:sz w:val="20"/>
                <w:szCs w:val="20"/>
                <w:u w:val="single"/>
                <w:lang w:val="en-GB"/>
              </w:rPr>
            </w:pPr>
            <w:r w:rsidRPr="00610088">
              <w:rPr>
                <w:bCs/>
                <w:sz w:val="20"/>
                <w:szCs w:val="20"/>
                <w:lang w:val="en-GB"/>
              </w:rPr>
              <w:t xml:space="preserve">Support multi-sectoral task force on tobacco control </w:t>
            </w:r>
          </w:p>
        </w:tc>
        <w:tc>
          <w:tcPr>
            <w:tcW w:w="501" w:type="pct"/>
          </w:tcPr>
          <w:p w14:paraId="05D850D5" w14:textId="351C1E3B" w:rsidR="00BC49DC" w:rsidRPr="00610088" w:rsidRDefault="00BC49DC" w:rsidP="004C2636">
            <w:pPr>
              <w:pStyle w:val="NoSpacing"/>
              <w:rPr>
                <w:bCs/>
                <w:sz w:val="20"/>
                <w:szCs w:val="20"/>
                <w:lang w:val="en-GB"/>
              </w:rPr>
            </w:pPr>
            <w:r w:rsidRPr="00610088">
              <w:rPr>
                <w:bCs/>
                <w:sz w:val="20"/>
                <w:szCs w:val="20"/>
                <w:lang w:val="en-GB"/>
              </w:rPr>
              <w:t>x</w:t>
            </w:r>
          </w:p>
        </w:tc>
        <w:tc>
          <w:tcPr>
            <w:tcW w:w="450" w:type="pct"/>
          </w:tcPr>
          <w:p w14:paraId="56A1B00D" w14:textId="376EE8D6" w:rsidR="00BC49DC" w:rsidRPr="00610088" w:rsidRDefault="001A6AEF" w:rsidP="004C2636">
            <w:pPr>
              <w:pStyle w:val="NoSpacing"/>
              <w:rPr>
                <w:bCs/>
                <w:sz w:val="20"/>
                <w:szCs w:val="20"/>
                <w:lang w:val="en-GB"/>
              </w:rPr>
            </w:pPr>
            <w:r>
              <w:rPr>
                <w:bCs/>
                <w:sz w:val="20"/>
                <w:szCs w:val="20"/>
                <w:lang w:val="en-GB"/>
              </w:rPr>
              <w:t>x</w:t>
            </w:r>
          </w:p>
        </w:tc>
        <w:tc>
          <w:tcPr>
            <w:tcW w:w="450" w:type="pct"/>
          </w:tcPr>
          <w:p w14:paraId="13EBD72A" w14:textId="7EAF4A2C" w:rsidR="00BC49DC" w:rsidRPr="00610088" w:rsidRDefault="00BC49DC" w:rsidP="004C2636">
            <w:pPr>
              <w:pStyle w:val="NoSpacing"/>
              <w:rPr>
                <w:bCs/>
                <w:sz w:val="20"/>
                <w:szCs w:val="20"/>
                <w:lang w:val="en-GB"/>
              </w:rPr>
            </w:pPr>
            <w:r w:rsidRPr="00610088">
              <w:rPr>
                <w:bCs/>
                <w:sz w:val="20"/>
                <w:szCs w:val="20"/>
                <w:lang w:val="en-GB"/>
              </w:rPr>
              <w:t>x</w:t>
            </w:r>
          </w:p>
        </w:tc>
      </w:tr>
      <w:tr w:rsidR="00BC49DC" w:rsidRPr="00610088" w14:paraId="26B98D09" w14:textId="77777777" w:rsidTr="00A8191E">
        <w:trPr>
          <w:cantSplit/>
          <w:trHeight w:val="283"/>
        </w:trPr>
        <w:tc>
          <w:tcPr>
            <w:tcW w:w="563" w:type="pct"/>
            <w:vMerge/>
          </w:tcPr>
          <w:p w14:paraId="47C8FA41" w14:textId="77777777" w:rsidR="00BC49DC" w:rsidRPr="00610088" w:rsidRDefault="00BC49DC" w:rsidP="004C2636">
            <w:pPr>
              <w:rPr>
                <w:bCs/>
                <w:sz w:val="20"/>
                <w:szCs w:val="20"/>
                <w:lang w:val="en-GB"/>
              </w:rPr>
            </w:pPr>
          </w:p>
        </w:tc>
        <w:tc>
          <w:tcPr>
            <w:tcW w:w="636" w:type="pct"/>
            <w:vMerge w:val="restart"/>
            <w:vAlign w:val="center"/>
          </w:tcPr>
          <w:p w14:paraId="78A26C1B" w14:textId="22E837E5" w:rsidR="00BC49DC" w:rsidRPr="00610088" w:rsidRDefault="00BC49DC" w:rsidP="004C2636">
            <w:pPr>
              <w:jc w:val="center"/>
              <w:rPr>
                <w:bCs/>
                <w:sz w:val="20"/>
                <w:szCs w:val="20"/>
                <w:lang w:val="en-GB"/>
              </w:rPr>
            </w:pPr>
            <w:r w:rsidRPr="00610088">
              <w:rPr>
                <w:bCs/>
                <w:sz w:val="20"/>
                <w:szCs w:val="20"/>
                <w:lang w:val="en-GB"/>
              </w:rPr>
              <w:t xml:space="preserve">To </w:t>
            </w:r>
            <w:proofErr w:type="gramStart"/>
            <w:r w:rsidRPr="00610088">
              <w:rPr>
                <w:bCs/>
                <w:sz w:val="20"/>
                <w:szCs w:val="20"/>
                <w:lang w:val="en-GB"/>
              </w:rPr>
              <w:t>fast track</w:t>
            </w:r>
            <w:proofErr w:type="gramEnd"/>
            <w:r w:rsidRPr="00610088">
              <w:rPr>
                <w:bCs/>
                <w:sz w:val="20"/>
                <w:szCs w:val="20"/>
                <w:lang w:val="en-GB"/>
              </w:rPr>
              <w:t xml:space="preserve"> legislation and </w:t>
            </w:r>
            <w:r w:rsidRPr="00610088">
              <w:rPr>
                <w:bCs/>
                <w:sz w:val="20"/>
                <w:szCs w:val="20"/>
                <w:lang w:val="en-GB"/>
              </w:rPr>
              <w:lastRenderedPageBreak/>
              <w:t>regulations addressing tobacco use</w:t>
            </w:r>
          </w:p>
          <w:p w14:paraId="2EF84AB1" w14:textId="6CE6298E" w:rsidR="00BC49DC" w:rsidRPr="00610088" w:rsidRDefault="00BC49DC" w:rsidP="004C2636">
            <w:pPr>
              <w:pStyle w:val="ListParagraph"/>
              <w:ind w:left="1800"/>
              <w:jc w:val="center"/>
              <w:rPr>
                <w:bCs/>
                <w:sz w:val="20"/>
                <w:szCs w:val="20"/>
                <w:lang w:val="en-GB"/>
              </w:rPr>
            </w:pPr>
          </w:p>
        </w:tc>
        <w:tc>
          <w:tcPr>
            <w:tcW w:w="2400" w:type="pct"/>
          </w:tcPr>
          <w:p w14:paraId="656DBBDD" w14:textId="2BB49FC2" w:rsidR="00BC49DC" w:rsidRPr="00610088" w:rsidRDefault="00BC49DC" w:rsidP="004C2636">
            <w:pPr>
              <w:rPr>
                <w:bCs/>
                <w:sz w:val="20"/>
                <w:szCs w:val="20"/>
                <w:lang w:val="en-GB"/>
              </w:rPr>
            </w:pPr>
            <w:r w:rsidRPr="00610088">
              <w:rPr>
                <w:bCs/>
                <w:sz w:val="20"/>
                <w:szCs w:val="20"/>
                <w:lang w:val="en-GB"/>
              </w:rPr>
              <w:lastRenderedPageBreak/>
              <w:t xml:space="preserve">Support </w:t>
            </w:r>
            <w:r w:rsidR="009832F9" w:rsidRPr="00610088">
              <w:rPr>
                <w:bCs/>
                <w:sz w:val="20"/>
                <w:szCs w:val="20"/>
                <w:lang w:val="en-GB"/>
              </w:rPr>
              <w:t>legislation of tobacco control</w:t>
            </w:r>
          </w:p>
          <w:p w14:paraId="04357765" w14:textId="035123BE" w:rsidR="00BC49DC" w:rsidRPr="00610088" w:rsidRDefault="00BC49DC" w:rsidP="004C2636">
            <w:pPr>
              <w:rPr>
                <w:bCs/>
                <w:sz w:val="20"/>
                <w:szCs w:val="20"/>
                <w:lang w:val="en-GB"/>
              </w:rPr>
            </w:pPr>
          </w:p>
        </w:tc>
        <w:tc>
          <w:tcPr>
            <w:tcW w:w="501" w:type="pct"/>
          </w:tcPr>
          <w:p w14:paraId="123200C3" w14:textId="1F9F08CB" w:rsidR="00BC49DC" w:rsidRPr="00610088" w:rsidRDefault="00BC49DC" w:rsidP="004C2636">
            <w:pPr>
              <w:pStyle w:val="NoSpacing"/>
              <w:rPr>
                <w:bCs/>
                <w:sz w:val="20"/>
                <w:szCs w:val="20"/>
                <w:lang w:val="en-GB"/>
              </w:rPr>
            </w:pPr>
            <w:r w:rsidRPr="00610088">
              <w:rPr>
                <w:bCs/>
                <w:sz w:val="20"/>
                <w:szCs w:val="20"/>
                <w:lang w:val="en-GB"/>
              </w:rPr>
              <w:t>x</w:t>
            </w:r>
          </w:p>
        </w:tc>
        <w:tc>
          <w:tcPr>
            <w:tcW w:w="450" w:type="pct"/>
          </w:tcPr>
          <w:p w14:paraId="2353EC9E" w14:textId="22D2A266" w:rsidR="00BC49DC" w:rsidRPr="00610088" w:rsidRDefault="001A6AEF" w:rsidP="004C2636">
            <w:pPr>
              <w:pStyle w:val="NoSpacing"/>
              <w:rPr>
                <w:bCs/>
                <w:sz w:val="20"/>
                <w:szCs w:val="20"/>
                <w:lang w:val="en-GB"/>
              </w:rPr>
            </w:pPr>
            <w:r>
              <w:rPr>
                <w:bCs/>
                <w:sz w:val="20"/>
                <w:szCs w:val="20"/>
                <w:lang w:val="en-GB"/>
              </w:rPr>
              <w:t>x</w:t>
            </w:r>
          </w:p>
        </w:tc>
        <w:tc>
          <w:tcPr>
            <w:tcW w:w="450" w:type="pct"/>
          </w:tcPr>
          <w:p w14:paraId="65A93094" w14:textId="16977671" w:rsidR="00BC49DC" w:rsidRPr="00610088" w:rsidRDefault="00BC49DC" w:rsidP="004C2636">
            <w:pPr>
              <w:pStyle w:val="NoSpacing"/>
              <w:rPr>
                <w:bCs/>
                <w:sz w:val="20"/>
                <w:szCs w:val="20"/>
                <w:lang w:val="en-GB"/>
              </w:rPr>
            </w:pPr>
            <w:r w:rsidRPr="00610088">
              <w:rPr>
                <w:bCs/>
                <w:sz w:val="20"/>
                <w:szCs w:val="20"/>
                <w:lang w:val="en-GB"/>
              </w:rPr>
              <w:t>x</w:t>
            </w:r>
          </w:p>
        </w:tc>
      </w:tr>
      <w:tr w:rsidR="00BC49DC" w:rsidRPr="00610088" w14:paraId="2C25EA25" w14:textId="77777777" w:rsidTr="00A8191E">
        <w:trPr>
          <w:cantSplit/>
          <w:trHeight w:val="283"/>
        </w:trPr>
        <w:tc>
          <w:tcPr>
            <w:tcW w:w="563" w:type="pct"/>
            <w:vMerge/>
          </w:tcPr>
          <w:p w14:paraId="14602872" w14:textId="77777777" w:rsidR="00BC49DC" w:rsidRPr="00610088" w:rsidRDefault="00BC49DC" w:rsidP="004C2636">
            <w:pPr>
              <w:rPr>
                <w:bCs/>
                <w:lang w:val="en-GB"/>
              </w:rPr>
            </w:pPr>
          </w:p>
        </w:tc>
        <w:tc>
          <w:tcPr>
            <w:tcW w:w="636" w:type="pct"/>
            <w:vMerge/>
          </w:tcPr>
          <w:p w14:paraId="47FC68DE" w14:textId="77777777" w:rsidR="00BC49DC" w:rsidRPr="00610088" w:rsidRDefault="00BC49DC" w:rsidP="004C2636">
            <w:pPr>
              <w:ind w:left="720"/>
              <w:rPr>
                <w:bCs/>
                <w:u w:val="single"/>
                <w:lang w:val="en-GB"/>
              </w:rPr>
            </w:pPr>
          </w:p>
        </w:tc>
        <w:tc>
          <w:tcPr>
            <w:tcW w:w="2400" w:type="pct"/>
          </w:tcPr>
          <w:p w14:paraId="48B54DFC" w14:textId="6C77D83F" w:rsidR="00BC49DC" w:rsidRPr="00610088" w:rsidRDefault="00BC49DC" w:rsidP="004C2636">
            <w:pPr>
              <w:rPr>
                <w:bCs/>
                <w:lang w:val="en-GB"/>
              </w:rPr>
            </w:pPr>
            <w:r w:rsidRPr="00610088">
              <w:rPr>
                <w:bCs/>
                <w:lang w:val="en-GB"/>
              </w:rPr>
              <w:t xml:space="preserve">Advocate for inclusion in the tobacco bill and other legislation / regulations of the following: </w:t>
            </w:r>
          </w:p>
          <w:p w14:paraId="67B8853C" w14:textId="77777777" w:rsidR="009832F9" w:rsidRPr="00610088" w:rsidRDefault="009832F9" w:rsidP="00B82C13">
            <w:pPr>
              <w:pStyle w:val="ListParagraph"/>
              <w:numPr>
                <w:ilvl w:val="0"/>
                <w:numId w:val="7"/>
              </w:numPr>
              <w:rPr>
                <w:bCs/>
                <w:lang w:val="en-GB"/>
              </w:rPr>
            </w:pPr>
            <w:r w:rsidRPr="00610088">
              <w:rPr>
                <w:bCs/>
                <w:lang w:val="en-GB"/>
              </w:rPr>
              <w:t>Increase excise and other taxes on tobacco products and if possible, return of revenue to NCD prevention/control</w:t>
            </w:r>
          </w:p>
          <w:p w14:paraId="211B5116" w14:textId="77777777" w:rsidR="00BC49DC" w:rsidRPr="00610088" w:rsidRDefault="00BC49DC" w:rsidP="00B82C13">
            <w:pPr>
              <w:pStyle w:val="ListParagraph"/>
              <w:numPr>
                <w:ilvl w:val="0"/>
                <w:numId w:val="7"/>
              </w:numPr>
              <w:rPr>
                <w:bCs/>
                <w:lang w:val="en-GB"/>
              </w:rPr>
            </w:pPr>
            <w:r w:rsidRPr="00610088">
              <w:rPr>
                <w:bCs/>
                <w:lang w:val="en-GB"/>
              </w:rPr>
              <w:t>Plain/standardized packaging and/or large graphic health warnings on all tobacco packages</w:t>
            </w:r>
          </w:p>
          <w:p w14:paraId="30027982" w14:textId="77777777" w:rsidR="00BC49DC" w:rsidRPr="00610088" w:rsidRDefault="00BC49DC" w:rsidP="00B82C13">
            <w:pPr>
              <w:pStyle w:val="ListParagraph"/>
              <w:numPr>
                <w:ilvl w:val="0"/>
                <w:numId w:val="7"/>
              </w:numPr>
              <w:rPr>
                <w:bCs/>
                <w:lang w:val="en-GB"/>
              </w:rPr>
            </w:pPr>
            <w:r w:rsidRPr="00610088">
              <w:rPr>
                <w:bCs/>
                <w:lang w:val="en-GB"/>
              </w:rPr>
              <w:t>Comprehensive bans on tobacco advertising, promotion and sponsorship</w:t>
            </w:r>
          </w:p>
          <w:p w14:paraId="394FE31E" w14:textId="01BB8DB5" w:rsidR="009A1F7A" w:rsidRPr="00610088" w:rsidRDefault="00BC49DC" w:rsidP="002644BA">
            <w:pPr>
              <w:pStyle w:val="ListParagraph"/>
              <w:numPr>
                <w:ilvl w:val="0"/>
                <w:numId w:val="7"/>
              </w:numPr>
              <w:rPr>
                <w:bCs/>
                <w:lang w:val="en-GB"/>
              </w:rPr>
            </w:pPr>
            <w:r w:rsidRPr="00610088">
              <w:rPr>
                <w:bCs/>
                <w:lang w:val="en-GB"/>
              </w:rPr>
              <w:t>Elimination of exposure to second-hand tobacco smoke in all workplaces, public places, public transport</w:t>
            </w:r>
          </w:p>
        </w:tc>
        <w:tc>
          <w:tcPr>
            <w:tcW w:w="501" w:type="pct"/>
          </w:tcPr>
          <w:p w14:paraId="48C8C0E7" w14:textId="233CB144" w:rsidR="00BC49DC" w:rsidRPr="00610088" w:rsidRDefault="00BC49DC" w:rsidP="004C2636">
            <w:pPr>
              <w:pStyle w:val="NoSpacing"/>
              <w:rPr>
                <w:bCs/>
                <w:lang w:val="en-GB"/>
              </w:rPr>
            </w:pPr>
            <w:r w:rsidRPr="00610088">
              <w:rPr>
                <w:bCs/>
                <w:lang w:val="en-GB"/>
              </w:rPr>
              <w:t>x</w:t>
            </w:r>
          </w:p>
        </w:tc>
        <w:tc>
          <w:tcPr>
            <w:tcW w:w="450" w:type="pct"/>
          </w:tcPr>
          <w:p w14:paraId="589D30F0" w14:textId="580453A6" w:rsidR="00BC49DC" w:rsidRPr="00610088" w:rsidRDefault="001A6AEF" w:rsidP="004C2636">
            <w:pPr>
              <w:pStyle w:val="NoSpacing"/>
              <w:rPr>
                <w:bCs/>
                <w:lang w:val="en-GB"/>
              </w:rPr>
            </w:pPr>
            <w:r>
              <w:rPr>
                <w:bCs/>
                <w:lang w:val="en-GB"/>
              </w:rPr>
              <w:t>x</w:t>
            </w:r>
          </w:p>
        </w:tc>
        <w:tc>
          <w:tcPr>
            <w:tcW w:w="450" w:type="pct"/>
          </w:tcPr>
          <w:p w14:paraId="216B4AEB" w14:textId="61FD92F5" w:rsidR="00BC49DC" w:rsidRPr="00610088" w:rsidRDefault="00BC49DC" w:rsidP="004C2636">
            <w:pPr>
              <w:pStyle w:val="NoSpacing"/>
              <w:rPr>
                <w:bCs/>
                <w:lang w:val="en-GB"/>
              </w:rPr>
            </w:pPr>
            <w:r w:rsidRPr="00610088">
              <w:rPr>
                <w:bCs/>
                <w:lang w:val="en-GB"/>
              </w:rPr>
              <w:t>x</w:t>
            </w:r>
          </w:p>
        </w:tc>
      </w:tr>
      <w:tr w:rsidR="00BC49DC" w:rsidRPr="00610088" w14:paraId="4D8F2BB2" w14:textId="77777777" w:rsidTr="00A8191E">
        <w:trPr>
          <w:cantSplit/>
          <w:trHeight w:val="283"/>
        </w:trPr>
        <w:tc>
          <w:tcPr>
            <w:tcW w:w="563" w:type="pct"/>
            <w:vMerge/>
          </w:tcPr>
          <w:p w14:paraId="4FB0B970" w14:textId="77777777" w:rsidR="00BC49DC" w:rsidRPr="00610088" w:rsidRDefault="00BC49DC" w:rsidP="004C2636">
            <w:pPr>
              <w:rPr>
                <w:bCs/>
                <w:lang w:val="en-GB"/>
              </w:rPr>
            </w:pPr>
          </w:p>
        </w:tc>
        <w:tc>
          <w:tcPr>
            <w:tcW w:w="3036" w:type="pct"/>
            <w:gridSpan w:val="2"/>
          </w:tcPr>
          <w:p w14:paraId="116D871F" w14:textId="77777777" w:rsidR="00BC49DC" w:rsidRPr="00610088" w:rsidRDefault="00BC49DC" w:rsidP="004C2636">
            <w:pPr>
              <w:rPr>
                <w:bCs/>
                <w:sz w:val="20"/>
                <w:szCs w:val="20"/>
                <w:lang w:val="en-GB"/>
              </w:rPr>
            </w:pPr>
            <w:r w:rsidRPr="00610088">
              <w:rPr>
                <w:bCs/>
                <w:sz w:val="20"/>
                <w:szCs w:val="20"/>
                <w:lang w:val="en-GB"/>
              </w:rPr>
              <w:t xml:space="preserve">Advocate for inclusion in legislation / regulations of the following: </w:t>
            </w:r>
          </w:p>
          <w:p w14:paraId="31E5592C" w14:textId="2AA0CABB" w:rsidR="00BC49DC" w:rsidRPr="00610088" w:rsidRDefault="00BC49DC" w:rsidP="00B82C13">
            <w:pPr>
              <w:pStyle w:val="ListParagraph"/>
              <w:numPr>
                <w:ilvl w:val="0"/>
                <w:numId w:val="8"/>
              </w:numPr>
              <w:rPr>
                <w:sz w:val="20"/>
                <w:szCs w:val="20"/>
                <w:lang w:val="en-GB"/>
              </w:rPr>
            </w:pPr>
            <w:r w:rsidRPr="00610088">
              <w:rPr>
                <w:sz w:val="20"/>
                <w:szCs w:val="20"/>
                <w:lang w:val="en-GB"/>
              </w:rPr>
              <w:t xml:space="preserve">Measures to minimize illicit trade in tobacco products </w:t>
            </w:r>
          </w:p>
          <w:p w14:paraId="6DB9F708" w14:textId="469ACD91" w:rsidR="00BC49DC" w:rsidRPr="00610088" w:rsidRDefault="00BC49DC" w:rsidP="00B82C13">
            <w:pPr>
              <w:pStyle w:val="ListParagraph"/>
              <w:numPr>
                <w:ilvl w:val="0"/>
                <w:numId w:val="8"/>
              </w:numPr>
              <w:rPr>
                <w:bCs/>
                <w:sz w:val="20"/>
                <w:szCs w:val="20"/>
                <w:lang w:val="en-GB"/>
              </w:rPr>
            </w:pPr>
            <w:r w:rsidRPr="00610088">
              <w:rPr>
                <w:sz w:val="20"/>
                <w:szCs w:val="20"/>
                <w:lang w:val="en-GB"/>
              </w:rPr>
              <w:t>Ban cross-border advertising, including using modern means of communication</w:t>
            </w:r>
          </w:p>
        </w:tc>
        <w:tc>
          <w:tcPr>
            <w:tcW w:w="501" w:type="pct"/>
          </w:tcPr>
          <w:p w14:paraId="1246CCC5" w14:textId="77777777" w:rsidR="00BC49DC" w:rsidRPr="00610088" w:rsidRDefault="00BC49DC" w:rsidP="004C2636">
            <w:pPr>
              <w:pStyle w:val="NoSpacing"/>
              <w:rPr>
                <w:bCs/>
                <w:sz w:val="20"/>
                <w:szCs w:val="20"/>
                <w:lang w:val="en-GB"/>
              </w:rPr>
            </w:pPr>
          </w:p>
        </w:tc>
        <w:tc>
          <w:tcPr>
            <w:tcW w:w="450" w:type="pct"/>
          </w:tcPr>
          <w:p w14:paraId="412A538B" w14:textId="77777777" w:rsidR="00BC49DC" w:rsidRPr="00610088" w:rsidRDefault="00BC49DC" w:rsidP="004C2636">
            <w:pPr>
              <w:pStyle w:val="NoSpacing"/>
              <w:rPr>
                <w:bCs/>
                <w:sz w:val="20"/>
                <w:szCs w:val="20"/>
                <w:lang w:val="en-GB"/>
              </w:rPr>
            </w:pPr>
          </w:p>
        </w:tc>
        <w:tc>
          <w:tcPr>
            <w:tcW w:w="450" w:type="pct"/>
          </w:tcPr>
          <w:p w14:paraId="0FD3DB42" w14:textId="758E2BAA" w:rsidR="00BC49DC" w:rsidRPr="00610088" w:rsidRDefault="00BC49DC" w:rsidP="004C2636">
            <w:pPr>
              <w:pStyle w:val="NoSpacing"/>
              <w:rPr>
                <w:bCs/>
                <w:sz w:val="20"/>
                <w:szCs w:val="20"/>
                <w:lang w:val="en-GB"/>
              </w:rPr>
            </w:pPr>
            <w:r w:rsidRPr="00610088">
              <w:rPr>
                <w:bCs/>
                <w:sz w:val="20"/>
                <w:szCs w:val="20"/>
                <w:lang w:val="en-GB"/>
              </w:rPr>
              <w:t>x</w:t>
            </w:r>
          </w:p>
        </w:tc>
      </w:tr>
      <w:tr w:rsidR="00BC49DC" w:rsidRPr="00610088" w14:paraId="5CABA2C0" w14:textId="77777777" w:rsidTr="00A8191E">
        <w:trPr>
          <w:cantSplit/>
          <w:trHeight w:val="283"/>
        </w:trPr>
        <w:tc>
          <w:tcPr>
            <w:tcW w:w="563" w:type="pct"/>
            <w:vMerge/>
          </w:tcPr>
          <w:p w14:paraId="75B20F23" w14:textId="77777777" w:rsidR="00BC49DC" w:rsidRPr="00610088" w:rsidRDefault="00BC49DC" w:rsidP="004C2636">
            <w:pPr>
              <w:rPr>
                <w:bCs/>
                <w:lang w:val="en-GB"/>
              </w:rPr>
            </w:pPr>
          </w:p>
        </w:tc>
        <w:tc>
          <w:tcPr>
            <w:tcW w:w="3036" w:type="pct"/>
            <w:gridSpan w:val="2"/>
          </w:tcPr>
          <w:p w14:paraId="33FC80AB" w14:textId="2DCA26F6" w:rsidR="00BC49DC" w:rsidRPr="00610088" w:rsidRDefault="00BC49DC" w:rsidP="004C2636">
            <w:pPr>
              <w:rPr>
                <w:bCs/>
                <w:sz w:val="20"/>
                <w:szCs w:val="20"/>
                <w:lang w:val="en-GB"/>
              </w:rPr>
            </w:pPr>
            <w:r w:rsidRPr="00610088">
              <w:rPr>
                <w:sz w:val="20"/>
                <w:szCs w:val="20"/>
                <w:lang w:val="en-GB"/>
              </w:rPr>
              <w:t>Monitor</w:t>
            </w:r>
            <w:r w:rsidR="00BF6339" w:rsidRPr="00610088">
              <w:rPr>
                <w:sz w:val="20"/>
                <w:szCs w:val="20"/>
                <w:lang w:val="en-GB"/>
              </w:rPr>
              <w:t xml:space="preserve"> </w:t>
            </w:r>
            <w:r w:rsidRPr="00610088">
              <w:rPr>
                <w:sz w:val="20"/>
                <w:szCs w:val="20"/>
                <w:lang w:val="en-GB"/>
              </w:rPr>
              <w:t>implementation of the legislation and regulations</w:t>
            </w:r>
            <w:r w:rsidR="009A1F7A" w:rsidRPr="00610088">
              <w:rPr>
                <w:sz w:val="20"/>
                <w:szCs w:val="20"/>
                <w:lang w:val="en-GB"/>
              </w:rPr>
              <w:t xml:space="preserve"> (DNCD&amp;MH with the tobacco taskforce)</w:t>
            </w:r>
          </w:p>
        </w:tc>
        <w:tc>
          <w:tcPr>
            <w:tcW w:w="501" w:type="pct"/>
          </w:tcPr>
          <w:p w14:paraId="78E0FBFB" w14:textId="1B6212EA" w:rsidR="00BC49DC" w:rsidRPr="00610088" w:rsidRDefault="00BC49DC" w:rsidP="004C2636">
            <w:pPr>
              <w:pStyle w:val="NoSpacing"/>
              <w:rPr>
                <w:bCs/>
                <w:sz w:val="20"/>
                <w:szCs w:val="20"/>
                <w:lang w:val="en-GB"/>
              </w:rPr>
            </w:pPr>
            <w:r w:rsidRPr="00610088">
              <w:rPr>
                <w:bCs/>
                <w:sz w:val="20"/>
                <w:szCs w:val="20"/>
                <w:lang w:val="en-GB"/>
              </w:rPr>
              <w:t>x</w:t>
            </w:r>
          </w:p>
        </w:tc>
        <w:tc>
          <w:tcPr>
            <w:tcW w:w="450" w:type="pct"/>
          </w:tcPr>
          <w:p w14:paraId="6A2FC08C" w14:textId="1C7C4B0A" w:rsidR="00BC49DC" w:rsidRPr="00610088" w:rsidRDefault="00BC49DC" w:rsidP="004C2636">
            <w:pPr>
              <w:pStyle w:val="NoSpacing"/>
              <w:rPr>
                <w:bCs/>
                <w:sz w:val="20"/>
                <w:szCs w:val="20"/>
                <w:lang w:val="en-GB"/>
              </w:rPr>
            </w:pPr>
            <w:r w:rsidRPr="00610088">
              <w:rPr>
                <w:bCs/>
                <w:sz w:val="20"/>
                <w:szCs w:val="20"/>
                <w:lang w:val="en-GB"/>
              </w:rPr>
              <w:t>x</w:t>
            </w:r>
          </w:p>
        </w:tc>
        <w:tc>
          <w:tcPr>
            <w:tcW w:w="450" w:type="pct"/>
          </w:tcPr>
          <w:p w14:paraId="44FA9825" w14:textId="675782AA" w:rsidR="00BC49DC" w:rsidRPr="00610088" w:rsidRDefault="00BC49DC" w:rsidP="004C2636">
            <w:pPr>
              <w:pStyle w:val="NoSpacing"/>
              <w:rPr>
                <w:bCs/>
                <w:sz w:val="20"/>
                <w:szCs w:val="20"/>
                <w:lang w:val="en-GB"/>
              </w:rPr>
            </w:pPr>
            <w:r w:rsidRPr="00610088">
              <w:rPr>
                <w:bCs/>
                <w:sz w:val="20"/>
                <w:szCs w:val="20"/>
                <w:lang w:val="en-GB"/>
              </w:rPr>
              <w:t>x</w:t>
            </w:r>
          </w:p>
        </w:tc>
      </w:tr>
      <w:tr w:rsidR="004C2636" w:rsidRPr="00610088" w14:paraId="707EB5BD" w14:textId="54A59D06" w:rsidTr="00A8191E">
        <w:tc>
          <w:tcPr>
            <w:tcW w:w="563" w:type="pct"/>
            <w:vMerge w:val="restart"/>
          </w:tcPr>
          <w:p w14:paraId="42D0AF00" w14:textId="13CA34E9" w:rsidR="004C2636" w:rsidRPr="00610088" w:rsidRDefault="004C2636" w:rsidP="004C2636">
            <w:pPr>
              <w:autoSpaceDE w:val="0"/>
              <w:autoSpaceDN w:val="0"/>
              <w:adjustRightInd w:val="0"/>
              <w:rPr>
                <w:bCs/>
                <w:lang w:val="en-GB"/>
              </w:rPr>
            </w:pPr>
          </w:p>
        </w:tc>
        <w:tc>
          <w:tcPr>
            <w:tcW w:w="3036" w:type="pct"/>
            <w:gridSpan w:val="2"/>
          </w:tcPr>
          <w:p w14:paraId="5AD67621" w14:textId="07240CDA" w:rsidR="004C2636" w:rsidRPr="00610088" w:rsidRDefault="004C2636" w:rsidP="004C2636">
            <w:pPr>
              <w:rPr>
                <w:b/>
                <w:bCs/>
                <w:sz w:val="20"/>
                <w:szCs w:val="20"/>
                <w:u w:val="single"/>
                <w:lang w:val="en-GB"/>
              </w:rPr>
            </w:pPr>
            <w:r w:rsidRPr="00610088">
              <w:rPr>
                <w:b/>
                <w:bCs/>
                <w:sz w:val="20"/>
                <w:szCs w:val="20"/>
                <w:u w:val="single"/>
                <w:lang w:val="en-GB"/>
              </w:rPr>
              <w:t>ALCOHOL</w:t>
            </w:r>
          </w:p>
        </w:tc>
        <w:tc>
          <w:tcPr>
            <w:tcW w:w="501" w:type="pct"/>
          </w:tcPr>
          <w:p w14:paraId="21663FD7" w14:textId="77777777" w:rsidR="004C2636" w:rsidRPr="00610088" w:rsidRDefault="004C2636" w:rsidP="004C2636">
            <w:pPr>
              <w:rPr>
                <w:b/>
                <w:bCs/>
                <w:sz w:val="20"/>
                <w:szCs w:val="20"/>
                <w:u w:val="single"/>
                <w:lang w:val="en-GB"/>
              </w:rPr>
            </w:pPr>
          </w:p>
        </w:tc>
        <w:tc>
          <w:tcPr>
            <w:tcW w:w="450" w:type="pct"/>
          </w:tcPr>
          <w:p w14:paraId="3ABDBF09" w14:textId="77777777" w:rsidR="004C2636" w:rsidRPr="00610088" w:rsidRDefault="004C2636" w:rsidP="004C2636">
            <w:pPr>
              <w:rPr>
                <w:b/>
                <w:bCs/>
                <w:sz w:val="20"/>
                <w:szCs w:val="20"/>
                <w:u w:val="single"/>
                <w:lang w:val="en-GB"/>
              </w:rPr>
            </w:pPr>
          </w:p>
        </w:tc>
        <w:tc>
          <w:tcPr>
            <w:tcW w:w="450" w:type="pct"/>
          </w:tcPr>
          <w:p w14:paraId="7085E437" w14:textId="77777777" w:rsidR="004C2636" w:rsidRPr="00610088" w:rsidRDefault="004C2636" w:rsidP="004C2636">
            <w:pPr>
              <w:rPr>
                <w:b/>
                <w:bCs/>
                <w:sz w:val="20"/>
                <w:szCs w:val="20"/>
                <w:u w:val="single"/>
                <w:lang w:val="en-GB"/>
              </w:rPr>
            </w:pPr>
          </w:p>
        </w:tc>
      </w:tr>
      <w:tr w:rsidR="004C2636" w:rsidRPr="00610088" w14:paraId="5EDB9587" w14:textId="77777777" w:rsidTr="00A8191E">
        <w:tc>
          <w:tcPr>
            <w:tcW w:w="563" w:type="pct"/>
            <w:vMerge/>
          </w:tcPr>
          <w:p w14:paraId="6181C44C" w14:textId="77777777" w:rsidR="004C2636" w:rsidRPr="00610088" w:rsidRDefault="004C2636" w:rsidP="004C2636">
            <w:pPr>
              <w:autoSpaceDE w:val="0"/>
              <w:autoSpaceDN w:val="0"/>
              <w:adjustRightInd w:val="0"/>
              <w:rPr>
                <w:bCs/>
                <w:lang w:val="en-GB"/>
              </w:rPr>
            </w:pPr>
          </w:p>
        </w:tc>
        <w:tc>
          <w:tcPr>
            <w:tcW w:w="3036" w:type="pct"/>
            <w:gridSpan w:val="2"/>
          </w:tcPr>
          <w:p w14:paraId="5C9D36ED" w14:textId="7880D872" w:rsidR="004C2636" w:rsidRPr="00610088" w:rsidRDefault="004C2636" w:rsidP="004C2636">
            <w:pPr>
              <w:rPr>
                <w:bCs/>
                <w:sz w:val="20"/>
                <w:szCs w:val="20"/>
                <w:lang w:val="en-GB"/>
              </w:rPr>
            </w:pPr>
            <w:r w:rsidRPr="00610088">
              <w:rPr>
                <w:bCs/>
                <w:sz w:val="20"/>
                <w:szCs w:val="20"/>
                <w:lang w:val="en-GB"/>
              </w:rPr>
              <w:t>Support multi-sectoral task force on alcohol control to:</w:t>
            </w:r>
          </w:p>
          <w:p w14:paraId="12C9A0AD" w14:textId="3DF79FF4" w:rsidR="00702C96" w:rsidRPr="00610088" w:rsidRDefault="00702C96" w:rsidP="00B82C13">
            <w:pPr>
              <w:pStyle w:val="ListParagraph"/>
              <w:numPr>
                <w:ilvl w:val="0"/>
                <w:numId w:val="10"/>
              </w:numPr>
              <w:rPr>
                <w:sz w:val="20"/>
                <w:szCs w:val="20"/>
                <w:lang w:val="en-GB"/>
              </w:rPr>
            </w:pPr>
            <w:r w:rsidRPr="00610088">
              <w:rPr>
                <w:sz w:val="20"/>
                <w:szCs w:val="20"/>
                <w:lang w:val="en-GB"/>
              </w:rPr>
              <w:t>Meet quarterly</w:t>
            </w:r>
          </w:p>
          <w:p w14:paraId="3C9BEEBB" w14:textId="17A79346" w:rsidR="004C2636" w:rsidRPr="00610088" w:rsidRDefault="004C2636" w:rsidP="00B82C13">
            <w:pPr>
              <w:pStyle w:val="ListParagraph"/>
              <w:numPr>
                <w:ilvl w:val="0"/>
                <w:numId w:val="10"/>
              </w:numPr>
              <w:rPr>
                <w:sz w:val="20"/>
                <w:szCs w:val="20"/>
                <w:lang w:val="en-GB"/>
              </w:rPr>
            </w:pPr>
            <w:r w:rsidRPr="00610088">
              <w:rPr>
                <w:sz w:val="20"/>
                <w:szCs w:val="20"/>
                <w:lang w:val="en-GB"/>
              </w:rPr>
              <w:t>Implement WHO global strategy to reduce harmful use of alcohol through multisectoral actions in the recommended target areas</w:t>
            </w:r>
          </w:p>
          <w:p w14:paraId="77494B22" w14:textId="77777777" w:rsidR="004C2636" w:rsidRPr="00610088" w:rsidRDefault="004C2636" w:rsidP="00B82C13">
            <w:pPr>
              <w:pStyle w:val="ListParagraph"/>
              <w:numPr>
                <w:ilvl w:val="0"/>
                <w:numId w:val="10"/>
              </w:numPr>
              <w:rPr>
                <w:sz w:val="20"/>
                <w:szCs w:val="20"/>
                <w:lang w:val="en-GB"/>
              </w:rPr>
            </w:pPr>
            <w:r w:rsidRPr="00610088">
              <w:rPr>
                <w:sz w:val="20"/>
                <w:szCs w:val="20"/>
                <w:lang w:val="en-GB"/>
              </w:rPr>
              <w:t>Strengthen leadership and increase commitment and capacity to address the harmful use of alcohol</w:t>
            </w:r>
          </w:p>
          <w:p w14:paraId="4A548CA6" w14:textId="4703C4A8" w:rsidR="004C2636" w:rsidRPr="00610088" w:rsidRDefault="004C2636" w:rsidP="00B82C13">
            <w:pPr>
              <w:pStyle w:val="ListParagraph"/>
              <w:numPr>
                <w:ilvl w:val="0"/>
                <w:numId w:val="10"/>
              </w:numPr>
              <w:rPr>
                <w:sz w:val="20"/>
                <w:szCs w:val="20"/>
                <w:lang w:val="en-GB"/>
              </w:rPr>
            </w:pPr>
            <w:r w:rsidRPr="00610088">
              <w:rPr>
                <w:sz w:val="20"/>
                <w:szCs w:val="20"/>
                <w:lang w:val="en-GB"/>
              </w:rPr>
              <w:t xml:space="preserve">Carry out regular reviews of alcohol prices in relation to level of inflation and income </w:t>
            </w:r>
            <w:r w:rsidR="009832F9" w:rsidRPr="00610088">
              <w:rPr>
                <w:sz w:val="20"/>
                <w:szCs w:val="20"/>
                <w:lang w:val="en-GB"/>
              </w:rPr>
              <w:t>and tax appropriately</w:t>
            </w:r>
          </w:p>
        </w:tc>
        <w:tc>
          <w:tcPr>
            <w:tcW w:w="501" w:type="pct"/>
          </w:tcPr>
          <w:p w14:paraId="28A48B81" w14:textId="01FC8933" w:rsidR="004C2636" w:rsidRPr="00610088" w:rsidRDefault="004C2636" w:rsidP="004C2636">
            <w:pPr>
              <w:rPr>
                <w:bCs/>
                <w:sz w:val="20"/>
                <w:szCs w:val="20"/>
                <w:lang w:val="en-GB"/>
              </w:rPr>
            </w:pPr>
            <w:r w:rsidRPr="00610088">
              <w:rPr>
                <w:bCs/>
                <w:sz w:val="20"/>
                <w:szCs w:val="20"/>
                <w:lang w:val="en-GB"/>
              </w:rPr>
              <w:t>x</w:t>
            </w:r>
          </w:p>
        </w:tc>
        <w:tc>
          <w:tcPr>
            <w:tcW w:w="450" w:type="pct"/>
          </w:tcPr>
          <w:p w14:paraId="4B88AD7A" w14:textId="50281FB3" w:rsidR="004C2636" w:rsidRPr="00610088" w:rsidRDefault="004C2636" w:rsidP="004C2636">
            <w:pPr>
              <w:rPr>
                <w:bCs/>
                <w:sz w:val="20"/>
                <w:szCs w:val="20"/>
                <w:lang w:val="en-GB"/>
              </w:rPr>
            </w:pPr>
            <w:r w:rsidRPr="00610088">
              <w:rPr>
                <w:bCs/>
                <w:sz w:val="20"/>
                <w:szCs w:val="20"/>
                <w:lang w:val="en-GB"/>
              </w:rPr>
              <w:t>x</w:t>
            </w:r>
          </w:p>
        </w:tc>
        <w:tc>
          <w:tcPr>
            <w:tcW w:w="450" w:type="pct"/>
          </w:tcPr>
          <w:p w14:paraId="55740473" w14:textId="2E54FC62" w:rsidR="004C2636" w:rsidRPr="00610088" w:rsidRDefault="004C2636" w:rsidP="004C2636">
            <w:pPr>
              <w:rPr>
                <w:bCs/>
                <w:sz w:val="20"/>
                <w:szCs w:val="20"/>
                <w:lang w:val="en-GB"/>
              </w:rPr>
            </w:pPr>
            <w:r w:rsidRPr="00610088">
              <w:rPr>
                <w:bCs/>
                <w:sz w:val="20"/>
                <w:szCs w:val="20"/>
                <w:lang w:val="en-GB"/>
              </w:rPr>
              <w:t>x</w:t>
            </w:r>
          </w:p>
        </w:tc>
      </w:tr>
      <w:tr w:rsidR="004C2636" w:rsidRPr="00610088" w14:paraId="2EA0C670" w14:textId="77777777" w:rsidTr="00A8191E">
        <w:tc>
          <w:tcPr>
            <w:tcW w:w="563" w:type="pct"/>
            <w:vMerge/>
          </w:tcPr>
          <w:p w14:paraId="6319BF00" w14:textId="77777777" w:rsidR="004C2636" w:rsidRPr="00610088" w:rsidRDefault="004C2636" w:rsidP="004C2636">
            <w:pPr>
              <w:autoSpaceDE w:val="0"/>
              <w:autoSpaceDN w:val="0"/>
              <w:adjustRightInd w:val="0"/>
              <w:rPr>
                <w:bCs/>
                <w:lang w:val="en-GB"/>
              </w:rPr>
            </w:pPr>
          </w:p>
        </w:tc>
        <w:tc>
          <w:tcPr>
            <w:tcW w:w="3036" w:type="pct"/>
            <w:gridSpan w:val="2"/>
          </w:tcPr>
          <w:p w14:paraId="65DA7A4E" w14:textId="77777777" w:rsidR="00877364" w:rsidRPr="00610088" w:rsidRDefault="00877364" w:rsidP="00877364">
            <w:pPr>
              <w:rPr>
                <w:color w:val="000000" w:themeColor="text1"/>
                <w:lang w:val="en-GB"/>
              </w:rPr>
            </w:pPr>
            <w:r w:rsidRPr="00610088">
              <w:rPr>
                <w:color w:val="000000" w:themeColor="text1"/>
                <w:lang w:val="en-GB"/>
              </w:rPr>
              <w:t xml:space="preserve">Advocate for and contribute to the </w:t>
            </w:r>
            <w:r w:rsidRPr="00610088">
              <w:rPr>
                <w:rFonts w:eastAsia="Times New Roman"/>
                <w:iCs/>
                <w:color w:val="000000" w:themeColor="text1"/>
                <w:szCs w:val="20"/>
                <w:lang w:val="en-GB"/>
              </w:rPr>
              <w:t xml:space="preserve">repeal of the </w:t>
            </w:r>
            <w:proofErr w:type="spellStart"/>
            <w:r w:rsidRPr="00610088">
              <w:rPr>
                <w:rFonts w:eastAsia="Times New Roman"/>
                <w:iCs/>
                <w:color w:val="000000" w:themeColor="text1"/>
                <w:szCs w:val="20"/>
                <w:lang w:val="en-GB"/>
              </w:rPr>
              <w:t>Liqour</w:t>
            </w:r>
            <w:proofErr w:type="spellEnd"/>
            <w:r w:rsidRPr="00610088">
              <w:rPr>
                <w:rFonts w:eastAsia="Times New Roman"/>
                <w:iCs/>
                <w:color w:val="000000" w:themeColor="text1"/>
                <w:szCs w:val="20"/>
                <w:lang w:val="en-GB"/>
              </w:rPr>
              <w:t xml:space="preserve"> Licensing (1960), </w:t>
            </w:r>
            <w:proofErr w:type="spellStart"/>
            <w:r w:rsidRPr="00610088">
              <w:rPr>
                <w:rFonts w:eastAsia="Times New Roman"/>
                <w:iCs/>
                <w:color w:val="000000" w:themeColor="text1"/>
                <w:szCs w:val="20"/>
                <w:lang w:val="en-GB"/>
              </w:rPr>
              <w:t>Liqour</w:t>
            </w:r>
            <w:proofErr w:type="spellEnd"/>
            <w:r w:rsidRPr="00610088">
              <w:rPr>
                <w:rFonts w:eastAsia="Times New Roman"/>
                <w:iCs/>
                <w:color w:val="000000" w:themeColor="text1"/>
                <w:szCs w:val="20"/>
                <w:lang w:val="en-GB"/>
              </w:rPr>
              <w:t xml:space="preserve"> (1924) and Palm Wine Acts (1927) and</w:t>
            </w:r>
            <w:r w:rsidRPr="00610088">
              <w:rPr>
                <w:rFonts w:eastAsia="Times New Roman"/>
                <w:i/>
                <w:iCs/>
                <w:color w:val="000000" w:themeColor="text1"/>
                <w:szCs w:val="20"/>
                <w:lang w:val="en-GB"/>
              </w:rPr>
              <w:t xml:space="preserve"> </w:t>
            </w:r>
            <w:r w:rsidRPr="00610088">
              <w:rPr>
                <w:color w:val="000000" w:themeColor="text1"/>
                <w:lang w:val="en-GB"/>
              </w:rPr>
              <w:t>inclusion in new legislation and regulations of the following:</w:t>
            </w:r>
          </w:p>
          <w:p w14:paraId="71803D6A" w14:textId="77777777" w:rsidR="004C2636" w:rsidRPr="00610088" w:rsidRDefault="004C2636" w:rsidP="00B82C13">
            <w:pPr>
              <w:pStyle w:val="ListParagraph"/>
              <w:numPr>
                <w:ilvl w:val="0"/>
                <w:numId w:val="9"/>
              </w:numPr>
              <w:rPr>
                <w:sz w:val="20"/>
                <w:szCs w:val="20"/>
                <w:lang w:val="en-GB"/>
              </w:rPr>
            </w:pPr>
            <w:r w:rsidRPr="00610088">
              <w:rPr>
                <w:sz w:val="20"/>
                <w:szCs w:val="20"/>
                <w:lang w:val="en-GB"/>
              </w:rPr>
              <w:t>Increase of alcohol tax and if possible, return of revenue to NCD prevention/control</w:t>
            </w:r>
          </w:p>
          <w:p w14:paraId="4E17F191" w14:textId="593D0442" w:rsidR="004C2636" w:rsidRPr="00610088" w:rsidRDefault="004C2636" w:rsidP="00B82C13">
            <w:pPr>
              <w:pStyle w:val="ListParagraph"/>
              <w:numPr>
                <w:ilvl w:val="0"/>
                <w:numId w:val="9"/>
              </w:numPr>
              <w:rPr>
                <w:sz w:val="20"/>
                <w:szCs w:val="20"/>
                <w:lang w:val="en-GB"/>
              </w:rPr>
            </w:pPr>
            <w:r w:rsidRPr="00610088">
              <w:rPr>
                <w:bCs/>
                <w:sz w:val="20"/>
                <w:szCs w:val="20"/>
                <w:lang w:val="en-GB"/>
              </w:rPr>
              <w:t>Bans or comprehensive restrictions</w:t>
            </w:r>
            <w:r w:rsidRPr="00610088">
              <w:rPr>
                <w:bCs/>
                <w:color w:val="7030A0"/>
                <w:sz w:val="20"/>
                <w:szCs w:val="20"/>
                <w:lang w:val="en-GB"/>
              </w:rPr>
              <w:t xml:space="preserve"> </w:t>
            </w:r>
            <w:r w:rsidRPr="00610088">
              <w:rPr>
                <w:bCs/>
                <w:sz w:val="20"/>
                <w:szCs w:val="20"/>
                <w:lang w:val="en-GB"/>
              </w:rPr>
              <w:t>on exposure to alcohol advertising (across multiple types of media)</w:t>
            </w:r>
            <w:r w:rsidR="00877364" w:rsidRPr="00610088">
              <w:rPr>
                <w:bCs/>
                <w:sz w:val="20"/>
                <w:szCs w:val="20"/>
                <w:lang w:val="en-GB"/>
              </w:rPr>
              <w:t xml:space="preserve"> including review of Media Code of Conduct</w:t>
            </w:r>
          </w:p>
          <w:p w14:paraId="51027983" w14:textId="607B23A2" w:rsidR="009832F9" w:rsidRPr="00610088" w:rsidRDefault="009832F9" w:rsidP="00B82C13">
            <w:pPr>
              <w:pStyle w:val="ListParagraph"/>
              <w:numPr>
                <w:ilvl w:val="0"/>
                <w:numId w:val="9"/>
              </w:numPr>
              <w:rPr>
                <w:sz w:val="20"/>
                <w:szCs w:val="20"/>
                <w:lang w:val="en-GB"/>
              </w:rPr>
            </w:pPr>
            <w:r w:rsidRPr="00610088">
              <w:rPr>
                <w:bCs/>
                <w:sz w:val="20"/>
                <w:szCs w:val="20"/>
                <w:lang w:val="en-GB"/>
              </w:rPr>
              <w:t xml:space="preserve">Restrictions on the physical availability of retailed alcohol (via reduced hours of sale, </w:t>
            </w:r>
            <w:r w:rsidR="006F5871" w:rsidRPr="00610088">
              <w:rPr>
                <w:bCs/>
                <w:sz w:val="20"/>
                <w:szCs w:val="20"/>
                <w:lang w:val="en-GB"/>
              </w:rPr>
              <w:t xml:space="preserve">on-/and off-premise sales, </w:t>
            </w:r>
            <w:r w:rsidRPr="00610088">
              <w:rPr>
                <w:bCs/>
                <w:sz w:val="20"/>
                <w:szCs w:val="20"/>
                <w:lang w:val="en-GB"/>
              </w:rPr>
              <w:t>restricted advertisement periods to after 10pm, banned sale close to schools, learning environments, motor parks</w:t>
            </w:r>
            <w:r w:rsidR="006F5871" w:rsidRPr="00610088">
              <w:rPr>
                <w:bCs/>
                <w:sz w:val="20"/>
                <w:szCs w:val="20"/>
                <w:lang w:val="en-GB"/>
              </w:rPr>
              <w:t>, petrol stations</w:t>
            </w:r>
            <w:r w:rsidRPr="00610088">
              <w:rPr>
                <w:bCs/>
                <w:sz w:val="20"/>
                <w:szCs w:val="20"/>
                <w:lang w:val="en-GB"/>
              </w:rPr>
              <w:t xml:space="preserve"> and </w:t>
            </w:r>
            <w:r w:rsidR="004E4E29" w:rsidRPr="00610088">
              <w:rPr>
                <w:bCs/>
                <w:sz w:val="20"/>
                <w:szCs w:val="20"/>
                <w:lang w:val="en-GB"/>
              </w:rPr>
              <w:t>marketplaces</w:t>
            </w:r>
            <w:r w:rsidRPr="00610088">
              <w:rPr>
                <w:bCs/>
                <w:sz w:val="20"/>
                <w:szCs w:val="20"/>
                <w:lang w:val="en-GB"/>
              </w:rPr>
              <w:t xml:space="preserve">) </w:t>
            </w:r>
          </w:p>
          <w:p w14:paraId="024683B5" w14:textId="77777777" w:rsidR="006F5871" w:rsidRPr="00610088" w:rsidRDefault="006F5871" w:rsidP="006F5871">
            <w:pPr>
              <w:pStyle w:val="ListParagraph"/>
              <w:numPr>
                <w:ilvl w:val="0"/>
                <w:numId w:val="9"/>
              </w:numPr>
              <w:rPr>
                <w:sz w:val="20"/>
                <w:szCs w:val="20"/>
                <w:lang w:val="en-GB"/>
              </w:rPr>
            </w:pPr>
            <w:r w:rsidRPr="00610088">
              <w:rPr>
                <w:sz w:val="20"/>
                <w:szCs w:val="20"/>
                <w:lang w:val="en-GB"/>
              </w:rPr>
              <w:lastRenderedPageBreak/>
              <w:t xml:space="preserve">Restrictions at specific events/spaces for children and young people such as sporting events, children's public spaces) </w:t>
            </w:r>
          </w:p>
          <w:p w14:paraId="66FC749F" w14:textId="77777777" w:rsidR="009832F9" w:rsidRPr="00610088" w:rsidRDefault="009832F9" w:rsidP="00B82C13">
            <w:pPr>
              <w:pStyle w:val="ListParagraph"/>
              <w:numPr>
                <w:ilvl w:val="0"/>
                <w:numId w:val="9"/>
              </w:numPr>
              <w:rPr>
                <w:sz w:val="20"/>
                <w:szCs w:val="20"/>
                <w:lang w:val="en-GB"/>
              </w:rPr>
            </w:pPr>
            <w:r w:rsidRPr="00610088">
              <w:rPr>
                <w:sz w:val="20"/>
                <w:szCs w:val="20"/>
                <w:lang w:val="en-GB"/>
              </w:rPr>
              <w:t xml:space="preserve">Minimum prices for alcohol where applicable </w:t>
            </w:r>
          </w:p>
          <w:p w14:paraId="7E12F663" w14:textId="6A4333FC" w:rsidR="009832F9" w:rsidRPr="00610088" w:rsidRDefault="009832F9" w:rsidP="00B82C13">
            <w:pPr>
              <w:pStyle w:val="ListParagraph"/>
              <w:numPr>
                <w:ilvl w:val="0"/>
                <w:numId w:val="9"/>
              </w:numPr>
              <w:rPr>
                <w:sz w:val="20"/>
                <w:szCs w:val="20"/>
                <w:lang w:val="en-GB"/>
              </w:rPr>
            </w:pPr>
            <w:r w:rsidRPr="00610088">
              <w:rPr>
                <w:sz w:val="20"/>
                <w:szCs w:val="20"/>
                <w:lang w:val="en-GB"/>
              </w:rPr>
              <w:t>Appropriate minimum age for purchase</w:t>
            </w:r>
            <w:r w:rsidR="006F5871" w:rsidRPr="00610088">
              <w:rPr>
                <w:sz w:val="20"/>
                <w:szCs w:val="20"/>
                <w:lang w:val="en-GB"/>
              </w:rPr>
              <w:t>, sale</w:t>
            </w:r>
            <w:r w:rsidRPr="00610088">
              <w:rPr>
                <w:sz w:val="20"/>
                <w:szCs w:val="20"/>
                <w:lang w:val="en-GB"/>
              </w:rPr>
              <w:t xml:space="preserve"> or consumption of alcoholic beverages, reduce density of retail outlets, and empower retailers to demand proof of age (</w:t>
            </w:r>
            <w:proofErr w:type="gramStart"/>
            <w:r w:rsidRPr="00610088">
              <w:rPr>
                <w:sz w:val="20"/>
                <w:szCs w:val="20"/>
                <w:lang w:val="en-GB"/>
              </w:rPr>
              <w:t>e.g.</w:t>
            </w:r>
            <w:proofErr w:type="gramEnd"/>
            <w:r w:rsidRPr="00610088">
              <w:rPr>
                <w:sz w:val="20"/>
                <w:szCs w:val="20"/>
                <w:lang w:val="en-GB"/>
              </w:rPr>
              <w:t xml:space="preserve"> National ID card) </w:t>
            </w:r>
          </w:p>
          <w:p w14:paraId="142E2711" w14:textId="4AB0A404" w:rsidR="004C2636" w:rsidRPr="00610088" w:rsidRDefault="004C2636" w:rsidP="00B82C13">
            <w:pPr>
              <w:pStyle w:val="ListParagraph"/>
              <w:numPr>
                <w:ilvl w:val="0"/>
                <w:numId w:val="9"/>
              </w:numPr>
              <w:rPr>
                <w:sz w:val="20"/>
                <w:szCs w:val="20"/>
                <w:lang w:val="en-GB"/>
              </w:rPr>
            </w:pPr>
            <w:r w:rsidRPr="00610088">
              <w:rPr>
                <w:sz w:val="20"/>
                <w:szCs w:val="20"/>
                <w:lang w:val="en-GB"/>
              </w:rPr>
              <w:t xml:space="preserve">Restriction or bans on promotions of alcoholic beverages in connection with sponsorships and activities targeting young people </w:t>
            </w:r>
          </w:p>
          <w:p w14:paraId="57EE58A0" w14:textId="77777777" w:rsidR="006F5871" w:rsidRPr="00610088" w:rsidRDefault="006F5871" w:rsidP="006F5871">
            <w:pPr>
              <w:pStyle w:val="ListParagraph"/>
              <w:numPr>
                <w:ilvl w:val="0"/>
                <w:numId w:val="9"/>
              </w:numPr>
              <w:contextualSpacing w:val="0"/>
              <w:rPr>
                <w:sz w:val="20"/>
                <w:szCs w:val="20"/>
                <w:lang w:val="en-GB"/>
              </w:rPr>
            </w:pPr>
            <w:r w:rsidRPr="00610088">
              <w:rPr>
                <w:sz w:val="20"/>
                <w:szCs w:val="20"/>
                <w:lang w:val="en-GB"/>
              </w:rPr>
              <w:t>Appropriate restrictions and guidance on alcohol production, including informal production</w:t>
            </w:r>
          </w:p>
          <w:p w14:paraId="6DCAC8AA" w14:textId="77777777" w:rsidR="006F5871" w:rsidRPr="00610088" w:rsidRDefault="006F5871" w:rsidP="006F5871">
            <w:pPr>
              <w:pStyle w:val="ListParagraph"/>
              <w:numPr>
                <w:ilvl w:val="0"/>
                <w:numId w:val="9"/>
              </w:numPr>
              <w:rPr>
                <w:sz w:val="20"/>
                <w:szCs w:val="20"/>
                <w:lang w:val="en-GB"/>
              </w:rPr>
            </w:pPr>
            <w:r w:rsidRPr="00610088">
              <w:rPr>
                <w:sz w:val="20"/>
                <w:szCs w:val="20"/>
                <w:lang w:val="en-GB"/>
              </w:rPr>
              <w:t xml:space="preserve">Ban or comprehensive restrictions of sachets that sets minimum standards and volumes of alcohol products </w:t>
            </w:r>
          </w:p>
          <w:p w14:paraId="6DC15FD4" w14:textId="2518ED51" w:rsidR="004C2636" w:rsidRPr="00610088" w:rsidRDefault="004C2636" w:rsidP="00B82C13">
            <w:pPr>
              <w:pStyle w:val="ListParagraph"/>
              <w:numPr>
                <w:ilvl w:val="0"/>
                <w:numId w:val="9"/>
              </w:numPr>
              <w:rPr>
                <w:bCs/>
                <w:sz w:val="20"/>
                <w:szCs w:val="20"/>
                <w:lang w:val="en-GB"/>
              </w:rPr>
            </w:pPr>
            <w:r w:rsidRPr="00610088">
              <w:rPr>
                <w:sz w:val="20"/>
                <w:szCs w:val="20"/>
                <w:lang w:val="en-GB"/>
              </w:rPr>
              <w:t>Provision of consumer information about, and label, alcoholic beverages to indicate, the harm related to alcohol</w:t>
            </w:r>
            <w:r w:rsidR="00CA1133" w:rsidRPr="00610088">
              <w:rPr>
                <w:sz w:val="20"/>
                <w:szCs w:val="20"/>
                <w:lang w:val="en-GB"/>
              </w:rPr>
              <w:t xml:space="preserve"> including the alcohol percentage</w:t>
            </w:r>
          </w:p>
        </w:tc>
        <w:tc>
          <w:tcPr>
            <w:tcW w:w="501" w:type="pct"/>
          </w:tcPr>
          <w:p w14:paraId="2E863962" w14:textId="62784D8E" w:rsidR="004C2636" w:rsidRPr="00610088" w:rsidRDefault="004C2636" w:rsidP="004C2636">
            <w:pPr>
              <w:rPr>
                <w:sz w:val="20"/>
                <w:szCs w:val="20"/>
                <w:lang w:val="en-GB"/>
              </w:rPr>
            </w:pPr>
            <w:r w:rsidRPr="00610088">
              <w:rPr>
                <w:bCs/>
                <w:sz w:val="20"/>
                <w:szCs w:val="20"/>
                <w:lang w:val="en-GB"/>
              </w:rPr>
              <w:lastRenderedPageBreak/>
              <w:t>x</w:t>
            </w:r>
          </w:p>
        </w:tc>
        <w:tc>
          <w:tcPr>
            <w:tcW w:w="450" w:type="pct"/>
          </w:tcPr>
          <w:p w14:paraId="6E5437B2" w14:textId="1F684EB9" w:rsidR="004C2636" w:rsidRPr="00610088" w:rsidRDefault="004C2636" w:rsidP="004C2636">
            <w:pPr>
              <w:rPr>
                <w:b/>
                <w:bCs/>
                <w:sz w:val="20"/>
                <w:szCs w:val="20"/>
                <w:u w:val="single"/>
                <w:lang w:val="en-GB"/>
              </w:rPr>
            </w:pPr>
            <w:r w:rsidRPr="00610088">
              <w:rPr>
                <w:bCs/>
                <w:sz w:val="20"/>
                <w:szCs w:val="20"/>
                <w:lang w:val="en-GB"/>
              </w:rPr>
              <w:t>x</w:t>
            </w:r>
          </w:p>
        </w:tc>
        <w:tc>
          <w:tcPr>
            <w:tcW w:w="450" w:type="pct"/>
          </w:tcPr>
          <w:p w14:paraId="2FE9925D" w14:textId="5910FA70" w:rsidR="004C2636" w:rsidRPr="00610088" w:rsidRDefault="004C2636" w:rsidP="004C2636">
            <w:pPr>
              <w:rPr>
                <w:b/>
                <w:bCs/>
                <w:sz w:val="20"/>
                <w:szCs w:val="20"/>
                <w:u w:val="single"/>
                <w:lang w:val="en-GB"/>
              </w:rPr>
            </w:pPr>
            <w:r w:rsidRPr="00610088">
              <w:rPr>
                <w:bCs/>
                <w:sz w:val="20"/>
                <w:szCs w:val="20"/>
                <w:lang w:val="en-GB"/>
              </w:rPr>
              <w:t>x</w:t>
            </w:r>
          </w:p>
        </w:tc>
      </w:tr>
      <w:tr w:rsidR="004C2636" w:rsidRPr="00610088" w14:paraId="2C2061A3" w14:textId="77777777" w:rsidTr="00A8191E">
        <w:tc>
          <w:tcPr>
            <w:tcW w:w="563" w:type="pct"/>
            <w:vMerge/>
          </w:tcPr>
          <w:p w14:paraId="395597B0" w14:textId="77777777" w:rsidR="004C2636" w:rsidRPr="00610088" w:rsidRDefault="004C2636" w:rsidP="004C2636">
            <w:pPr>
              <w:autoSpaceDE w:val="0"/>
              <w:autoSpaceDN w:val="0"/>
              <w:adjustRightInd w:val="0"/>
              <w:rPr>
                <w:bCs/>
                <w:lang w:val="en-GB"/>
              </w:rPr>
            </w:pPr>
          </w:p>
        </w:tc>
        <w:tc>
          <w:tcPr>
            <w:tcW w:w="3036" w:type="pct"/>
            <w:gridSpan w:val="2"/>
          </w:tcPr>
          <w:p w14:paraId="23A90711" w14:textId="38105CE4" w:rsidR="004C2636" w:rsidRPr="00610088" w:rsidRDefault="004C2636" w:rsidP="004C2636">
            <w:pPr>
              <w:rPr>
                <w:sz w:val="20"/>
                <w:szCs w:val="20"/>
                <w:lang w:val="en-GB"/>
              </w:rPr>
            </w:pPr>
            <w:r w:rsidRPr="00610088">
              <w:rPr>
                <w:color w:val="000000" w:themeColor="text1"/>
                <w:sz w:val="20"/>
                <w:szCs w:val="20"/>
                <w:lang w:val="en-GB"/>
              </w:rPr>
              <w:t xml:space="preserve">Advocate for the review of the existing “driving under influence of alcohol” sections of the road traffic act (2007) to suit the current trend, </w:t>
            </w:r>
            <w:proofErr w:type="gramStart"/>
            <w:r w:rsidRPr="00610088">
              <w:rPr>
                <w:color w:val="000000" w:themeColor="text1"/>
                <w:sz w:val="20"/>
                <w:szCs w:val="20"/>
                <w:lang w:val="en-GB"/>
              </w:rPr>
              <w:t>e.g.</w:t>
            </w:r>
            <w:proofErr w:type="gramEnd"/>
            <w:r w:rsidRPr="00610088">
              <w:rPr>
                <w:color w:val="000000" w:themeColor="text1"/>
                <w:sz w:val="20"/>
                <w:szCs w:val="20"/>
                <w:lang w:val="en-GB"/>
              </w:rPr>
              <w:t xml:space="preserve"> to include sobriety checkpoints and provision of brief psychosocial intervention for persons with </w:t>
            </w:r>
            <w:r w:rsidRPr="00610088">
              <w:rPr>
                <w:sz w:val="20"/>
                <w:szCs w:val="20"/>
                <w:lang w:val="en-GB"/>
              </w:rPr>
              <w:t xml:space="preserve">hazardous and harmful alcohol use. </w:t>
            </w:r>
          </w:p>
        </w:tc>
        <w:tc>
          <w:tcPr>
            <w:tcW w:w="501" w:type="pct"/>
          </w:tcPr>
          <w:p w14:paraId="2680DFA2" w14:textId="0E9036B9" w:rsidR="004C2636" w:rsidRPr="00610088" w:rsidRDefault="004C2636" w:rsidP="004C2636">
            <w:pPr>
              <w:rPr>
                <w:b/>
                <w:bCs/>
                <w:sz w:val="20"/>
                <w:szCs w:val="20"/>
                <w:u w:val="single"/>
                <w:lang w:val="en-GB"/>
              </w:rPr>
            </w:pPr>
          </w:p>
        </w:tc>
        <w:tc>
          <w:tcPr>
            <w:tcW w:w="450" w:type="pct"/>
          </w:tcPr>
          <w:p w14:paraId="39101621" w14:textId="16F46530" w:rsidR="004C2636" w:rsidRPr="00610088" w:rsidRDefault="004C2636" w:rsidP="004C2636">
            <w:pPr>
              <w:rPr>
                <w:b/>
                <w:bCs/>
                <w:sz w:val="20"/>
                <w:szCs w:val="20"/>
                <w:u w:val="single"/>
                <w:lang w:val="en-GB"/>
              </w:rPr>
            </w:pPr>
          </w:p>
        </w:tc>
        <w:tc>
          <w:tcPr>
            <w:tcW w:w="450" w:type="pct"/>
          </w:tcPr>
          <w:p w14:paraId="392DC662" w14:textId="09D525E8" w:rsidR="004C2636" w:rsidRPr="00610088" w:rsidRDefault="004C2636" w:rsidP="004C2636">
            <w:pPr>
              <w:rPr>
                <w:b/>
                <w:bCs/>
                <w:sz w:val="20"/>
                <w:szCs w:val="20"/>
                <w:u w:val="single"/>
                <w:lang w:val="en-GB"/>
              </w:rPr>
            </w:pPr>
            <w:r w:rsidRPr="00610088">
              <w:rPr>
                <w:bCs/>
                <w:sz w:val="20"/>
                <w:szCs w:val="20"/>
                <w:lang w:val="en-GB"/>
              </w:rPr>
              <w:t>x</w:t>
            </w:r>
          </w:p>
        </w:tc>
      </w:tr>
      <w:tr w:rsidR="006F5871" w:rsidRPr="00610088" w14:paraId="3C963C49" w14:textId="77777777" w:rsidTr="00A8191E">
        <w:tc>
          <w:tcPr>
            <w:tcW w:w="563" w:type="pct"/>
            <w:vMerge/>
          </w:tcPr>
          <w:p w14:paraId="4D54A2D9" w14:textId="77777777" w:rsidR="006F5871" w:rsidRPr="00610088" w:rsidRDefault="006F5871" w:rsidP="006F5871">
            <w:pPr>
              <w:autoSpaceDE w:val="0"/>
              <w:autoSpaceDN w:val="0"/>
              <w:adjustRightInd w:val="0"/>
              <w:rPr>
                <w:bCs/>
                <w:lang w:val="en-GB"/>
              </w:rPr>
            </w:pPr>
          </w:p>
        </w:tc>
        <w:tc>
          <w:tcPr>
            <w:tcW w:w="3036" w:type="pct"/>
            <w:gridSpan w:val="2"/>
          </w:tcPr>
          <w:p w14:paraId="42F82BB5" w14:textId="74471E35" w:rsidR="006F5871" w:rsidRPr="00610088" w:rsidRDefault="006F5871" w:rsidP="006F5871">
            <w:pPr>
              <w:rPr>
                <w:color w:val="000000" w:themeColor="text1"/>
                <w:sz w:val="20"/>
                <w:szCs w:val="20"/>
                <w:lang w:val="en-GB"/>
              </w:rPr>
            </w:pPr>
            <w:r w:rsidRPr="00610088">
              <w:rPr>
                <w:lang w:val="en-GB"/>
              </w:rPr>
              <w:t>Advocate for integrating harm from alcohol in development programmes</w:t>
            </w:r>
          </w:p>
        </w:tc>
        <w:tc>
          <w:tcPr>
            <w:tcW w:w="501" w:type="pct"/>
          </w:tcPr>
          <w:p w14:paraId="45B1A688" w14:textId="50C388EB" w:rsidR="006F5871" w:rsidRPr="00610088" w:rsidRDefault="006F5871" w:rsidP="006F5871">
            <w:pPr>
              <w:rPr>
                <w:sz w:val="20"/>
                <w:szCs w:val="20"/>
                <w:lang w:val="en-GB"/>
              </w:rPr>
            </w:pPr>
            <w:r w:rsidRPr="00610088">
              <w:rPr>
                <w:sz w:val="20"/>
                <w:szCs w:val="20"/>
                <w:lang w:val="en-GB"/>
              </w:rPr>
              <w:t>x</w:t>
            </w:r>
          </w:p>
        </w:tc>
        <w:tc>
          <w:tcPr>
            <w:tcW w:w="450" w:type="pct"/>
          </w:tcPr>
          <w:p w14:paraId="4B4E78D6" w14:textId="7868735D" w:rsidR="006F5871" w:rsidRPr="00610088" w:rsidRDefault="006F5871" w:rsidP="006F5871">
            <w:pPr>
              <w:rPr>
                <w:sz w:val="20"/>
                <w:szCs w:val="20"/>
                <w:lang w:val="en-GB"/>
              </w:rPr>
            </w:pPr>
            <w:r w:rsidRPr="00610088">
              <w:rPr>
                <w:sz w:val="20"/>
                <w:szCs w:val="20"/>
                <w:lang w:val="en-GB"/>
              </w:rPr>
              <w:t>x</w:t>
            </w:r>
          </w:p>
        </w:tc>
        <w:tc>
          <w:tcPr>
            <w:tcW w:w="450" w:type="pct"/>
          </w:tcPr>
          <w:p w14:paraId="1C7E83E2" w14:textId="5A1EA860" w:rsidR="006F5871" w:rsidRPr="00610088" w:rsidRDefault="006F5871" w:rsidP="006F5871">
            <w:pPr>
              <w:rPr>
                <w:sz w:val="20"/>
                <w:szCs w:val="20"/>
                <w:lang w:val="en-GB"/>
              </w:rPr>
            </w:pPr>
            <w:r w:rsidRPr="00610088">
              <w:rPr>
                <w:sz w:val="20"/>
                <w:szCs w:val="20"/>
                <w:lang w:val="en-GB"/>
              </w:rPr>
              <w:t>x</w:t>
            </w:r>
          </w:p>
        </w:tc>
      </w:tr>
      <w:tr w:rsidR="006F5871" w:rsidRPr="00610088" w14:paraId="0EAAA753" w14:textId="77777777" w:rsidTr="00A8191E">
        <w:tc>
          <w:tcPr>
            <w:tcW w:w="563" w:type="pct"/>
            <w:vMerge/>
          </w:tcPr>
          <w:p w14:paraId="6A93856C" w14:textId="77777777" w:rsidR="006F5871" w:rsidRPr="00610088" w:rsidRDefault="006F5871" w:rsidP="006F5871">
            <w:pPr>
              <w:autoSpaceDE w:val="0"/>
              <w:autoSpaceDN w:val="0"/>
              <w:adjustRightInd w:val="0"/>
              <w:rPr>
                <w:bCs/>
                <w:lang w:val="en-GB"/>
              </w:rPr>
            </w:pPr>
          </w:p>
        </w:tc>
        <w:tc>
          <w:tcPr>
            <w:tcW w:w="3036" w:type="pct"/>
            <w:gridSpan w:val="2"/>
          </w:tcPr>
          <w:p w14:paraId="38727652" w14:textId="675ED1C2" w:rsidR="006F5871" w:rsidRPr="00610088" w:rsidRDefault="006F5871" w:rsidP="006F5871">
            <w:pPr>
              <w:rPr>
                <w:color w:val="000000" w:themeColor="text1"/>
                <w:sz w:val="20"/>
                <w:szCs w:val="20"/>
                <w:lang w:val="en-GB"/>
              </w:rPr>
            </w:pPr>
            <w:r w:rsidRPr="00610088">
              <w:rPr>
                <w:lang w:val="en-GB"/>
              </w:rPr>
              <w:t>Advocate for /and contribute to workplace alcohol policy that also provides education on harm form alcohol</w:t>
            </w:r>
          </w:p>
        </w:tc>
        <w:tc>
          <w:tcPr>
            <w:tcW w:w="501" w:type="pct"/>
          </w:tcPr>
          <w:p w14:paraId="1A320BD2" w14:textId="77777777" w:rsidR="006F5871" w:rsidRPr="00610088" w:rsidRDefault="006F5871" w:rsidP="006F5871">
            <w:pPr>
              <w:rPr>
                <w:b/>
                <w:bCs/>
                <w:sz w:val="20"/>
                <w:szCs w:val="20"/>
                <w:u w:val="single"/>
                <w:lang w:val="en-GB"/>
              </w:rPr>
            </w:pPr>
          </w:p>
        </w:tc>
        <w:tc>
          <w:tcPr>
            <w:tcW w:w="450" w:type="pct"/>
          </w:tcPr>
          <w:p w14:paraId="0CFC3D93" w14:textId="77777777" w:rsidR="006F5871" w:rsidRPr="00610088" w:rsidRDefault="006F5871" w:rsidP="006F5871">
            <w:pPr>
              <w:rPr>
                <w:b/>
                <w:bCs/>
                <w:sz w:val="20"/>
                <w:szCs w:val="20"/>
                <w:u w:val="single"/>
                <w:lang w:val="en-GB"/>
              </w:rPr>
            </w:pPr>
          </w:p>
        </w:tc>
        <w:tc>
          <w:tcPr>
            <w:tcW w:w="450" w:type="pct"/>
          </w:tcPr>
          <w:p w14:paraId="43D2F26A" w14:textId="3BA1FF14" w:rsidR="006F5871" w:rsidRPr="00610088" w:rsidRDefault="006F5871" w:rsidP="006F5871">
            <w:pPr>
              <w:rPr>
                <w:bCs/>
                <w:sz w:val="20"/>
                <w:szCs w:val="20"/>
                <w:lang w:val="en-GB"/>
              </w:rPr>
            </w:pPr>
            <w:r w:rsidRPr="00610088">
              <w:rPr>
                <w:bCs/>
                <w:sz w:val="20"/>
                <w:szCs w:val="20"/>
                <w:lang w:val="en-GB"/>
              </w:rPr>
              <w:t>x</w:t>
            </w:r>
          </w:p>
        </w:tc>
      </w:tr>
      <w:tr w:rsidR="00B81298" w:rsidRPr="00610088" w14:paraId="52179E77" w14:textId="77777777" w:rsidTr="00A8191E">
        <w:tc>
          <w:tcPr>
            <w:tcW w:w="563" w:type="pct"/>
            <w:vMerge/>
          </w:tcPr>
          <w:p w14:paraId="067DCDEC" w14:textId="77777777" w:rsidR="00B81298" w:rsidRPr="00610088" w:rsidRDefault="00B81298" w:rsidP="006F5871">
            <w:pPr>
              <w:autoSpaceDE w:val="0"/>
              <w:autoSpaceDN w:val="0"/>
              <w:adjustRightInd w:val="0"/>
              <w:rPr>
                <w:bCs/>
                <w:lang w:val="en-GB"/>
              </w:rPr>
            </w:pPr>
          </w:p>
        </w:tc>
        <w:tc>
          <w:tcPr>
            <w:tcW w:w="3036" w:type="pct"/>
            <w:gridSpan w:val="2"/>
          </w:tcPr>
          <w:p w14:paraId="2351978D" w14:textId="0171C007" w:rsidR="00B81298" w:rsidRPr="00610088" w:rsidRDefault="00B81298" w:rsidP="00B81298">
            <w:pPr>
              <w:rPr>
                <w:lang w:val="en-GB"/>
              </w:rPr>
            </w:pPr>
            <w:r w:rsidRPr="00610088">
              <w:rPr>
                <w:lang w:val="en-GB"/>
              </w:rPr>
              <w:t>Advocate for the development of systems for monitoring enforcement around alcohol marketing, production, sale, minimum age, etc. and for the coordination of non-health data on alcohol harm (Road Traffic Division of the Police, F</w:t>
            </w:r>
            <w:r w:rsidR="001A6AEF">
              <w:rPr>
                <w:lang w:val="en-GB"/>
              </w:rPr>
              <w:t>amily Support Unit (Police) - F</w:t>
            </w:r>
            <w:r w:rsidRPr="00610088">
              <w:rPr>
                <w:lang w:val="en-GB"/>
              </w:rPr>
              <w:t>SU, etc.)</w:t>
            </w:r>
          </w:p>
        </w:tc>
        <w:tc>
          <w:tcPr>
            <w:tcW w:w="501" w:type="pct"/>
          </w:tcPr>
          <w:p w14:paraId="0C2FB446" w14:textId="7BA44607" w:rsidR="00B81298" w:rsidRPr="00610088" w:rsidRDefault="00B81298" w:rsidP="006F5871">
            <w:pPr>
              <w:rPr>
                <w:sz w:val="20"/>
                <w:szCs w:val="20"/>
                <w:u w:val="single"/>
                <w:lang w:val="en-GB"/>
              </w:rPr>
            </w:pPr>
          </w:p>
        </w:tc>
        <w:tc>
          <w:tcPr>
            <w:tcW w:w="450" w:type="pct"/>
          </w:tcPr>
          <w:p w14:paraId="1D238FD0" w14:textId="1ACBC21A" w:rsidR="00B81298" w:rsidRPr="00610088" w:rsidRDefault="00B81298" w:rsidP="006F5871">
            <w:pPr>
              <w:rPr>
                <w:sz w:val="20"/>
                <w:szCs w:val="20"/>
                <w:lang w:val="en-GB"/>
              </w:rPr>
            </w:pPr>
            <w:r w:rsidRPr="00610088">
              <w:rPr>
                <w:sz w:val="20"/>
                <w:szCs w:val="20"/>
                <w:lang w:val="en-GB"/>
              </w:rPr>
              <w:t>x</w:t>
            </w:r>
          </w:p>
        </w:tc>
        <w:tc>
          <w:tcPr>
            <w:tcW w:w="450" w:type="pct"/>
          </w:tcPr>
          <w:p w14:paraId="7850E2BE" w14:textId="65E33088" w:rsidR="00B81298" w:rsidRPr="00610088" w:rsidRDefault="00B81298" w:rsidP="006F5871">
            <w:pPr>
              <w:rPr>
                <w:sz w:val="20"/>
                <w:szCs w:val="20"/>
                <w:lang w:val="en-GB"/>
              </w:rPr>
            </w:pPr>
            <w:r w:rsidRPr="00610088">
              <w:rPr>
                <w:sz w:val="20"/>
                <w:szCs w:val="20"/>
                <w:lang w:val="en-GB"/>
              </w:rPr>
              <w:t>x</w:t>
            </w:r>
          </w:p>
        </w:tc>
      </w:tr>
      <w:tr w:rsidR="004C2636" w:rsidRPr="00610088" w14:paraId="0B84890A" w14:textId="77777777" w:rsidTr="00A8191E">
        <w:tc>
          <w:tcPr>
            <w:tcW w:w="563" w:type="pct"/>
            <w:vMerge/>
          </w:tcPr>
          <w:p w14:paraId="65AED281"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7ECE9E8A" w14:textId="0F4AB59E" w:rsidR="004C2636" w:rsidRPr="00610088" w:rsidRDefault="004C2636" w:rsidP="004C2636">
            <w:pPr>
              <w:rPr>
                <w:b/>
                <w:bCs/>
                <w:sz w:val="20"/>
                <w:szCs w:val="20"/>
                <w:u w:val="single"/>
                <w:lang w:val="en-GB"/>
              </w:rPr>
            </w:pPr>
            <w:r w:rsidRPr="00610088">
              <w:rPr>
                <w:b/>
                <w:bCs/>
                <w:sz w:val="20"/>
                <w:szCs w:val="20"/>
                <w:u w:val="single"/>
                <w:lang w:val="en-GB"/>
              </w:rPr>
              <w:t>DIET</w:t>
            </w:r>
          </w:p>
        </w:tc>
        <w:tc>
          <w:tcPr>
            <w:tcW w:w="501" w:type="pct"/>
          </w:tcPr>
          <w:p w14:paraId="57A501C0" w14:textId="77777777" w:rsidR="004C2636" w:rsidRPr="00610088" w:rsidRDefault="004C2636" w:rsidP="004C2636">
            <w:pPr>
              <w:rPr>
                <w:b/>
                <w:bCs/>
                <w:sz w:val="20"/>
                <w:szCs w:val="20"/>
                <w:u w:val="single"/>
                <w:lang w:val="en-GB"/>
              </w:rPr>
            </w:pPr>
          </w:p>
        </w:tc>
        <w:tc>
          <w:tcPr>
            <w:tcW w:w="450" w:type="pct"/>
          </w:tcPr>
          <w:p w14:paraId="7041190F" w14:textId="77777777" w:rsidR="004C2636" w:rsidRPr="00610088" w:rsidRDefault="004C2636" w:rsidP="004C2636">
            <w:pPr>
              <w:rPr>
                <w:b/>
                <w:bCs/>
                <w:sz w:val="20"/>
                <w:szCs w:val="20"/>
                <w:u w:val="single"/>
                <w:lang w:val="en-GB"/>
              </w:rPr>
            </w:pPr>
          </w:p>
        </w:tc>
        <w:tc>
          <w:tcPr>
            <w:tcW w:w="450" w:type="pct"/>
          </w:tcPr>
          <w:p w14:paraId="0C6B4D63" w14:textId="77777777" w:rsidR="004C2636" w:rsidRPr="00610088" w:rsidRDefault="004C2636" w:rsidP="004C2636">
            <w:pPr>
              <w:rPr>
                <w:b/>
                <w:bCs/>
                <w:sz w:val="20"/>
                <w:szCs w:val="20"/>
                <w:u w:val="single"/>
                <w:lang w:val="en-GB"/>
              </w:rPr>
            </w:pPr>
          </w:p>
        </w:tc>
      </w:tr>
      <w:tr w:rsidR="004C2636" w:rsidRPr="00610088" w14:paraId="18E2F314" w14:textId="77777777" w:rsidTr="00A8191E">
        <w:tc>
          <w:tcPr>
            <w:tcW w:w="563" w:type="pct"/>
            <w:vMerge/>
          </w:tcPr>
          <w:p w14:paraId="7689EF57"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46A2396E" w14:textId="77777777" w:rsidR="004C2636" w:rsidRPr="00610088" w:rsidRDefault="004C2636" w:rsidP="004C2636">
            <w:pPr>
              <w:rPr>
                <w:sz w:val="20"/>
                <w:szCs w:val="20"/>
                <w:lang w:val="en-GB"/>
              </w:rPr>
            </w:pPr>
            <w:r w:rsidRPr="00610088">
              <w:rPr>
                <w:sz w:val="20"/>
                <w:szCs w:val="20"/>
                <w:lang w:val="en-GB"/>
              </w:rPr>
              <w:t xml:space="preserve">Advocate for the inclusion in legislation or regulations of the following: </w:t>
            </w:r>
          </w:p>
          <w:p w14:paraId="58821656" w14:textId="77777777" w:rsidR="004C2636" w:rsidRPr="00610088" w:rsidRDefault="004C2636" w:rsidP="00B82C13">
            <w:pPr>
              <w:pStyle w:val="ListParagraph"/>
              <w:numPr>
                <w:ilvl w:val="0"/>
                <w:numId w:val="5"/>
              </w:numPr>
              <w:rPr>
                <w:sz w:val="20"/>
                <w:szCs w:val="20"/>
                <w:lang w:val="en-GB"/>
              </w:rPr>
            </w:pPr>
            <w:r w:rsidRPr="00610088">
              <w:rPr>
                <w:sz w:val="20"/>
                <w:szCs w:val="20"/>
                <w:lang w:val="en-GB"/>
              </w:rPr>
              <w:t xml:space="preserve">Reduce salt intake through the reformulation of food products to contain less salt and the setting of target levels for the amount of salt in foods and meals </w:t>
            </w:r>
          </w:p>
          <w:p w14:paraId="119FD83B" w14:textId="3F457E9D" w:rsidR="004C2636" w:rsidRPr="00610088" w:rsidRDefault="004C2636" w:rsidP="00B82C13">
            <w:pPr>
              <w:pStyle w:val="ListParagraph"/>
              <w:numPr>
                <w:ilvl w:val="0"/>
                <w:numId w:val="5"/>
              </w:numPr>
              <w:rPr>
                <w:b/>
                <w:bCs/>
                <w:sz w:val="20"/>
                <w:szCs w:val="20"/>
                <w:u w:val="single"/>
                <w:lang w:val="en-GB"/>
              </w:rPr>
            </w:pPr>
            <w:r w:rsidRPr="00610088">
              <w:rPr>
                <w:sz w:val="20"/>
                <w:szCs w:val="20"/>
                <w:lang w:val="en-GB"/>
              </w:rPr>
              <w:t>Reduce salt</w:t>
            </w:r>
            <w:r w:rsidR="0047125C" w:rsidRPr="00610088">
              <w:rPr>
                <w:sz w:val="20"/>
                <w:szCs w:val="20"/>
                <w:lang w:val="en-GB"/>
              </w:rPr>
              <w:t xml:space="preserve">, sugar, fat </w:t>
            </w:r>
            <w:r w:rsidRPr="00610088">
              <w:rPr>
                <w:sz w:val="20"/>
                <w:szCs w:val="20"/>
                <w:lang w:val="en-GB"/>
              </w:rPr>
              <w:t>intake through the implementation of front-of-pack labelling</w:t>
            </w:r>
          </w:p>
          <w:p w14:paraId="24AFCAFA" w14:textId="42475C06" w:rsidR="004C2636" w:rsidRPr="00610088" w:rsidRDefault="004C2636" w:rsidP="004C2636">
            <w:pPr>
              <w:rPr>
                <w:sz w:val="20"/>
                <w:szCs w:val="20"/>
                <w:lang w:val="en-GB"/>
              </w:rPr>
            </w:pPr>
          </w:p>
        </w:tc>
        <w:tc>
          <w:tcPr>
            <w:tcW w:w="501" w:type="pct"/>
          </w:tcPr>
          <w:p w14:paraId="070AA1BB" w14:textId="3C3713FE" w:rsidR="004C2636" w:rsidRPr="00610088" w:rsidRDefault="004C2636" w:rsidP="004C2636">
            <w:pPr>
              <w:rPr>
                <w:sz w:val="20"/>
                <w:szCs w:val="20"/>
                <w:lang w:val="en-GB"/>
              </w:rPr>
            </w:pPr>
            <w:r w:rsidRPr="00610088">
              <w:rPr>
                <w:sz w:val="20"/>
                <w:szCs w:val="20"/>
                <w:lang w:val="en-GB"/>
              </w:rPr>
              <w:t>x</w:t>
            </w:r>
          </w:p>
        </w:tc>
        <w:tc>
          <w:tcPr>
            <w:tcW w:w="450" w:type="pct"/>
          </w:tcPr>
          <w:p w14:paraId="3DEB2C4B" w14:textId="2806D8D5" w:rsidR="004C2636" w:rsidRPr="00610088" w:rsidRDefault="004C2636" w:rsidP="004C2636">
            <w:pPr>
              <w:rPr>
                <w:sz w:val="20"/>
                <w:szCs w:val="20"/>
                <w:lang w:val="en-GB"/>
              </w:rPr>
            </w:pPr>
            <w:r w:rsidRPr="00610088">
              <w:rPr>
                <w:sz w:val="20"/>
                <w:szCs w:val="20"/>
                <w:lang w:val="en-GB"/>
              </w:rPr>
              <w:t>x</w:t>
            </w:r>
          </w:p>
        </w:tc>
        <w:tc>
          <w:tcPr>
            <w:tcW w:w="450" w:type="pct"/>
          </w:tcPr>
          <w:p w14:paraId="020F1D48" w14:textId="29B929E3" w:rsidR="004C2636" w:rsidRPr="00610088" w:rsidRDefault="004C2636" w:rsidP="004C2636">
            <w:pPr>
              <w:rPr>
                <w:sz w:val="20"/>
                <w:szCs w:val="20"/>
                <w:lang w:val="en-GB"/>
              </w:rPr>
            </w:pPr>
            <w:r w:rsidRPr="00610088">
              <w:rPr>
                <w:sz w:val="20"/>
                <w:szCs w:val="20"/>
                <w:lang w:val="en-GB"/>
              </w:rPr>
              <w:t>x</w:t>
            </w:r>
          </w:p>
        </w:tc>
      </w:tr>
      <w:tr w:rsidR="004C2636" w:rsidRPr="00610088" w14:paraId="1046AC0A" w14:textId="77777777" w:rsidTr="00A8191E">
        <w:tc>
          <w:tcPr>
            <w:tcW w:w="563" w:type="pct"/>
            <w:vMerge/>
          </w:tcPr>
          <w:p w14:paraId="55940847"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498B9865" w14:textId="77777777" w:rsidR="004C2636" w:rsidRPr="00610088" w:rsidRDefault="004C2636" w:rsidP="004C2636">
            <w:pPr>
              <w:rPr>
                <w:b/>
                <w:bCs/>
                <w:sz w:val="20"/>
                <w:szCs w:val="20"/>
                <w:u w:val="single"/>
                <w:lang w:val="en-GB"/>
              </w:rPr>
            </w:pPr>
            <w:r w:rsidRPr="00610088">
              <w:rPr>
                <w:sz w:val="20"/>
                <w:szCs w:val="20"/>
                <w:lang w:val="en-GB"/>
              </w:rPr>
              <w:t>Advocate for the inclusion in legislation or regulations of the following:</w:t>
            </w:r>
          </w:p>
          <w:p w14:paraId="31B4DE29" w14:textId="62608527" w:rsidR="004C2636" w:rsidRPr="00610088" w:rsidRDefault="004C2636" w:rsidP="00B82C13">
            <w:pPr>
              <w:pStyle w:val="ListParagraph"/>
              <w:numPr>
                <w:ilvl w:val="1"/>
                <w:numId w:val="3"/>
              </w:numPr>
              <w:rPr>
                <w:b/>
                <w:bCs/>
                <w:sz w:val="20"/>
                <w:szCs w:val="20"/>
                <w:u w:val="single"/>
                <w:lang w:val="en-GB"/>
              </w:rPr>
            </w:pPr>
            <w:r w:rsidRPr="00610088">
              <w:rPr>
                <w:sz w:val="20"/>
                <w:szCs w:val="20"/>
                <w:lang w:val="en-GB"/>
              </w:rPr>
              <w:t xml:space="preserve">Implementation </w:t>
            </w:r>
            <w:r w:rsidR="009717C4" w:rsidRPr="00610088">
              <w:rPr>
                <w:sz w:val="20"/>
                <w:szCs w:val="20"/>
                <w:lang w:val="en-GB"/>
              </w:rPr>
              <w:t xml:space="preserve">of </w:t>
            </w:r>
            <w:r w:rsidRPr="00610088">
              <w:rPr>
                <w:sz w:val="20"/>
                <w:szCs w:val="20"/>
                <w:lang w:val="en-GB"/>
              </w:rPr>
              <w:t>the WHO recommendations on the marketing of foods and non-alcoholic beverages to children</w:t>
            </w:r>
          </w:p>
          <w:p w14:paraId="02BB9275" w14:textId="77777777" w:rsidR="004C2636" w:rsidRPr="00610088" w:rsidRDefault="004C2636" w:rsidP="00B82C13">
            <w:pPr>
              <w:pStyle w:val="ListParagraph"/>
              <w:numPr>
                <w:ilvl w:val="1"/>
                <w:numId w:val="3"/>
              </w:numPr>
              <w:rPr>
                <w:bCs/>
                <w:sz w:val="20"/>
                <w:szCs w:val="20"/>
                <w:lang w:val="en-GB"/>
              </w:rPr>
            </w:pPr>
            <w:r w:rsidRPr="00610088">
              <w:rPr>
                <w:bCs/>
                <w:sz w:val="20"/>
                <w:szCs w:val="20"/>
                <w:lang w:val="en-GB"/>
              </w:rPr>
              <w:t>Eliminate industrial trans-fats through the development of legislation to ban their use in the food chain</w:t>
            </w:r>
          </w:p>
          <w:p w14:paraId="2B0E7D9C" w14:textId="22FDB2B0" w:rsidR="004C2636" w:rsidRPr="00610088" w:rsidRDefault="004C2636" w:rsidP="00B82C13">
            <w:pPr>
              <w:pStyle w:val="ListParagraph"/>
              <w:numPr>
                <w:ilvl w:val="1"/>
                <w:numId w:val="3"/>
              </w:numPr>
              <w:rPr>
                <w:bCs/>
                <w:sz w:val="20"/>
                <w:szCs w:val="20"/>
                <w:lang w:val="en-GB"/>
              </w:rPr>
            </w:pPr>
            <w:r w:rsidRPr="00610088">
              <w:rPr>
                <w:bCs/>
                <w:sz w:val="20"/>
                <w:szCs w:val="20"/>
                <w:lang w:val="en-GB"/>
              </w:rPr>
              <w:lastRenderedPageBreak/>
              <w:t>Reduce sugar consumption through effective taxation on sugar-sweetened beverages</w:t>
            </w:r>
          </w:p>
        </w:tc>
        <w:tc>
          <w:tcPr>
            <w:tcW w:w="501" w:type="pct"/>
          </w:tcPr>
          <w:p w14:paraId="65F5A023" w14:textId="77777777" w:rsidR="004C2636" w:rsidRPr="00610088" w:rsidRDefault="004C2636" w:rsidP="004C2636">
            <w:pPr>
              <w:rPr>
                <w:b/>
                <w:bCs/>
                <w:sz w:val="20"/>
                <w:szCs w:val="20"/>
                <w:u w:val="single"/>
                <w:lang w:val="en-GB"/>
              </w:rPr>
            </w:pPr>
          </w:p>
        </w:tc>
        <w:tc>
          <w:tcPr>
            <w:tcW w:w="450" w:type="pct"/>
          </w:tcPr>
          <w:p w14:paraId="1B0D5015" w14:textId="1E5F0514" w:rsidR="004C2636" w:rsidRPr="00610088" w:rsidRDefault="004C2636" w:rsidP="004C2636">
            <w:pPr>
              <w:rPr>
                <w:sz w:val="20"/>
                <w:szCs w:val="20"/>
                <w:lang w:val="en-GB"/>
              </w:rPr>
            </w:pPr>
            <w:r w:rsidRPr="00610088">
              <w:rPr>
                <w:sz w:val="20"/>
                <w:szCs w:val="20"/>
                <w:lang w:val="en-GB"/>
              </w:rPr>
              <w:t>x</w:t>
            </w:r>
          </w:p>
        </w:tc>
        <w:tc>
          <w:tcPr>
            <w:tcW w:w="450" w:type="pct"/>
          </w:tcPr>
          <w:p w14:paraId="68C608A6" w14:textId="3E529726" w:rsidR="004C2636" w:rsidRPr="00610088" w:rsidRDefault="004C2636" w:rsidP="004C2636">
            <w:pPr>
              <w:rPr>
                <w:sz w:val="20"/>
                <w:szCs w:val="20"/>
                <w:lang w:val="en-GB"/>
              </w:rPr>
            </w:pPr>
            <w:r w:rsidRPr="00610088">
              <w:rPr>
                <w:sz w:val="20"/>
                <w:szCs w:val="20"/>
                <w:lang w:val="en-GB"/>
              </w:rPr>
              <w:t>x</w:t>
            </w:r>
          </w:p>
        </w:tc>
      </w:tr>
      <w:tr w:rsidR="004C2636" w:rsidRPr="00610088" w14:paraId="56AE9423" w14:textId="77777777" w:rsidTr="00A8191E">
        <w:tc>
          <w:tcPr>
            <w:tcW w:w="563" w:type="pct"/>
            <w:vMerge/>
          </w:tcPr>
          <w:p w14:paraId="66EB2CE2"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6725C8FE" w14:textId="68171F4E" w:rsidR="004C2636" w:rsidRPr="00610088" w:rsidRDefault="004C2636" w:rsidP="004C2636">
            <w:pPr>
              <w:rPr>
                <w:b/>
                <w:bCs/>
                <w:sz w:val="20"/>
                <w:szCs w:val="20"/>
                <w:u w:val="single"/>
                <w:lang w:val="en-GB"/>
              </w:rPr>
            </w:pPr>
            <w:r w:rsidRPr="00610088">
              <w:rPr>
                <w:sz w:val="20"/>
                <w:szCs w:val="20"/>
                <w:lang w:val="en-GB"/>
              </w:rPr>
              <w:t>Advocate for subsidies</w:t>
            </w:r>
            <w:r w:rsidRPr="00610088">
              <w:rPr>
                <w:bCs/>
                <w:sz w:val="20"/>
                <w:szCs w:val="20"/>
                <w:lang w:val="en-GB"/>
              </w:rPr>
              <w:t xml:space="preserve"> to increase the intake of fruit and vegetables</w:t>
            </w:r>
          </w:p>
        </w:tc>
        <w:tc>
          <w:tcPr>
            <w:tcW w:w="501" w:type="pct"/>
          </w:tcPr>
          <w:p w14:paraId="2F9CB1E2" w14:textId="77777777" w:rsidR="004C2636" w:rsidRPr="00610088" w:rsidRDefault="004C2636" w:rsidP="004C2636">
            <w:pPr>
              <w:rPr>
                <w:b/>
                <w:bCs/>
                <w:sz w:val="20"/>
                <w:szCs w:val="20"/>
                <w:u w:val="single"/>
                <w:lang w:val="en-GB"/>
              </w:rPr>
            </w:pPr>
          </w:p>
        </w:tc>
        <w:tc>
          <w:tcPr>
            <w:tcW w:w="450" w:type="pct"/>
          </w:tcPr>
          <w:p w14:paraId="2960FD60" w14:textId="77777777" w:rsidR="004C2636" w:rsidRPr="00610088" w:rsidRDefault="004C2636" w:rsidP="004C2636">
            <w:pPr>
              <w:rPr>
                <w:b/>
                <w:bCs/>
                <w:sz w:val="20"/>
                <w:szCs w:val="20"/>
                <w:u w:val="single"/>
                <w:lang w:val="en-GB"/>
              </w:rPr>
            </w:pPr>
          </w:p>
        </w:tc>
        <w:tc>
          <w:tcPr>
            <w:tcW w:w="450" w:type="pct"/>
          </w:tcPr>
          <w:p w14:paraId="08E5104A" w14:textId="5FD947E7" w:rsidR="004C2636" w:rsidRPr="00610088" w:rsidRDefault="004C2636" w:rsidP="004C2636">
            <w:pPr>
              <w:rPr>
                <w:sz w:val="20"/>
                <w:szCs w:val="20"/>
                <w:lang w:val="en-GB"/>
              </w:rPr>
            </w:pPr>
            <w:r w:rsidRPr="00610088">
              <w:rPr>
                <w:sz w:val="20"/>
                <w:szCs w:val="20"/>
                <w:lang w:val="en-GB"/>
              </w:rPr>
              <w:t>x</w:t>
            </w:r>
          </w:p>
        </w:tc>
      </w:tr>
      <w:tr w:rsidR="004C2636" w:rsidRPr="00610088" w14:paraId="51E89A40" w14:textId="77777777" w:rsidTr="00A8191E">
        <w:tc>
          <w:tcPr>
            <w:tcW w:w="563" w:type="pct"/>
            <w:vMerge/>
          </w:tcPr>
          <w:p w14:paraId="0275F7D5"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357233D5" w14:textId="77777777" w:rsidR="004C2636" w:rsidRPr="00610088" w:rsidRDefault="004C2636" w:rsidP="004C2636">
            <w:pPr>
              <w:rPr>
                <w:sz w:val="20"/>
                <w:szCs w:val="20"/>
                <w:lang w:val="en-GB"/>
              </w:rPr>
            </w:pPr>
            <w:r w:rsidRPr="00610088">
              <w:rPr>
                <w:sz w:val="20"/>
                <w:szCs w:val="20"/>
                <w:lang w:val="en-GB"/>
              </w:rPr>
              <w:t xml:space="preserve">Advocate for inclusion in legislation or regulations of the following: </w:t>
            </w:r>
          </w:p>
          <w:p w14:paraId="3A137C94" w14:textId="5C4251A1" w:rsidR="004C2636" w:rsidRPr="00610088" w:rsidRDefault="004C2636" w:rsidP="00B82C13">
            <w:pPr>
              <w:pStyle w:val="ListParagraph"/>
              <w:numPr>
                <w:ilvl w:val="0"/>
                <w:numId w:val="3"/>
              </w:numPr>
              <w:rPr>
                <w:sz w:val="20"/>
                <w:szCs w:val="20"/>
                <w:lang w:val="en-GB"/>
              </w:rPr>
            </w:pPr>
            <w:r w:rsidRPr="00610088">
              <w:rPr>
                <w:sz w:val="20"/>
                <w:szCs w:val="20"/>
                <w:lang w:val="en-GB"/>
              </w:rPr>
              <w:t xml:space="preserve">Replace trans-fats and saturated fats with unsaturated fats through reformulation, labelling, fiscal policies or agricultural policies </w:t>
            </w:r>
          </w:p>
          <w:p w14:paraId="7742843F" w14:textId="46EACEA6" w:rsidR="004C2636" w:rsidRPr="00610088" w:rsidRDefault="004C2636" w:rsidP="00B82C13">
            <w:pPr>
              <w:pStyle w:val="ListParagraph"/>
              <w:numPr>
                <w:ilvl w:val="0"/>
                <w:numId w:val="3"/>
              </w:numPr>
              <w:rPr>
                <w:bCs/>
                <w:sz w:val="20"/>
                <w:szCs w:val="20"/>
                <w:lang w:val="en-GB"/>
              </w:rPr>
            </w:pPr>
            <w:r w:rsidRPr="00610088">
              <w:rPr>
                <w:bCs/>
                <w:sz w:val="20"/>
                <w:szCs w:val="20"/>
                <w:lang w:val="en-GB"/>
              </w:rPr>
              <w:t>Implement nutrition labelling to reduce total energy intake (kcal), sugars, sodium and fats</w:t>
            </w:r>
          </w:p>
          <w:p w14:paraId="02B15630" w14:textId="382C834E" w:rsidR="004C2636" w:rsidRPr="00610088" w:rsidRDefault="004C2636" w:rsidP="00B82C13">
            <w:pPr>
              <w:pStyle w:val="ListParagraph"/>
              <w:numPr>
                <w:ilvl w:val="0"/>
                <w:numId w:val="3"/>
              </w:numPr>
              <w:rPr>
                <w:b/>
                <w:bCs/>
                <w:sz w:val="20"/>
                <w:szCs w:val="20"/>
                <w:u w:val="single"/>
                <w:lang w:val="en-GB"/>
              </w:rPr>
            </w:pPr>
            <w:r w:rsidRPr="00610088">
              <w:rPr>
                <w:bCs/>
                <w:sz w:val="20"/>
                <w:szCs w:val="20"/>
                <w:lang w:val="en-GB"/>
              </w:rPr>
              <w:t>Limiting portion and package size to reduce energy intake and the risk of overweight/obesity</w:t>
            </w:r>
          </w:p>
        </w:tc>
        <w:tc>
          <w:tcPr>
            <w:tcW w:w="501" w:type="pct"/>
          </w:tcPr>
          <w:p w14:paraId="68441E91" w14:textId="77777777" w:rsidR="004C2636" w:rsidRPr="00610088" w:rsidRDefault="004C2636" w:rsidP="004C2636">
            <w:pPr>
              <w:rPr>
                <w:b/>
                <w:bCs/>
                <w:sz w:val="20"/>
                <w:szCs w:val="20"/>
                <w:u w:val="single"/>
                <w:lang w:val="en-GB"/>
              </w:rPr>
            </w:pPr>
          </w:p>
        </w:tc>
        <w:tc>
          <w:tcPr>
            <w:tcW w:w="450" w:type="pct"/>
          </w:tcPr>
          <w:p w14:paraId="18559B2E" w14:textId="77777777" w:rsidR="004C2636" w:rsidRPr="00610088" w:rsidRDefault="004C2636" w:rsidP="004C2636">
            <w:pPr>
              <w:rPr>
                <w:b/>
                <w:bCs/>
                <w:sz w:val="20"/>
                <w:szCs w:val="20"/>
                <w:u w:val="single"/>
                <w:lang w:val="en-GB"/>
              </w:rPr>
            </w:pPr>
          </w:p>
        </w:tc>
        <w:tc>
          <w:tcPr>
            <w:tcW w:w="450" w:type="pct"/>
          </w:tcPr>
          <w:p w14:paraId="272F053C" w14:textId="5CB1BC0A" w:rsidR="004C2636" w:rsidRPr="00610088" w:rsidRDefault="004C2636" w:rsidP="004C2636">
            <w:pPr>
              <w:rPr>
                <w:sz w:val="20"/>
                <w:szCs w:val="20"/>
                <w:lang w:val="en-GB"/>
              </w:rPr>
            </w:pPr>
            <w:r w:rsidRPr="00610088">
              <w:rPr>
                <w:sz w:val="20"/>
                <w:szCs w:val="20"/>
                <w:lang w:val="en-GB"/>
              </w:rPr>
              <w:t>x</w:t>
            </w:r>
          </w:p>
        </w:tc>
      </w:tr>
      <w:tr w:rsidR="004C2636" w:rsidRPr="00610088" w14:paraId="21282278" w14:textId="77777777" w:rsidTr="00A8191E">
        <w:tc>
          <w:tcPr>
            <w:tcW w:w="563" w:type="pct"/>
            <w:vMerge/>
          </w:tcPr>
          <w:p w14:paraId="4661EED5"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36142C9C" w14:textId="2994A2F2" w:rsidR="004C2636" w:rsidRPr="00610088" w:rsidRDefault="004C2636" w:rsidP="004C2636">
            <w:pPr>
              <w:rPr>
                <w:sz w:val="20"/>
                <w:szCs w:val="20"/>
                <w:lang w:val="en-GB"/>
              </w:rPr>
            </w:pPr>
            <w:r w:rsidRPr="00610088">
              <w:rPr>
                <w:sz w:val="20"/>
                <w:szCs w:val="20"/>
                <w:lang w:val="en-GB"/>
              </w:rPr>
              <w:t>Advocate for adequate verification of food</w:t>
            </w:r>
            <w:r w:rsidR="0047125C" w:rsidRPr="00610088">
              <w:rPr>
                <w:sz w:val="20"/>
                <w:szCs w:val="20"/>
                <w:lang w:val="en-GB"/>
              </w:rPr>
              <w:t xml:space="preserve"> and beverages</w:t>
            </w:r>
            <w:r w:rsidRPr="00610088">
              <w:rPr>
                <w:sz w:val="20"/>
                <w:szCs w:val="20"/>
                <w:lang w:val="en-GB"/>
              </w:rPr>
              <w:t xml:space="preserve"> labelling. </w:t>
            </w:r>
          </w:p>
        </w:tc>
        <w:tc>
          <w:tcPr>
            <w:tcW w:w="501" w:type="pct"/>
          </w:tcPr>
          <w:p w14:paraId="3F001E3C" w14:textId="21B4C588" w:rsidR="004C2636" w:rsidRPr="00610088" w:rsidRDefault="004C2636" w:rsidP="004C2636">
            <w:pPr>
              <w:rPr>
                <w:sz w:val="20"/>
                <w:szCs w:val="20"/>
                <w:lang w:val="en-GB"/>
              </w:rPr>
            </w:pPr>
            <w:r w:rsidRPr="00610088">
              <w:rPr>
                <w:sz w:val="20"/>
                <w:szCs w:val="20"/>
                <w:lang w:val="en-GB"/>
              </w:rPr>
              <w:t>x</w:t>
            </w:r>
          </w:p>
        </w:tc>
        <w:tc>
          <w:tcPr>
            <w:tcW w:w="450" w:type="pct"/>
          </w:tcPr>
          <w:p w14:paraId="0294BB2B" w14:textId="2F0ABBC3" w:rsidR="004C2636" w:rsidRPr="00610088" w:rsidRDefault="004C2636" w:rsidP="004C2636">
            <w:pPr>
              <w:rPr>
                <w:sz w:val="20"/>
                <w:szCs w:val="20"/>
                <w:lang w:val="en-GB"/>
              </w:rPr>
            </w:pPr>
            <w:r w:rsidRPr="00610088">
              <w:rPr>
                <w:sz w:val="20"/>
                <w:szCs w:val="20"/>
                <w:lang w:val="en-GB"/>
              </w:rPr>
              <w:t>x</w:t>
            </w:r>
          </w:p>
        </w:tc>
        <w:tc>
          <w:tcPr>
            <w:tcW w:w="450" w:type="pct"/>
          </w:tcPr>
          <w:p w14:paraId="1EDD0C28" w14:textId="49D1FB03" w:rsidR="004C2636" w:rsidRPr="00610088" w:rsidRDefault="004C2636" w:rsidP="004C2636">
            <w:pPr>
              <w:rPr>
                <w:sz w:val="20"/>
                <w:szCs w:val="20"/>
                <w:lang w:val="en-GB"/>
              </w:rPr>
            </w:pPr>
            <w:r w:rsidRPr="00610088">
              <w:rPr>
                <w:sz w:val="20"/>
                <w:szCs w:val="20"/>
                <w:lang w:val="en-GB"/>
              </w:rPr>
              <w:t>x</w:t>
            </w:r>
          </w:p>
        </w:tc>
      </w:tr>
      <w:tr w:rsidR="004C2636" w:rsidRPr="00610088" w14:paraId="0EBE00C5" w14:textId="77777777" w:rsidTr="00A8191E">
        <w:tc>
          <w:tcPr>
            <w:tcW w:w="563" w:type="pct"/>
            <w:vMerge/>
          </w:tcPr>
          <w:p w14:paraId="37BF5018"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4170833B" w14:textId="7F39A5FE" w:rsidR="004C2636" w:rsidRPr="00610088" w:rsidRDefault="004C2636" w:rsidP="004C2636">
            <w:pPr>
              <w:rPr>
                <w:bCs/>
                <w:sz w:val="20"/>
                <w:szCs w:val="20"/>
                <w:lang w:val="en-GB"/>
              </w:rPr>
            </w:pPr>
            <w:r w:rsidRPr="00610088">
              <w:rPr>
                <w:bCs/>
                <w:sz w:val="20"/>
                <w:szCs w:val="20"/>
                <w:lang w:val="en-GB"/>
              </w:rPr>
              <w:t xml:space="preserve">Advocate with stakeholders for whole-of-school </w:t>
            </w:r>
            <w:r w:rsidR="00640482" w:rsidRPr="00610088">
              <w:rPr>
                <w:bCs/>
                <w:sz w:val="20"/>
                <w:szCs w:val="20"/>
                <w:lang w:val="en-GB"/>
              </w:rPr>
              <w:t>program</w:t>
            </w:r>
            <w:r w:rsidRPr="00610088">
              <w:rPr>
                <w:bCs/>
                <w:sz w:val="20"/>
                <w:szCs w:val="20"/>
                <w:lang w:val="en-GB"/>
              </w:rPr>
              <w:t xml:space="preserve"> that includes quality physical education, availability of adequate facilities and programs to support physical activity for all children </w:t>
            </w:r>
          </w:p>
        </w:tc>
        <w:tc>
          <w:tcPr>
            <w:tcW w:w="501" w:type="pct"/>
          </w:tcPr>
          <w:p w14:paraId="14675876" w14:textId="20EFF4F1" w:rsidR="004C2636" w:rsidRPr="00610088" w:rsidRDefault="004C2636" w:rsidP="004C2636">
            <w:pPr>
              <w:rPr>
                <w:sz w:val="20"/>
                <w:szCs w:val="20"/>
                <w:lang w:val="en-GB"/>
              </w:rPr>
            </w:pPr>
          </w:p>
        </w:tc>
        <w:tc>
          <w:tcPr>
            <w:tcW w:w="450" w:type="pct"/>
          </w:tcPr>
          <w:p w14:paraId="5BB95B2A" w14:textId="1E6CB58C" w:rsidR="004C2636" w:rsidRPr="00610088" w:rsidRDefault="004C2636" w:rsidP="004C2636">
            <w:pPr>
              <w:rPr>
                <w:sz w:val="20"/>
                <w:szCs w:val="20"/>
                <w:lang w:val="en-GB"/>
              </w:rPr>
            </w:pPr>
            <w:r w:rsidRPr="00610088">
              <w:rPr>
                <w:sz w:val="20"/>
                <w:szCs w:val="20"/>
                <w:lang w:val="en-GB"/>
              </w:rPr>
              <w:t>x</w:t>
            </w:r>
          </w:p>
        </w:tc>
        <w:tc>
          <w:tcPr>
            <w:tcW w:w="450" w:type="pct"/>
          </w:tcPr>
          <w:p w14:paraId="70EB5237" w14:textId="4B7D7AE0" w:rsidR="004C2636" w:rsidRPr="00610088" w:rsidRDefault="004C2636" w:rsidP="004C2636">
            <w:pPr>
              <w:rPr>
                <w:sz w:val="20"/>
                <w:szCs w:val="20"/>
                <w:lang w:val="en-GB"/>
              </w:rPr>
            </w:pPr>
            <w:r w:rsidRPr="00610088">
              <w:rPr>
                <w:sz w:val="20"/>
                <w:szCs w:val="20"/>
                <w:lang w:val="en-GB"/>
              </w:rPr>
              <w:t>x</w:t>
            </w:r>
          </w:p>
        </w:tc>
      </w:tr>
      <w:tr w:rsidR="004C2636" w:rsidRPr="00610088" w14:paraId="60A67CF4" w14:textId="77777777" w:rsidTr="00A8191E">
        <w:tc>
          <w:tcPr>
            <w:tcW w:w="563" w:type="pct"/>
            <w:vMerge/>
          </w:tcPr>
          <w:p w14:paraId="7B966284"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534E4FA6" w14:textId="510636BE" w:rsidR="004C2636" w:rsidRPr="00610088" w:rsidRDefault="004C2636" w:rsidP="004C2636">
            <w:pPr>
              <w:rPr>
                <w:bCs/>
                <w:sz w:val="20"/>
                <w:szCs w:val="20"/>
                <w:lang w:val="en-GB"/>
              </w:rPr>
            </w:pPr>
            <w:r w:rsidRPr="00610088">
              <w:rPr>
                <w:bCs/>
                <w:sz w:val="20"/>
                <w:szCs w:val="20"/>
                <w:lang w:val="en-GB"/>
              </w:rPr>
              <w:t xml:space="preserve">Advocate with stakeholders to provide convenient and safe access to quality public open space and adequate infrastructure to support walking and cycling </w:t>
            </w:r>
          </w:p>
        </w:tc>
        <w:tc>
          <w:tcPr>
            <w:tcW w:w="501" w:type="pct"/>
          </w:tcPr>
          <w:p w14:paraId="7E526A25" w14:textId="77777777" w:rsidR="004C2636" w:rsidRPr="00610088" w:rsidRDefault="004C2636" w:rsidP="004C2636">
            <w:pPr>
              <w:rPr>
                <w:b/>
                <w:bCs/>
                <w:sz w:val="20"/>
                <w:szCs w:val="20"/>
                <w:u w:val="single"/>
                <w:lang w:val="en-GB"/>
              </w:rPr>
            </w:pPr>
          </w:p>
        </w:tc>
        <w:tc>
          <w:tcPr>
            <w:tcW w:w="450" w:type="pct"/>
          </w:tcPr>
          <w:p w14:paraId="3ABEFB49" w14:textId="01153AD7" w:rsidR="004C2636" w:rsidRPr="00610088" w:rsidRDefault="004C2636" w:rsidP="004C2636">
            <w:pPr>
              <w:rPr>
                <w:sz w:val="20"/>
                <w:szCs w:val="20"/>
                <w:lang w:val="en-GB"/>
              </w:rPr>
            </w:pPr>
            <w:r w:rsidRPr="00610088">
              <w:rPr>
                <w:sz w:val="20"/>
                <w:szCs w:val="20"/>
                <w:lang w:val="en-GB"/>
              </w:rPr>
              <w:t>x</w:t>
            </w:r>
          </w:p>
        </w:tc>
        <w:tc>
          <w:tcPr>
            <w:tcW w:w="450" w:type="pct"/>
          </w:tcPr>
          <w:p w14:paraId="4BBB0473" w14:textId="267EF6FD" w:rsidR="004C2636" w:rsidRPr="00610088" w:rsidRDefault="004C2636" w:rsidP="004C2636">
            <w:pPr>
              <w:rPr>
                <w:sz w:val="20"/>
                <w:szCs w:val="20"/>
                <w:lang w:val="en-GB"/>
              </w:rPr>
            </w:pPr>
            <w:r w:rsidRPr="00610088">
              <w:rPr>
                <w:sz w:val="20"/>
                <w:szCs w:val="20"/>
                <w:lang w:val="en-GB"/>
              </w:rPr>
              <w:t>x</w:t>
            </w:r>
          </w:p>
        </w:tc>
      </w:tr>
      <w:tr w:rsidR="004C2636" w:rsidRPr="00610088" w14:paraId="05F4E3D5" w14:textId="262DAA2D" w:rsidTr="00A8191E">
        <w:tc>
          <w:tcPr>
            <w:tcW w:w="563" w:type="pct"/>
            <w:vMerge/>
          </w:tcPr>
          <w:p w14:paraId="5F1DB901" w14:textId="77777777" w:rsidR="004C2636" w:rsidRPr="00610088" w:rsidRDefault="004C2636" w:rsidP="00B82C13">
            <w:pPr>
              <w:pStyle w:val="ListParagraph"/>
              <w:numPr>
                <w:ilvl w:val="0"/>
                <w:numId w:val="3"/>
              </w:numPr>
              <w:autoSpaceDE w:val="0"/>
              <w:autoSpaceDN w:val="0"/>
              <w:adjustRightInd w:val="0"/>
              <w:rPr>
                <w:bCs/>
                <w:lang w:val="en-GB"/>
              </w:rPr>
            </w:pPr>
          </w:p>
        </w:tc>
        <w:tc>
          <w:tcPr>
            <w:tcW w:w="3036" w:type="pct"/>
            <w:gridSpan w:val="2"/>
          </w:tcPr>
          <w:p w14:paraId="124F441E" w14:textId="20B1E4F7" w:rsidR="004C2636" w:rsidRPr="00610088" w:rsidRDefault="004C2636" w:rsidP="004C2636">
            <w:pPr>
              <w:rPr>
                <w:b/>
                <w:bCs/>
                <w:sz w:val="20"/>
                <w:szCs w:val="20"/>
                <w:u w:val="single"/>
                <w:lang w:val="en-GB"/>
              </w:rPr>
            </w:pPr>
            <w:r w:rsidRPr="00610088">
              <w:rPr>
                <w:bCs/>
                <w:sz w:val="20"/>
                <w:szCs w:val="20"/>
                <w:lang w:val="en-GB"/>
              </w:rPr>
              <w:t xml:space="preserve">Advocate with stakeholders to implement multi-component workplace physical activity </w:t>
            </w:r>
            <w:r w:rsidR="00640482" w:rsidRPr="00610088">
              <w:rPr>
                <w:bCs/>
                <w:sz w:val="20"/>
                <w:szCs w:val="20"/>
                <w:lang w:val="en-GB"/>
              </w:rPr>
              <w:t>programs</w:t>
            </w:r>
          </w:p>
        </w:tc>
        <w:tc>
          <w:tcPr>
            <w:tcW w:w="501" w:type="pct"/>
          </w:tcPr>
          <w:p w14:paraId="77233C03" w14:textId="3094886F" w:rsidR="004C2636" w:rsidRPr="00610088" w:rsidRDefault="004C2636" w:rsidP="004C2636">
            <w:pPr>
              <w:rPr>
                <w:b/>
                <w:bCs/>
                <w:sz w:val="20"/>
                <w:szCs w:val="20"/>
                <w:u w:val="single"/>
                <w:lang w:val="en-GB"/>
              </w:rPr>
            </w:pPr>
          </w:p>
        </w:tc>
        <w:tc>
          <w:tcPr>
            <w:tcW w:w="450" w:type="pct"/>
          </w:tcPr>
          <w:p w14:paraId="4B4006D4" w14:textId="6CDE5FB1" w:rsidR="004C2636" w:rsidRPr="00610088" w:rsidRDefault="004C2636" w:rsidP="004C2636">
            <w:pPr>
              <w:rPr>
                <w:sz w:val="20"/>
                <w:szCs w:val="20"/>
                <w:lang w:val="en-GB"/>
              </w:rPr>
            </w:pPr>
            <w:r w:rsidRPr="00610088">
              <w:rPr>
                <w:sz w:val="20"/>
                <w:szCs w:val="20"/>
                <w:lang w:val="en-GB"/>
              </w:rPr>
              <w:t>x</w:t>
            </w:r>
          </w:p>
        </w:tc>
        <w:tc>
          <w:tcPr>
            <w:tcW w:w="450" w:type="pct"/>
          </w:tcPr>
          <w:p w14:paraId="40E63B9E" w14:textId="2A09F161" w:rsidR="004C2636" w:rsidRPr="00610088" w:rsidRDefault="004C2636" w:rsidP="004C2636">
            <w:pPr>
              <w:rPr>
                <w:sz w:val="20"/>
                <w:szCs w:val="20"/>
                <w:lang w:val="en-GB"/>
              </w:rPr>
            </w:pPr>
            <w:r w:rsidRPr="00610088">
              <w:rPr>
                <w:sz w:val="20"/>
                <w:szCs w:val="20"/>
                <w:lang w:val="en-GB"/>
              </w:rPr>
              <w:t>x</w:t>
            </w:r>
          </w:p>
        </w:tc>
      </w:tr>
    </w:tbl>
    <w:p w14:paraId="2E628E0F" w14:textId="62722FD0" w:rsidR="007A3E6E" w:rsidRPr="00610088" w:rsidRDefault="007A3E6E" w:rsidP="007A3E6E">
      <w:pPr>
        <w:rPr>
          <w:lang w:val="en-GB"/>
        </w:rPr>
      </w:pPr>
    </w:p>
    <w:p w14:paraId="40BD2472" w14:textId="4ACEB3D9" w:rsidR="00604264" w:rsidRPr="00610088" w:rsidRDefault="00604264" w:rsidP="007A3E6E">
      <w:pPr>
        <w:pStyle w:val="Heading2"/>
        <w:rPr>
          <w:lang w:val="en-GB"/>
        </w:rPr>
      </w:pPr>
      <w:bookmarkStart w:id="106" w:name="_Toc41370566"/>
      <w:r w:rsidRPr="00610088">
        <w:rPr>
          <w:lang w:val="en-GB"/>
        </w:rPr>
        <w:t>SO2: To mobilize sustainable funding for NCD activities at all levels</w:t>
      </w:r>
      <w:bookmarkEnd w:id="106"/>
    </w:p>
    <w:p w14:paraId="012ADDDB" w14:textId="77777777" w:rsidR="008023B9" w:rsidRPr="00610088" w:rsidRDefault="008023B9" w:rsidP="00AE0A1E">
      <w:pPr>
        <w:rPr>
          <w:lang w:val="en-GB"/>
        </w:rPr>
      </w:pPr>
    </w:p>
    <w:p w14:paraId="04D29A76" w14:textId="0B98D4DD" w:rsidR="00AE0A1E" w:rsidRPr="00610088" w:rsidRDefault="00AE0A1E" w:rsidP="001B16D1">
      <w:pPr>
        <w:rPr>
          <w:lang w:val="en-GB"/>
        </w:rPr>
      </w:pPr>
      <w:r w:rsidRPr="00610088">
        <w:rPr>
          <w:lang w:val="en-GB"/>
        </w:rPr>
        <w:t xml:space="preserve">The table below contains the key strategies and broad activities under SO2. There is overlap between SO1, SO2 and SO5, please also consult SO1 and SO5. </w:t>
      </w:r>
    </w:p>
    <w:p w14:paraId="76D671CE" w14:textId="1ADA58CF" w:rsidR="00604264" w:rsidRPr="00610088" w:rsidRDefault="00604264" w:rsidP="00604264">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8604"/>
        <w:gridCol w:w="1420"/>
        <w:gridCol w:w="1275"/>
        <w:gridCol w:w="1055"/>
      </w:tblGrid>
      <w:tr w:rsidR="00604264" w:rsidRPr="00610088" w14:paraId="4C7FA84B" w14:textId="77777777" w:rsidTr="00A8191E">
        <w:trPr>
          <w:cantSplit/>
          <w:tblHeader/>
        </w:trPr>
        <w:tc>
          <w:tcPr>
            <w:tcW w:w="572" w:type="pct"/>
          </w:tcPr>
          <w:p w14:paraId="55BF612E" w14:textId="77777777" w:rsidR="00604264" w:rsidRPr="00610088" w:rsidRDefault="00604264" w:rsidP="006B30FE">
            <w:pPr>
              <w:rPr>
                <w:b/>
                <w:sz w:val="20"/>
                <w:szCs w:val="20"/>
                <w:lang w:val="en-GB"/>
              </w:rPr>
            </w:pPr>
            <w:r w:rsidRPr="00610088">
              <w:rPr>
                <w:b/>
                <w:sz w:val="20"/>
                <w:szCs w:val="20"/>
                <w:lang w:val="en-GB"/>
              </w:rPr>
              <w:t>Strategy</w:t>
            </w:r>
          </w:p>
        </w:tc>
        <w:tc>
          <w:tcPr>
            <w:tcW w:w="3084" w:type="pct"/>
          </w:tcPr>
          <w:p w14:paraId="29FFFD5A" w14:textId="77777777" w:rsidR="00604264" w:rsidRPr="00610088" w:rsidRDefault="00604264" w:rsidP="006B30FE">
            <w:pPr>
              <w:rPr>
                <w:b/>
                <w:sz w:val="20"/>
                <w:szCs w:val="20"/>
                <w:lang w:val="en-GB"/>
              </w:rPr>
            </w:pPr>
            <w:r w:rsidRPr="00610088">
              <w:rPr>
                <w:b/>
                <w:sz w:val="20"/>
                <w:szCs w:val="20"/>
                <w:lang w:val="en-GB"/>
              </w:rPr>
              <w:t xml:space="preserve">Broad activity </w:t>
            </w:r>
          </w:p>
        </w:tc>
        <w:tc>
          <w:tcPr>
            <w:tcW w:w="509" w:type="pct"/>
          </w:tcPr>
          <w:p w14:paraId="5CA71ECA" w14:textId="77777777" w:rsidR="00604264" w:rsidRPr="00610088" w:rsidRDefault="00604264" w:rsidP="006B30FE">
            <w:pPr>
              <w:rPr>
                <w:b/>
                <w:sz w:val="20"/>
                <w:szCs w:val="20"/>
                <w:lang w:val="en-GB"/>
              </w:rPr>
            </w:pPr>
            <w:r w:rsidRPr="00610088">
              <w:rPr>
                <w:b/>
                <w:sz w:val="20"/>
                <w:szCs w:val="20"/>
                <w:lang w:val="en-GB"/>
              </w:rPr>
              <w:t>Short term (1-2 years)</w:t>
            </w:r>
          </w:p>
        </w:tc>
        <w:tc>
          <w:tcPr>
            <w:tcW w:w="457" w:type="pct"/>
          </w:tcPr>
          <w:p w14:paraId="125514F6" w14:textId="77777777" w:rsidR="00604264" w:rsidRPr="00610088" w:rsidRDefault="00604264" w:rsidP="006B30FE">
            <w:pPr>
              <w:rPr>
                <w:b/>
                <w:sz w:val="20"/>
                <w:szCs w:val="20"/>
                <w:lang w:val="en-GB"/>
              </w:rPr>
            </w:pPr>
            <w:r w:rsidRPr="00610088">
              <w:rPr>
                <w:b/>
                <w:sz w:val="20"/>
                <w:szCs w:val="20"/>
                <w:lang w:val="en-GB"/>
              </w:rPr>
              <w:t xml:space="preserve">Medium term </w:t>
            </w:r>
          </w:p>
          <w:p w14:paraId="6511D238" w14:textId="77777777" w:rsidR="00604264" w:rsidRPr="00610088" w:rsidRDefault="00604264" w:rsidP="006B30FE">
            <w:pPr>
              <w:rPr>
                <w:b/>
                <w:sz w:val="20"/>
                <w:szCs w:val="20"/>
                <w:lang w:val="en-GB"/>
              </w:rPr>
            </w:pPr>
            <w:r w:rsidRPr="00610088">
              <w:rPr>
                <w:b/>
                <w:sz w:val="20"/>
                <w:szCs w:val="20"/>
                <w:lang w:val="en-GB"/>
              </w:rPr>
              <w:t>(3-5 years)</w:t>
            </w:r>
          </w:p>
        </w:tc>
        <w:tc>
          <w:tcPr>
            <w:tcW w:w="378" w:type="pct"/>
          </w:tcPr>
          <w:p w14:paraId="77BA98AA" w14:textId="77777777" w:rsidR="00604264" w:rsidRPr="00610088" w:rsidRDefault="00604264" w:rsidP="006B30FE">
            <w:pPr>
              <w:rPr>
                <w:b/>
                <w:sz w:val="20"/>
                <w:szCs w:val="20"/>
                <w:lang w:val="en-GB"/>
              </w:rPr>
            </w:pPr>
            <w:r w:rsidRPr="00610088">
              <w:rPr>
                <w:b/>
                <w:sz w:val="20"/>
                <w:szCs w:val="20"/>
                <w:lang w:val="en-GB"/>
              </w:rPr>
              <w:t>Long term (&gt; 5 years)</w:t>
            </w:r>
          </w:p>
        </w:tc>
      </w:tr>
      <w:tr w:rsidR="00604264" w:rsidRPr="00610088" w14:paraId="76796E37" w14:textId="77777777" w:rsidTr="00A8191E">
        <w:trPr>
          <w:cantSplit/>
          <w:trHeight w:val="283"/>
        </w:trPr>
        <w:tc>
          <w:tcPr>
            <w:tcW w:w="572" w:type="pct"/>
            <w:vMerge w:val="restart"/>
          </w:tcPr>
          <w:p w14:paraId="6E051831" w14:textId="1DA96907" w:rsidR="00604264" w:rsidRPr="00610088" w:rsidRDefault="00604264" w:rsidP="006B30FE">
            <w:pPr>
              <w:rPr>
                <w:bCs/>
                <w:sz w:val="20"/>
                <w:szCs w:val="20"/>
                <w:lang w:val="en-GB"/>
              </w:rPr>
            </w:pPr>
            <w:r w:rsidRPr="00610088">
              <w:rPr>
                <w:bCs/>
                <w:sz w:val="20"/>
                <w:szCs w:val="20"/>
                <w:lang w:val="en-GB"/>
              </w:rPr>
              <w:t>Fundraising for NCDs both in / out of country (</w:t>
            </w:r>
            <w:proofErr w:type="spellStart"/>
            <w:r w:rsidRPr="00610088">
              <w:rPr>
                <w:bCs/>
                <w:sz w:val="20"/>
                <w:szCs w:val="20"/>
                <w:lang w:val="en-GB"/>
              </w:rPr>
              <w:t>GoSL</w:t>
            </w:r>
            <w:proofErr w:type="spellEnd"/>
            <w:r w:rsidRPr="00610088">
              <w:rPr>
                <w:bCs/>
                <w:sz w:val="20"/>
                <w:szCs w:val="20"/>
                <w:lang w:val="en-GB"/>
              </w:rPr>
              <w:t>, local councils, in/out country donors)</w:t>
            </w:r>
          </w:p>
        </w:tc>
        <w:tc>
          <w:tcPr>
            <w:tcW w:w="3084" w:type="pct"/>
          </w:tcPr>
          <w:p w14:paraId="547DF1A8" w14:textId="01493D80" w:rsidR="00604264" w:rsidRPr="00610088" w:rsidRDefault="00604264" w:rsidP="00604264">
            <w:pPr>
              <w:pStyle w:val="NoSpacing"/>
              <w:rPr>
                <w:bCs/>
                <w:sz w:val="20"/>
                <w:szCs w:val="20"/>
                <w:lang w:val="en-GB"/>
              </w:rPr>
            </w:pPr>
            <w:r w:rsidRPr="00610088">
              <w:rPr>
                <w:sz w:val="20"/>
                <w:szCs w:val="20"/>
                <w:lang w:val="en-GB"/>
              </w:rPr>
              <w:t>Develop and regularly update NCD advocacy/briefing package/kit</w:t>
            </w:r>
          </w:p>
        </w:tc>
        <w:tc>
          <w:tcPr>
            <w:tcW w:w="509" w:type="pct"/>
          </w:tcPr>
          <w:p w14:paraId="7EAC9C8F" w14:textId="577DE2FD" w:rsidR="00604264" w:rsidRPr="00610088" w:rsidRDefault="00604264" w:rsidP="006B30FE">
            <w:pPr>
              <w:pStyle w:val="NoSpacing"/>
              <w:rPr>
                <w:bCs/>
                <w:sz w:val="20"/>
                <w:szCs w:val="20"/>
                <w:lang w:val="en-GB"/>
              </w:rPr>
            </w:pPr>
            <w:r w:rsidRPr="00610088">
              <w:rPr>
                <w:bCs/>
                <w:sz w:val="20"/>
                <w:szCs w:val="20"/>
                <w:lang w:val="en-GB"/>
              </w:rPr>
              <w:t>x</w:t>
            </w:r>
          </w:p>
        </w:tc>
        <w:tc>
          <w:tcPr>
            <w:tcW w:w="457" w:type="pct"/>
          </w:tcPr>
          <w:p w14:paraId="3EFF14AF" w14:textId="2EB3E59C" w:rsidR="00604264" w:rsidRPr="00610088" w:rsidRDefault="00604264" w:rsidP="006B30FE">
            <w:pPr>
              <w:pStyle w:val="NoSpacing"/>
              <w:rPr>
                <w:bCs/>
                <w:sz w:val="20"/>
                <w:szCs w:val="20"/>
                <w:lang w:val="en-GB"/>
              </w:rPr>
            </w:pPr>
            <w:r w:rsidRPr="00610088">
              <w:rPr>
                <w:bCs/>
                <w:sz w:val="20"/>
                <w:szCs w:val="20"/>
                <w:lang w:val="en-GB"/>
              </w:rPr>
              <w:t>x</w:t>
            </w:r>
          </w:p>
        </w:tc>
        <w:tc>
          <w:tcPr>
            <w:tcW w:w="378" w:type="pct"/>
          </w:tcPr>
          <w:p w14:paraId="5AC9456E" w14:textId="2020D208" w:rsidR="00604264" w:rsidRPr="00610088" w:rsidRDefault="00604264" w:rsidP="006B30FE">
            <w:pPr>
              <w:pStyle w:val="NoSpacing"/>
              <w:rPr>
                <w:bCs/>
                <w:sz w:val="20"/>
                <w:szCs w:val="20"/>
                <w:lang w:val="en-GB"/>
              </w:rPr>
            </w:pPr>
            <w:r w:rsidRPr="00610088">
              <w:rPr>
                <w:bCs/>
                <w:sz w:val="20"/>
                <w:szCs w:val="20"/>
                <w:lang w:val="en-GB"/>
              </w:rPr>
              <w:t>x</w:t>
            </w:r>
          </w:p>
        </w:tc>
      </w:tr>
      <w:tr w:rsidR="00604264" w:rsidRPr="00610088" w14:paraId="4C6BA859" w14:textId="77777777" w:rsidTr="00A8191E">
        <w:trPr>
          <w:cantSplit/>
          <w:trHeight w:val="283"/>
        </w:trPr>
        <w:tc>
          <w:tcPr>
            <w:tcW w:w="572" w:type="pct"/>
            <w:vMerge/>
          </w:tcPr>
          <w:p w14:paraId="298DD185" w14:textId="77777777" w:rsidR="00604264" w:rsidRPr="00610088" w:rsidRDefault="00604264" w:rsidP="006B30FE">
            <w:pPr>
              <w:rPr>
                <w:bCs/>
                <w:sz w:val="20"/>
                <w:szCs w:val="20"/>
                <w:lang w:val="en-GB"/>
              </w:rPr>
            </w:pPr>
          </w:p>
        </w:tc>
        <w:tc>
          <w:tcPr>
            <w:tcW w:w="3084" w:type="pct"/>
          </w:tcPr>
          <w:p w14:paraId="40AB9922" w14:textId="49088096" w:rsidR="00604264" w:rsidRPr="00610088" w:rsidRDefault="00604264" w:rsidP="00604264">
            <w:pPr>
              <w:pStyle w:val="NoSpacing"/>
              <w:rPr>
                <w:sz w:val="20"/>
                <w:szCs w:val="20"/>
                <w:lang w:val="en-GB"/>
              </w:rPr>
            </w:pPr>
            <w:r w:rsidRPr="00610088">
              <w:rPr>
                <w:sz w:val="20"/>
                <w:szCs w:val="20"/>
                <w:lang w:val="en-GB"/>
              </w:rPr>
              <w:t>Establish and support a fundraising subgroup to the NCD TWG</w:t>
            </w:r>
          </w:p>
        </w:tc>
        <w:tc>
          <w:tcPr>
            <w:tcW w:w="509" w:type="pct"/>
          </w:tcPr>
          <w:p w14:paraId="121E8193" w14:textId="6B314B52" w:rsidR="00604264" w:rsidRPr="00610088" w:rsidRDefault="00604264" w:rsidP="006B30FE">
            <w:pPr>
              <w:pStyle w:val="NoSpacing"/>
              <w:rPr>
                <w:bCs/>
                <w:sz w:val="20"/>
                <w:szCs w:val="20"/>
                <w:lang w:val="en-GB"/>
              </w:rPr>
            </w:pPr>
            <w:r w:rsidRPr="00610088">
              <w:rPr>
                <w:bCs/>
                <w:sz w:val="20"/>
                <w:szCs w:val="20"/>
                <w:lang w:val="en-GB"/>
              </w:rPr>
              <w:t>x</w:t>
            </w:r>
          </w:p>
        </w:tc>
        <w:tc>
          <w:tcPr>
            <w:tcW w:w="457" w:type="pct"/>
          </w:tcPr>
          <w:p w14:paraId="375D9E2C" w14:textId="6639DCCC" w:rsidR="00604264" w:rsidRPr="00610088" w:rsidRDefault="00604264" w:rsidP="006B30FE">
            <w:pPr>
              <w:pStyle w:val="NoSpacing"/>
              <w:rPr>
                <w:bCs/>
                <w:sz w:val="20"/>
                <w:szCs w:val="20"/>
                <w:lang w:val="en-GB"/>
              </w:rPr>
            </w:pPr>
            <w:r w:rsidRPr="00610088">
              <w:rPr>
                <w:bCs/>
                <w:sz w:val="20"/>
                <w:szCs w:val="20"/>
                <w:lang w:val="en-GB"/>
              </w:rPr>
              <w:t>x</w:t>
            </w:r>
          </w:p>
        </w:tc>
        <w:tc>
          <w:tcPr>
            <w:tcW w:w="378" w:type="pct"/>
          </w:tcPr>
          <w:p w14:paraId="1D89D98D" w14:textId="54D863F0" w:rsidR="00604264" w:rsidRPr="00610088" w:rsidRDefault="00604264" w:rsidP="006B30FE">
            <w:pPr>
              <w:pStyle w:val="NoSpacing"/>
              <w:rPr>
                <w:bCs/>
                <w:sz w:val="20"/>
                <w:szCs w:val="20"/>
                <w:lang w:val="en-GB"/>
              </w:rPr>
            </w:pPr>
            <w:r w:rsidRPr="00610088">
              <w:rPr>
                <w:bCs/>
                <w:sz w:val="20"/>
                <w:szCs w:val="20"/>
                <w:lang w:val="en-GB"/>
              </w:rPr>
              <w:t>x</w:t>
            </w:r>
          </w:p>
        </w:tc>
      </w:tr>
      <w:tr w:rsidR="00604264" w:rsidRPr="00610088" w14:paraId="37F5AE3E" w14:textId="77777777" w:rsidTr="00A8191E">
        <w:trPr>
          <w:cantSplit/>
          <w:trHeight w:val="283"/>
        </w:trPr>
        <w:tc>
          <w:tcPr>
            <w:tcW w:w="572" w:type="pct"/>
            <w:vMerge/>
          </w:tcPr>
          <w:p w14:paraId="1061BD77" w14:textId="77777777" w:rsidR="00604264" w:rsidRPr="00610088" w:rsidRDefault="00604264" w:rsidP="006B30FE">
            <w:pPr>
              <w:rPr>
                <w:bCs/>
                <w:sz w:val="20"/>
                <w:szCs w:val="20"/>
                <w:lang w:val="en-GB"/>
              </w:rPr>
            </w:pPr>
          </w:p>
        </w:tc>
        <w:tc>
          <w:tcPr>
            <w:tcW w:w="3084" w:type="pct"/>
          </w:tcPr>
          <w:p w14:paraId="10AE2FD6" w14:textId="1546CAC8" w:rsidR="00604264" w:rsidRPr="00610088" w:rsidRDefault="00604264" w:rsidP="006B30FE">
            <w:pPr>
              <w:pStyle w:val="NoSpacing"/>
              <w:rPr>
                <w:bCs/>
                <w:sz w:val="20"/>
                <w:szCs w:val="20"/>
                <w:lang w:val="en-GB"/>
              </w:rPr>
            </w:pPr>
            <w:r w:rsidRPr="00610088">
              <w:rPr>
                <w:bCs/>
                <w:sz w:val="20"/>
                <w:szCs w:val="20"/>
                <w:lang w:val="en-GB"/>
              </w:rPr>
              <w:t>Develop and implement a fundraising plan</w:t>
            </w:r>
          </w:p>
        </w:tc>
        <w:tc>
          <w:tcPr>
            <w:tcW w:w="509" w:type="pct"/>
          </w:tcPr>
          <w:p w14:paraId="056DE1AA" w14:textId="354B10C1" w:rsidR="00604264" w:rsidRPr="00610088" w:rsidRDefault="00604264" w:rsidP="006B30FE">
            <w:pPr>
              <w:pStyle w:val="NoSpacing"/>
              <w:rPr>
                <w:bCs/>
                <w:sz w:val="20"/>
                <w:szCs w:val="20"/>
                <w:lang w:val="en-GB"/>
              </w:rPr>
            </w:pPr>
            <w:r w:rsidRPr="00610088">
              <w:rPr>
                <w:bCs/>
                <w:sz w:val="20"/>
                <w:szCs w:val="20"/>
                <w:lang w:val="en-GB"/>
              </w:rPr>
              <w:t>x</w:t>
            </w:r>
          </w:p>
        </w:tc>
        <w:tc>
          <w:tcPr>
            <w:tcW w:w="457" w:type="pct"/>
          </w:tcPr>
          <w:p w14:paraId="6376DDB8" w14:textId="1BCE97AE" w:rsidR="00604264" w:rsidRPr="00610088" w:rsidRDefault="00604264" w:rsidP="006B30FE">
            <w:pPr>
              <w:pStyle w:val="NoSpacing"/>
              <w:rPr>
                <w:bCs/>
                <w:sz w:val="20"/>
                <w:szCs w:val="20"/>
                <w:lang w:val="en-GB"/>
              </w:rPr>
            </w:pPr>
            <w:r w:rsidRPr="00610088">
              <w:rPr>
                <w:bCs/>
                <w:sz w:val="20"/>
                <w:szCs w:val="20"/>
                <w:lang w:val="en-GB"/>
              </w:rPr>
              <w:t>x</w:t>
            </w:r>
          </w:p>
        </w:tc>
        <w:tc>
          <w:tcPr>
            <w:tcW w:w="378" w:type="pct"/>
          </w:tcPr>
          <w:p w14:paraId="6224C710" w14:textId="5F9DA056" w:rsidR="00604264" w:rsidRPr="00610088" w:rsidRDefault="00604264" w:rsidP="006B30FE">
            <w:pPr>
              <w:pStyle w:val="NoSpacing"/>
              <w:rPr>
                <w:bCs/>
                <w:sz w:val="20"/>
                <w:szCs w:val="20"/>
                <w:lang w:val="en-GB"/>
              </w:rPr>
            </w:pPr>
            <w:r w:rsidRPr="00610088">
              <w:rPr>
                <w:bCs/>
                <w:sz w:val="20"/>
                <w:szCs w:val="20"/>
                <w:lang w:val="en-GB"/>
              </w:rPr>
              <w:t>x</w:t>
            </w:r>
          </w:p>
        </w:tc>
      </w:tr>
      <w:tr w:rsidR="009832F9" w:rsidRPr="00610088" w14:paraId="16349C0E" w14:textId="77777777" w:rsidTr="00A8191E">
        <w:trPr>
          <w:cantSplit/>
          <w:trHeight w:val="283"/>
        </w:trPr>
        <w:tc>
          <w:tcPr>
            <w:tcW w:w="572" w:type="pct"/>
            <w:vMerge/>
          </w:tcPr>
          <w:p w14:paraId="6258A278" w14:textId="77777777" w:rsidR="009832F9" w:rsidRPr="00610088" w:rsidRDefault="009832F9" w:rsidP="006B30FE">
            <w:pPr>
              <w:rPr>
                <w:bCs/>
                <w:sz w:val="20"/>
                <w:szCs w:val="20"/>
                <w:lang w:val="en-GB"/>
              </w:rPr>
            </w:pPr>
          </w:p>
        </w:tc>
        <w:tc>
          <w:tcPr>
            <w:tcW w:w="3084" w:type="pct"/>
          </w:tcPr>
          <w:p w14:paraId="1DF6A2D0" w14:textId="0C845A3F" w:rsidR="009832F9" w:rsidRPr="00610088" w:rsidRDefault="009832F9" w:rsidP="006B30FE">
            <w:pPr>
              <w:pStyle w:val="NoSpacing"/>
              <w:rPr>
                <w:sz w:val="20"/>
                <w:szCs w:val="20"/>
                <w:lang w:val="en-GB"/>
              </w:rPr>
            </w:pPr>
            <w:r w:rsidRPr="00610088">
              <w:rPr>
                <w:sz w:val="20"/>
                <w:szCs w:val="20"/>
                <w:lang w:val="en-GB"/>
              </w:rPr>
              <w:t>Engage donors with the package/kit</w:t>
            </w:r>
            <w:r w:rsidR="00FC1049" w:rsidRPr="00610088">
              <w:rPr>
                <w:sz w:val="20"/>
                <w:szCs w:val="20"/>
                <w:lang w:val="en-GB"/>
              </w:rPr>
              <w:t>, including:</w:t>
            </w:r>
          </w:p>
          <w:p w14:paraId="7D5DB81F" w14:textId="6B1305BC" w:rsidR="00FC1049" w:rsidRPr="00610088" w:rsidRDefault="00FC1049" w:rsidP="00B82C13">
            <w:pPr>
              <w:pStyle w:val="NoSpacing"/>
              <w:numPr>
                <w:ilvl w:val="0"/>
                <w:numId w:val="4"/>
              </w:numPr>
              <w:rPr>
                <w:sz w:val="20"/>
                <w:szCs w:val="20"/>
                <w:lang w:val="en-GB"/>
              </w:rPr>
            </w:pPr>
            <w:r w:rsidRPr="00610088">
              <w:rPr>
                <w:sz w:val="20"/>
                <w:szCs w:val="20"/>
                <w:lang w:val="en-GB"/>
              </w:rPr>
              <w:t xml:space="preserve">Advocate for higher percentage of </w:t>
            </w:r>
            <w:proofErr w:type="spellStart"/>
            <w:r w:rsidR="00156C15">
              <w:rPr>
                <w:sz w:val="20"/>
                <w:szCs w:val="20"/>
                <w:lang w:val="en-GB"/>
              </w:rPr>
              <w:t>MoHS</w:t>
            </w:r>
            <w:proofErr w:type="spellEnd"/>
            <w:r w:rsidRPr="00610088">
              <w:rPr>
                <w:sz w:val="20"/>
                <w:szCs w:val="20"/>
                <w:lang w:val="en-GB"/>
              </w:rPr>
              <w:t xml:space="preserve"> budget for NCDs (Ministry of Finance- </w:t>
            </w:r>
            <w:proofErr w:type="spellStart"/>
            <w:r w:rsidRPr="00610088">
              <w:rPr>
                <w:sz w:val="20"/>
                <w:szCs w:val="20"/>
                <w:lang w:val="en-GB"/>
              </w:rPr>
              <w:t>MoF</w:t>
            </w:r>
            <w:proofErr w:type="spellEnd"/>
            <w:r w:rsidRPr="00610088">
              <w:rPr>
                <w:sz w:val="20"/>
                <w:szCs w:val="20"/>
                <w:lang w:val="en-GB"/>
              </w:rPr>
              <w:t>)</w:t>
            </w:r>
          </w:p>
        </w:tc>
        <w:tc>
          <w:tcPr>
            <w:tcW w:w="509" w:type="pct"/>
          </w:tcPr>
          <w:p w14:paraId="0F6D77FF" w14:textId="489F777E" w:rsidR="009832F9" w:rsidRPr="00610088" w:rsidRDefault="009832F9" w:rsidP="006B30FE">
            <w:pPr>
              <w:pStyle w:val="NoSpacing"/>
              <w:rPr>
                <w:bCs/>
                <w:sz w:val="20"/>
                <w:szCs w:val="20"/>
                <w:lang w:val="en-GB"/>
              </w:rPr>
            </w:pPr>
            <w:r w:rsidRPr="00610088">
              <w:rPr>
                <w:bCs/>
                <w:sz w:val="20"/>
                <w:szCs w:val="20"/>
                <w:lang w:val="en-GB"/>
              </w:rPr>
              <w:t>x</w:t>
            </w:r>
          </w:p>
        </w:tc>
        <w:tc>
          <w:tcPr>
            <w:tcW w:w="457" w:type="pct"/>
          </w:tcPr>
          <w:p w14:paraId="75A1397D" w14:textId="28B7F138" w:rsidR="009832F9" w:rsidRPr="00610088" w:rsidRDefault="009832F9" w:rsidP="006B30FE">
            <w:pPr>
              <w:pStyle w:val="NoSpacing"/>
              <w:rPr>
                <w:bCs/>
                <w:sz w:val="20"/>
                <w:szCs w:val="20"/>
                <w:lang w:val="en-GB"/>
              </w:rPr>
            </w:pPr>
            <w:r w:rsidRPr="00610088">
              <w:rPr>
                <w:bCs/>
                <w:sz w:val="20"/>
                <w:szCs w:val="20"/>
                <w:lang w:val="en-GB"/>
              </w:rPr>
              <w:t>x</w:t>
            </w:r>
          </w:p>
        </w:tc>
        <w:tc>
          <w:tcPr>
            <w:tcW w:w="378" w:type="pct"/>
          </w:tcPr>
          <w:p w14:paraId="45277808" w14:textId="33ADC005" w:rsidR="009832F9" w:rsidRPr="00610088" w:rsidRDefault="009832F9" w:rsidP="006B30FE">
            <w:pPr>
              <w:pStyle w:val="NoSpacing"/>
              <w:rPr>
                <w:bCs/>
                <w:sz w:val="20"/>
                <w:szCs w:val="20"/>
                <w:lang w:val="en-GB"/>
              </w:rPr>
            </w:pPr>
            <w:r w:rsidRPr="00610088">
              <w:rPr>
                <w:bCs/>
                <w:sz w:val="20"/>
                <w:szCs w:val="20"/>
                <w:lang w:val="en-GB"/>
              </w:rPr>
              <w:t>x</w:t>
            </w:r>
          </w:p>
        </w:tc>
      </w:tr>
      <w:tr w:rsidR="00604264" w:rsidRPr="00610088" w14:paraId="1FBE8BAA" w14:textId="77777777" w:rsidTr="00A8191E">
        <w:trPr>
          <w:cantSplit/>
          <w:trHeight w:val="283"/>
        </w:trPr>
        <w:tc>
          <w:tcPr>
            <w:tcW w:w="572" w:type="pct"/>
            <w:vMerge/>
          </w:tcPr>
          <w:p w14:paraId="672A5CE8" w14:textId="77777777" w:rsidR="00604264" w:rsidRPr="00610088" w:rsidRDefault="00604264" w:rsidP="006B30FE">
            <w:pPr>
              <w:rPr>
                <w:bCs/>
                <w:sz w:val="20"/>
                <w:szCs w:val="20"/>
                <w:lang w:val="en-GB"/>
              </w:rPr>
            </w:pPr>
          </w:p>
        </w:tc>
        <w:tc>
          <w:tcPr>
            <w:tcW w:w="3084" w:type="pct"/>
          </w:tcPr>
          <w:p w14:paraId="5F3B2F0F" w14:textId="163CCB2C" w:rsidR="00604264" w:rsidRPr="00610088" w:rsidRDefault="00604264" w:rsidP="006B30FE">
            <w:pPr>
              <w:pStyle w:val="NoSpacing"/>
              <w:rPr>
                <w:bCs/>
                <w:sz w:val="20"/>
                <w:szCs w:val="20"/>
                <w:lang w:val="en-GB"/>
              </w:rPr>
            </w:pPr>
            <w:r w:rsidRPr="00610088">
              <w:rPr>
                <w:sz w:val="20"/>
                <w:szCs w:val="20"/>
                <w:lang w:val="en-GB"/>
              </w:rPr>
              <w:t>Review fundraising activities</w:t>
            </w:r>
          </w:p>
        </w:tc>
        <w:tc>
          <w:tcPr>
            <w:tcW w:w="509" w:type="pct"/>
          </w:tcPr>
          <w:p w14:paraId="7C89392C" w14:textId="1A53FE08" w:rsidR="00604264" w:rsidRPr="00610088" w:rsidRDefault="00604264" w:rsidP="006B30FE">
            <w:pPr>
              <w:pStyle w:val="NoSpacing"/>
              <w:rPr>
                <w:bCs/>
                <w:sz w:val="20"/>
                <w:szCs w:val="20"/>
                <w:lang w:val="en-GB"/>
              </w:rPr>
            </w:pPr>
          </w:p>
        </w:tc>
        <w:tc>
          <w:tcPr>
            <w:tcW w:w="457" w:type="pct"/>
          </w:tcPr>
          <w:p w14:paraId="37634E50" w14:textId="23454064" w:rsidR="00604264" w:rsidRPr="00610088" w:rsidRDefault="00604264" w:rsidP="006B30FE">
            <w:pPr>
              <w:pStyle w:val="NoSpacing"/>
              <w:rPr>
                <w:bCs/>
                <w:sz w:val="20"/>
                <w:szCs w:val="20"/>
                <w:lang w:val="en-GB"/>
              </w:rPr>
            </w:pPr>
            <w:r w:rsidRPr="00610088">
              <w:rPr>
                <w:bCs/>
                <w:sz w:val="20"/>
                <w:szCs w:val="20"/>
                <w:lang w:val="en-GB"/>
              </w:rPr>
              <w:t>x</w:t>
            </w:r>
          </w:p>
        </w:tc>
        <w:tc>
          <w:tcPr>
            <w:tcW w:w="378" w:type="pct"/>
          </w:tcPr>
          <w:p w14:paraId="77C01A51" w14:textId="6041CBC0" w:rsidR="00604264" w:rsidRPr="00610088" w:rsidRDefault="00604264" w:rsidP="006B30FE">
            <w:pPr>
              <w:pStyle w:val="NoSpacing"/>
              <w:rPr>
                <w:bCs/>
                <w:sz w:val="20"/>
                <w:szCs w:val="20"/>
                <w:lang w:val="en-GB"/>
              </w:rPr>
            </w:pPr>
            <w:r w:rsidRPr="00610088">
              <w:rPr>
                <w:bCs/>
                <w:sz w:val="20"/>
                <w:szCs w:val="20"/>
                <w:lang w:val="en-GB"/>
              </w:rPr>
              <w:t>x</w:t>
            </w:r>
          </w:p>
        </w:tc>
      </w:tr>
    </w:tbl>
    <w:p w14:paraId="458DCE0C" w14:textId="38F2CD6B" w:rsidR="00604264" w:rsidRPr="00610088" w:rsidRDefault="00604264" w:rsidP="00604264">
      <w:pPr>
        <w:rPr>
          <w:lang w:val="en-GB"/>
        </w:rPr>
      </w:pPr>
    </w:p>
    <w:p w14:paraId="2900D105" w14:textId="3C7418F0" w:rsidR="008023B9" w:rsidRDefault="008023B9">
      <w:pPr>
        <w:rPr>
          <w:lang w:val="en-GB"/>
        </w:rPr>
      </w:pPr>
    </w:p>
    <w:p w14:paraId="4CED73F9" w14:textId="77777777" w:rsidR="001B16D1" w:rsidRPr="00610088" w:rsidRDefault="001B16D1">
      <w:pPr>
        <w:rPr>
          <w:lang w:val="en-GB"/>
        </w:rPr>
      </w:pPr>
    </w:p>
    <w:p w14:paraId="3FC59BF0" w14:textId="36B814F4" w:rsidR="00C57B3E" w:rsidRPr="00610088" w:rsidRDefault="009F4182" w:rsidP="007A3E6E">
      <w:pPr>
        <w:pStyle w:val="Heading2"/>
        <w:rPr>
          <w:lang w:val="en-GB"/>
        </w:rPr>
      </w:pPr>
      <w:bookmarkStart w:id="107" w:name="_Toc41370567"/>
      <w:r w:rsidRPr="00610088">
        <w:rPr>
          <w:lang w:val="en-GB"/>
        </w:rPr>
        <w:lastRenderedPageBreak/>
        <w:t>SO</w:t>
      </w:r>
      <w:r w:rsidR="00604264" w:rsidRPr="00610088">
        <w:rPr>
          <w:lang w:val="en-GB"/>
        </w:rPr>
        <w:t>3</w:t>
      </w:r>
      <w:r w:rsidR="00C57B3E" w:rsidRPr="00610088">
        <w:rPr>
          <w:lang w:val="en-GB"/>
        </w:rPr>
        <w:t>: To promote healthy lifestyles and reduce risk factors using health promotion strategies.</w:t>
      </w:r>
      <w:bookmarkEnd w:id="107"/>
    </w:p>
    <w:p w14:paraId="4F08A7CF" w14:textId="1A1AA1DE" w:rsidR="008023B9" w:rsidRPr="00610088" w:rsidRDefault="008023B9" w:rsidP="008023B9">
      <w:pPr>
        <w:rPr>
          <w:lang w:val="en-GB"/>
        </w:rPr>
      </w:pPr>
    </w:p>
    <w:p w14:paraId="0AC08A2F" w14:textId="5B8E3435" w:rsidR="008023B9" w:rsidRPr="00610088" w:rsidRDefault="008023B9" w:rsidP="001B16D1">
      <w:pPr>
        <w:rPr>
          <w:lang w:val="en-GB"/>
        </w:rPr>
      </w:pPr>
      <w:r w:rsidRPr="00610088">
        <w:rPr>
          <w:lang w:val="en-GB"/>
        </w:rPr>
        <w:t>The table below contains the key strategies and broad activities under SO3.</w:t>
      </w:r>
    </w:p>
    <w:p w14:paraId="428E1300" w14:textId="77777777" w:rsidR="009F4182" w:rsidRPr="00610088" w:rsidRDefault="009F4182" w:rsidP="009F4182">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9095"/>
        <w:gridCol w:w="1263"/>
        <w:gridCol w:w="1122"/>
        <w:gridCol w:w="901"/>
      </w:tblGrid>
      <w:tr w:rsidR="009F4182" w:rsidRPr="00610088" w14:paraId="43E96472" w14:textId="77777777" w:rsidTr="00A8191E">
        <w:tc>
          <w:tcPr>
            <w:tcW w:w="530" w:type="pct"/>
          </w:tcPr>
          <w:p w14:paraId="4DDAF48E" w14:textId="77777777" w:rsidR="009F4182" w:rsidRPr="00610088" w:rsidRDefault="009F4182" w:rsidP="006B30FE">
            <w:pPr>
              <w:rPr>
                <w:b/>
                <w:sz w:val="20"/>
                <w:szCs w:val="20"/>
                <w:lang w:val="en-GB"/>
              </w:rPr>
            </w:pPr>
            <w:r w:rsidRPr="00610088">
              <w:rPr>
                <w:b/>
                <w:sz w:val="20"/>
                <w:szCs w:val="20"/>
                <w:lang w:val="en-GB"/>
              </w:rPr>
              <w:t>Strategy</w:t>
            </w:r>
          </w:p>
        </w:tc>
        <w:tc>
          <w:tcPr>
            <w:tcW w:w="3268" w:type="pct"/>
          </w:tcPr>
          <w:p w14:paraId="63E4B8FC" w14:textId="77777777" w:rsidR="009F4182" w:rsidRPr="00610088" w:rsidRDefault="009F4182" w:rsidP="006B30FE">
            <w:pPr>
              <w:rPr>
                <w:b/>
                <w:sz w:val="20"/>
                <w:szCs w:val="20"/>
                <w:lang w:val="en-GB"/>
              </w:rPr>
            </w:pPr>
            <w:r w:rsidRPr="00610088">
              <w:rPr>
                <w:b/>
                <w:sz w:val="20"/>
                <w:szCs w:val="20"/>
                <w:lang w:val="en-GB"/>
              </w:rPr>
              <w:t xml:space="preserve">Broad activity </w:t>
            </w:r>
          </w:p>
        </w:tc>
        <w:tc>
          <w:tcPr>
            <w:tcW w:w="461" w:type="pct"/>
          </w:tcPr>
          <w:p w14:paraId="58998DBD" w14:textId="77777777" w:rsidR="009F4182" w:rsidRPr="00610088" w:rsidRDefault="009F4182" w:rsidP="006B30FE">
            <w:pPr>
              <w:rPr>
                <w:b/>
                <w:sz w:val="20"/>
                <w:szCs w:val="20"/>
                <w:lang w:val="en-GB"/>
              </w:rPr>
            </w:pPr>
            <w:r w:rsidRPr="00610088">
              <w:rPr>
                <w:b/>
                <w:sz w:val="20"/>
                <w:szCs w:val="20"/>
                <w:lang w:val="en-GB"/>
              </w:rPr>
              <w:t>Short term (1-2 years)</w:t>
            </w:r>
          </w:p>
        </w:tc>
        <w:tc>
          <w:tcPr>
            <w:tcW w:w="410" w:type="pct"/>
          </w:tcPr>
          <w:p w14:paraId="15DF5E9C" w14:textId="77777777" w:rsidR="009F4182" w:rsidRPr="00610088" w:rsidRDefault="009F4182" w:rsidP="006B30FE">
            <w:pPr>
              <w:rPr>
                <w:b/>
                <w:sz w:val="20"/>
                <w:szCs w:val="20"/>
                <w:lang w:val="en-GB"/>
              </w:rPr>
            </w:pPr>
            <w:r w:rsidRPr="00610088">
              <w:rPr>
                <w:b/>
                <w:sz w:val="20"/>
                <w:szCs w:val="20"/>
                <w:lang w:val="en-GB"/>
              </w:rPr>
              <w:t xml:space="preserve">Medium term </w:t>
            </w:r>
          </w:p>
          <w:p w14:paraId="353D3D12" w14:textId="77777777" w:rsidR="009F4182" w:rsidRPr="00610088" w:rsidRDefault="009F4182" w:rsidP="006B30FE">
            <w:pPr>
              <w:rPr>
                <w:b/>
                <w:sz w:val="20"/>
                <w:szCs w:val="20"/>
                <w:lang w:val="en-GB"/>
              </w:rPr>
            </w:pPr>
            <w:r w:rsidRPr="00610088">
              <w:rPr>
                <w:b/>
                <w:sz w:val="20"/>
                <w:szCs w:val="20"/>
                <w:lang w:val="en-GB"/>
              </w:rPr>
              <w:t>(3-5 years)</w:t>
            </w:r>
          </w:p>
        </w:tc>
        <w:tc>
          <w:tcPr>
            <w:tcW w:w="331" w:type="pct"/>
          </w:tcPr>
          <w:p w14:paraId="095CB070" w14:textId="77777777" w:rsidR="009F4182" w:rsidRPr="00610088" w:rsidRDefault="009F4182" w:rsidP="006B30FE">
            <w:pPr>
              <w:rPr>
                <w:b/>
                <w:sz w:val="20"/>
                <w:szCs w:val="20"/>
                <w:lang w:val="en-GB"/>
              </w:rPr>
            </w:pPr>
            <w:r w:rsidRPr="00610088">
              <w:rPr>
                <w:b/>
                <w:sz w:val="20"/>
                <w:szCs w:val="20"/>
                <w:lang w:val="en-GB"/>
              </w:rPr>
              <w:t>Long term (&gt; 5 years)</w:t>
            </w:r>
          </w:p>
        </w:tc>
      </w:tr>
      <w:tr w:rsidR="009F4182" w:rsidRPr="00610088" w14:paraId="43719C63" w14:textId="77777777" w:rsidTr="00A8191E">
        <w:tc>
          <w:tcPr>
            <w:tcW w:w="530" w:type="pct"/>
            <w:vMerge w:val="restart"/>
          </w:tcPr>
          <w:p w14:paraId="6BBF463F" w14:textId="3598E34B" w:rsidR="009F4182" w:rsidRPr="00610088" w:rsidRDefault="009F4182" w:rsidP="006B30FE">
            <w:pPr>
              <w:rPr>
                <w:b/>
                <w:sz w:val="20"/>
                <w:szCs w:val="20"/>
                <w:lang w:val="en-GB"/>
              </w:rPr>
            </w:pPr>
            <w:r w:rsidRPr="00610088">
              <w:rPr>
                <w:bCs/>
                <w:sz w:val="20"/>
                <w:szCs w:val="20"/>
                <w:lang w:val="en-GB"/>
              </w:rPr>
              <w:t>Promotion of healthy lifestyles through IEC/BCC</w:t>
            </w:r>
            <w:r w:rsidR="00E15E56">
              <w:rPr>
                <w:bCs/>
                <w:sz w:val="20"/>
                <w:szCs w:val="20"/>
                <w:lang w:val="en-GB"/>
              </w:rPr>
              <w:t xml:space="preserve"> (</w:t>
            </w:r>
            <w:r w:rsidR="00E15E56" w:rsidRPr="00E15E56">
              <w:rPr>
                <w:bCs/>
                <w:sz w:val="20"/>
                <w:szCs w:val="20"/>
                <w:lang w:val="en-GB"/>
              </w:rPr>
              <w:t>Information, Education, Communication / Behaviour Change Communication</w:t>
            </w:r>
            <w:r w:rsidR="00E15E56">
              <w:rPr>
                <w:bCs/>
                <w:sz w:val="20"/>
                <w:szCs w:val="20"/>
                <w:lang w:val="en-GB"/>
              </w:rPr>
              <w:t>)</w:t>
            </w:r>
          </w:p>
        </w:tc>
        <w:tc>
          <w:tcPr>
            <w:tcW w:w="3268" w:type="pct"/>
          </w:tcPr>
          <w:p w14:paraId="0B214B7A" w14:textId="396A77F5" w:rsidR="008845B9" w:rsidRPr="00610088" w:rsidRDefault="009F4182" w:rsidP="00892F11">
            <w:pPr>
              <w:autoSpaceDE w:val="0"/>
              <w:autoSpaceDN w:val="0"/>
              <w:adjustRightInd w:val="0"/>
              <w:rPr>
                <w:bCs/>
                <w:color w:val="000000" w:themeColor="text1"/>
                <w:sz w:val="20"/>
                <w:szCs w:val="20"/>
                <w:lang w:val="en-GB"/>
              </w:rPr>
            </w:pPr>
            <w:r w:rsidRPr="00610088">
              <w:rPr>
                <w:bCs/>
                <w:color w:val="000000" w:themeColor="text1"/>
                <w:sz w:val="20"/>
                <w:szCs w:val="20"/>
                <w:lang w:val="en-GB"/>
              </w:rPr>
              <w:t>Develop and regularly review NCD IEC/BCC strategy /health promotion guidance including</w:t>
            </w:r>
            <w:r w:rsidR="00892F11" w:rsidRPr="00610088">
              <w:rPr>
                <w:bCs/>
                <w:color w:val="000000" w:themeColor="text1"/>
                <w:sz w:val="20"/>
                <w:szCs w:val="20"/>
                <w:lang w:val="en-GB"/>
              </w:rPr>
              <w:t xml:space="preserve"> </w:t>
            </w:r>
            <w:r w:rsidR="00892F11" w:rsidRPr="00610088">
              <w:rPr>
                <w:bCs/>
                <w:i/>
                <w:iCs/>
                <w:color w:val="000000" w:themeColor="text1"/>
                <w:sz w:val="20"/>
                <w:szCs w:val="20"/>
                <w:lang w:val="en-GB"/>
              </w:rPr>
              <w:t xml:space="preserve">for example </w:t>
            </w:r>
            <w:r w:rsidRPr="00610088">
              <w:rPr>
                <w:bCs/>
                <w:i/>
                <w:iCs/>
                <w:color w:val="000000" w:themeColor="text1"/>
                <w:sz w:val="20"/>
                <w:szCs w:val="20"/>
                <w:lang w:val="en-GB"/>
              </w:rPr>
              <w:t>physical activity</w:t>
            </w:r>
            <w:r w:rsidR="00892F11" w:rsidRPr="00610088">
              <w:rPr>
                <w:bCs/>
                <w:i/>
                <w:iCs/>
                <w:color w:val="000000" w:themeColor="text1"/>
                <w:sz w:val="20"/>
                <w:szCs w:val="20"/>
                <w:lang w:val="en-GB"/>
              </w:rPr>
              <w:t xml:space="preserve">, </w:t>
            </w:r>
            <w:r w:rsidRPr="00610088">
              <w:rPr>
                <w:bCs/>
                <w:i/>
                <w:iCs/>
                <w:color w:val="000000" w:themeColor="text1"/>
                <w:sz w:val="20"/>
                <w:szCs w:val="20"/>
                <w:lang w:val="en-GB"/>
              </w:rPr>
              <w:t>harms of smoking/tobacco use and second-hand smoke</w:t>
            </w:r>
            <w:r w:rsidR="00892F11" w:rsidRPr="00610088">
              <w:rPr>
                <w:bCs/>
                <w:i/>
                <w:iCs/>
                <w:color w:val="000000" w:themeColor="text1"/>
                <w:sz w:val="20"/>
                <w:szCs w:val="20"/>
                <w:lang w:val="en-GB"/>
              </w:rPr>
              <w:t xml:space="preserve">, </w:t>
            </w:r>
            <w:r w:rsidRPr="00610088">
              <w:rPr>
                <w:bCs/>
                <w:i/>
                <w:iCs/>
                <w:color w:val="000000" w:themeColor="text1"/>
                <w:sz w:val="20"/>
                <w:szCs w:val="20"/>
                <w:lang w:val="en-GB"/>
              </w:rPr>
              <w:t xml:space="preserve">nature of problems caused by harmful use of alcohol </w:t>
            </w:r>
            <w:r w:rsidR="008845B9" w:rsidRPr="00610088">
              <w:rPr>
                <w:bCs/>
                <w:i/>
                <w:iCs/>
                <w:color w:val="000000" w:themeColor="text1"/>
                <w:sz w:val="20"/>
                <w:szCs w:val="20"/>
                <w:lang w:val="en-GB"/>
              </w:rPr>
              <w:t>and other substances</w:t>
            </w:r>
            <w:r w:rsidR="009C3553" w:rsidRPr="00610088">
              <w:rPr>
                <w:bCs/>
                <w:i/>
                <w:iCs/>
                <w:color w:val="000000" w:themeColor="text1"/>
                <w:sz w:val="20"/>
                <w:szCs w:val="20"/>
                <w:lang w:val="en-GB"/>
              </w:rPr>
              <w:t xml:space="preserve"> (</w:t>
            </w:r>
            <w:r w:rsidR="009C3553" w:rsidRPr="00610088">
              <w:rPr>
                <w:bCs/>
                <w:i/>
                <w:iCs/>
                <w:color w:val="000000" w:themeColor="text1"/>
                <w:sz w:val="18"/>
                <w:szCs w:val="18"/>
                <w:lang w:val="en-GB"/>
              </w:rPr>
              <w:t>foetal alcohol spectrum disorders, drink driving etc.)</w:t>
            </w:r>
            <w:r w:rsidR="00892F11" w:rsidRPr="00610088">
              <w:rPr>
                <w:bCs/>
                <w:i/>
                <w:iCs/>
                <w:color w:val="000000" w:themeColor="text1"/>
                <w:sz w:val="20"/>
                <w:szCs w:val="20"/>
                <w:lang w:val="en-GB"/>
              </w:rPr>
              <w:t xml:space="preserve">, </w:t>
            </w:r>
            <w:r w:rsidRPr="00610088">
              <w:rPr>
                <w:bCs/>
                <w:i/>
                <w:iCs/>
                <w:color w:val="000000" w:themeColor="text1"/>
                <w:sz w:val="20"/>
                <w:szCs w:val="20"/>
                <w:lang w:val="en-GB"/>
              </w:rPr>
              <w:t xml:space="preserve">healthy diets: reducing salt and sugar intake, promoting intake </w:t>
            </w:r>
            <w:r w:rsidR="00640482" w:rsidRPr="00610088">
              <w:rPr>
                <w:bCs/>
                <w:i/>
                <w:iCs/>
                <w:color w:val="000000" w:themeColor="text1"/>
                <w:sz w:val="20"/>
                <w:szCs w:val="20"/>
                <w:lang w:val="en-GB"/>
              </w:rPr>
              <w:t>of fruits</w:t>
            </w:r>
            <w:r w:rsidRPr="00610088">
              <w:rPr>
                <w:bCs/>
                <w:i/>
                <w:iCs/>
                <w:color w:val="000000" w:themeColor="text1"/>
                <w:sz w:val="20"/>
                <w:szCs w:val="20"/>
                <w:lang w:val="en-GB"/>
              </w:rPr>
              <w:t xml:space="preserve"> and vegetables, reducing total and saturated fats, exclusive breastfeeding for the first 6 months of life</w:t>
            </w:r>
            <w:r w:rsidR="00892F11" w:rsidRPr="00610088">
              <w:rPr>
                <w:bCs/>
                <w:i/>
                <w:iCs/>
                <w:color w:val="000000" w:themeColor="text1"/>
                <w:sz w:val="20"/>
                <w:szCs w:val="20"/>
                <w:lang w:val="en-GB"/>
              </w:rPr>
              <w:t xml:space="preserve">, </w:t>
            </w:r>
            <w:r w:rsidRPr="00610088">
              <w:rPr>
                <w:bCs/>
                <w:i/>
                <w:iCs/>
                <w:color w:val="000000" w:themeColor="text1"/>
                <w:sz w:val="20"/>
                <w:szCs w:val="20"/>
                <w:lang w:val="en-GB"/>
              </w:rPr>
              <w:t>lifestyle interventions to prevent type 2 diabetes</w:t>
            </w:r>
            <w:r w:rsidR="00892F11" w:rsidRPr="00610088">
              <w:rPr>
                <w:bCs/>
                <w:i/>
                <w:iCs/>
                <w:color w:val="000000" w:themeColor="text1"/>
                <w:sz w:val="20"/>
                <w:szCs w:val="20"/>
                <w:lang w:val="en-GB"/>
              </w:rPr>
              <w:t xml:space="preserve">, </w:t>
            </w:r>
            <w:r w:rsidR="009C3553" w:rsidRPr="00610088">
              <w:rPr>
                <w:bCs/>
                <w:i/>
                <w:iCs/>
                <w:color w:val="000000" w:themeColor="text1"/>
                <w:sz w:val="20"/>
                <w:szCs w:val="20"/>
                <w:lang w:val="en-GB"/>
              </w:rPr>
              <w:t xml:space="preserve">women not drinking alcohol or smoking during pregnancy, </w:t>
            </w:r>
            <w:r w:rsidRPr="00610088">
              <w:rPr>
                <w:bCs/>
                <w:i/>
                <w:iCs/>
                <w:color w:val="000000" w:themeColor="text1"/>
                <w:sz w:val="20"/>
                <w:szCs w:val="20"/>
                <w:lang w:val="en-GB"/>
              </w:rPr>
              <w:t>prevention of injuries (wearing helmet on motorbike, seat belt in vehicle etc.)</w:t>
            </w:r>
          </w:p>
        </w:tc>
        <w:tc>
          <w:tcPr>
            <w:tcW w:w="461" w:type="pct"/>
          </w:tcPr>
          <w:p w14:paraId="17595087" w14:textId="77777777" w:rsidR="009F4182" w:rsidRPr="00610088" w:rsidRDefault="009F4182" w:rsidP="006B30FE">
            <w:pPr>
              <w:rPr>
                <w:bCs/>
                <w:sz w:val="20"/>
                <w:szCs w:val="20"/>
                <w:lang w:val="en-GB"/>
              </w:rPr>
            </w:pPr>
            <w:r w:rsidRPr="00610088">
              <w:rPr>
                <w:bCs/>
                <w:sz w:val="20"/>
                <w:szCs w:val="20"/>
                <w:lang w:val="en-GB"/>
              </w:rPr>
              <w:t>x</w:t>
            </w:r>
          </w:p>
        </w:tc>
        <w:tc>
          <w:tcPr>
            <w:tcW w:w="410" w:type="pct"/>
          </w:tcPr>
          <w:p w14:paraId="58731047" w14:textId="77777777" w:rsidR="009F4182" w:rsidRPr="00610088" w:rsidRDefault="009F4182" w:rsidP="006B30FE">
            <w:pPr>
              <w:rPr>
                <w:bCs/>
                <w:sz w:val="20"/>
                <w:szCs w:val="20"/>
                <w:lang w:val="en-GB"/>
              </w:rPr>
            </w:pPr>
            <w:r w:rsidRPr="00610088">
              <w:rPr>
                <w:bCs/>
                <w:sz w:val="20"/>
                <w:szCs w:val="20"/>
                <w:lang w:val="en-GB"/>
              </w:rPr>
              <w:t>x</w:t>
            </w:r>
          </w:p>
        </w:tc>
        <w:tc>
          <w:tcPr>
            <w:tcW w:w="331" w:type="pct"/>
          </w:tcPr>
          <w:p w14:paraId="51444756" w14:textId="77777777" w:rsidR="009F4182" w:rsidRPr="00610088" w:rsidRDefault="009F4182" w:rsidP="006B30FE">
            <w:pPr>
              <w:rPr>
                <w:bCs/>
                <w:sz w:val="20"/>
                <w:szCs w:val="20"/>
                <w:lang w:val="en-GB"/>
              </w:rPr>
            </w:pPr>
            <w:r w:rsidRPr="00610088">
              <w:rPr>
                <w:bCs/>
                <w:sz w:val="20"/>
                <w:szCs w:val="20"/>
                <w:lang w:val="en-GB"/>
              </w:rPr>
              <w:t>x</w:t>
            </w:r>
          </w:p>
        </w:tc>
      </w:tr>
      <w:tr w:rsidR="009F4182" w:rsidRPr="00610088" w14:paraId="3A608BE5" w14:textId="77777777" w:rsidTr="00A8191E">
        <w:tc>
          <w:tcPr>
            <w:tcW w:w="530" w:type="pct"/>
            <w:vMerge/>
          </w:tcPr>
          <w:p w14:paraId="78895C40" w14:textId="77777777" w:rsidR="009F4182" w:rsidRPr="00610088" w:rsidRDefault="009F4182" w:rsidP="006B30FE">
            <w:pPr>
              <w:rPr>
                <w:b/>
                <w:sz w:val="20"/>
                <w:szCs w:val="20"/>
                <w:lang w:val="en-GB"/>
              </w:rPr>
            </w:pPr>
          </w:p>
        </w:tc>
        <w:tc>
          <w:tcPr>
            <w:tcW w:w="3268" w:type="pct"/>
          </w:tcPr>
          <w:p w14:paraId="48A4FEBB" w14:textId="77777777" w:rsidR="009F4182" w:rsidRPr="00610088" w:rsidRDefault="009F4182" w:rsidP="006B30FE">
            <w:pPr>
              <w:autoSpaceDE w:val="0"/>
              <w:autoSpaceDN w:val="0"/>
              <w:adjustRightInd w:val="0"/>
              <w:rPr>
                <w:b/>
                <w:sz w:val="20"/>
                <w:szCs w:val="20"/>
                <w:lang w:val="en-GB"/>
              </w:rPr>
            </w:pPr>
            <w:r w:rsidRPr="00610088">
              <w:rPr>
                <w:bCs/>
                <w:sz w:val="20"/>
                <w:szCs w:val="20"/>
                <w:lang w:val="en-GB"/>
              </w:rPr>
              <w:t>Produce and disseminate IEC/BCC materials on NCDs based on IEC/BCC strategy</w:t>
            </w:r>
          </w:p>
        </w:tc>
        <w:tc>
          <w:tcPr>
            <w:tcW w:w="461" w:type="pct"/>
          </w:tcPr>
          <w:p w14:paraId="7CCD32F5" w14:textId="77777777" w:rsidR="009F4182" w:rsidRPr="00610088" w:rsidRDefault="009F4182" w:rsidP="006B30FE">
            <w:pPr>
              <w:rPr>
                <w:bCs/>
                <w:sz w:val="20"/>
                <w:szCs w:val="20"/>
                <w:lang w:val="en-GB"/>
              </w:rPr>
            </w:pPr>
            <w:r w:rsidRPr="00610088">
              <w:rPr>
                <w:bCs/>
                <w:sz w:val="20"/>
                <w:szCs w:val="20"/>
                <w:lang w:val="en-GB"/>
              </w:rPr>
              <w:t>x</w:t>
            </w:r>
          </w:p>
        </w:tc>
        <w:tc>
          <w:tcPr>
            <w:tcW w:w="410" w:type="pct"/>
          </w:tcPr>
          <w:p w14:paraId="6728D7D7" w14:textId="77777777" w:rsidR="009F4182" w:rsidRPr="00610088" w:rsidRDefault="009F4182" w:rsidP="006B30FE">
            <w:pPr>
              <w:rPr>
                <w:bCs/>
                <w:sz w:val="20"/>
                <w:szCs w:val="20"/>
                <w:lang w:val="en-GB"/>
              </w:rPr>
            </w:pPr>
            <w:r w:rsidRPr="00610088">
              <w:rPr>
                <w:bCs/>
                <w:sz w:val="20"/>
                <w:szCs w:val="20"/>
                <w:lang w:val="en-GB"/>
              </w:rPr>
              <w:t>x</w:t>
            </w:r>
          </w:p>
        </w:tc>
        <w:tc>
          <w:tcPr>
            <w:tcW w:w="331" w:type="pct"/>
          </w:tcPr>
          <w:p w14:paraId="24ED303E" w14:textId="77777777" w:rsidR="009F4182" w:rsidRPr="00610088" w:rsidRDefault="009F4182" w:rsidP="006B30FE">
            <w:pPr>
              <w:rPr>
                <w:bCs/>
                <w:sz w:val="20"/>
                <w:szCs w:val="20"/>
                <w:lang w:val="en-GB"/>
              </w:rPr>
            </w:pPr>
            <w:r w:rsidRPr="00610088">
              <w:rPr>
                <w:bCs/>
                <w:sz w:val="20"/>
                <w:szCs w:val="20"/>
                <w:lang w:val="en-GB"/>
              </w:rPr>
              <w:t>x</w:t>
            </w:r>
          </w:p>
        </w:tc>
      </w:tr>
      <w:tr w:rsidR="009F4182" w:rsidRPr="00610088" w14:paraId="2E8983AF" w14:textId="77777777" w:rsidTr="00A8191E">
        <w:tc>
          <w:tcPr>
            <w:tcW w:w="530" w:type="pct"/>
            <w:vMerge/>
          </w:tcPr>
          <w:p w14:paraId="24E3B413" w14:textId="77777777" w:rsidR="009F4182" w:rsidRPr="00610088" w:rsidRDefault="009F4182" w:rsidP="006B30FE">
            <w:pPr>
              <w:rPr>
                <w:b/>
                <w:sz w:val="20"/>
                <w:szCs w:val="20"/>
                <w:lang w:val="en-GB"/>
              </w:rPr>
            </w:pPr>
          </w:p>
        </w:tc>
        <w:tc>
          <w:tcPr>
            <w:tcW w:w="3268" w:type="pct"/>
          </w:tcPr>
          <w:p w14:paraId="3FA2224A" w14:textId="5CFFA22F" w:rsidR="009F4182" w:rsidRPr="00610088" w:rsidRDefault="009F4182" w:rsidP="008845B9">
            <w:pPr>
              <w:autoSpaceDE w:val="0"/>
              <w:autoSpaceDN w:val="0"/>
              <w:adjustRightInd w:val="0"/>
              <w:rPr>
                <w:sz w:val="20"/>
                <w:szCs w:val="20"/>
                <w:lang w:val="en-GB"/>
              </w:rPr>
            </w:pPr>
            <w:r w:rsidRPr="00610088">
              <w:rPr>
                <w:bCs/>
                <w:color w:val="000000" w:themeColor="text1"/>
                <w:sz w:val="20"/>
                <w:szCs w:val="20"/>
                <w:lang w:val="en-GB"/>
              </w:rPr>
              <w:t xml:space="preserve">Raising public awareness of and educating the general public about modifiable NCD risk factors and the incidence, prevalence and impact of NCDs aiming at </w:t>
            </w:r>
            <w:r w:rsidR="00D55904" w:rsidRPr="00610088">
              <w:rPr>
                <w:bCs/>
                <w:color w:val="000000" w:themeColor="text1"/>
                <w:sz w:val="20"/>
                <w:szCs w:val="20"/>
                <w:lang w:val="en-GB"/>
              </w:rPr>
              <w:t>behaviour</w:t>
            </w:r>
            <w:r w:rsidRPr="00610088">
              <w:rPr>
                <w:bCs/>
                <w:color w:val="000000" w:themeColor="text1"/>
                <w:sz w:val="20"/>
                <w:szCs w:val="20"/>
                <w:lang w:val="en-GB"/>
              </w:rPr>
              <w:t xml:space="preserve"> change (based on IEC/BCC strategy) using</w:t>
            </w:r>
            <w:r w:rsidR="008845B9" w:rsidRPr="00610088">
              <w:rPr>
                <w:bCs/>
                <w:color w:val="000000" w:themeColor="text1"/>
                <w:sz w:val="20"/>
                <w:szCs w:val="20"/>
                <w:lang w:val="en-GB"/>
              </w:rPr>
              <w:t xml:space="preserve"> a mix of methods including</w:t>
            </w:r>
            <w:r w:rsidR="00334BB2" w:rsidRPr="00610088">
              <w:rPr>
                <w:bCs/>
                <w:color w:val="000000" w:themeColor="text1"/>
                <w:sz w:val="20"/>
                <w:szCs w:val="20"/>
                <w:lang w:val="en-GB"/>
              </w:rPr>
              <w:t xml:space="preserve"> for example</w:t>
            </w:r>
            <w:r w:rsidR="008845B9" w:rsidRPr="00610088">
              <w:rPr>
                <w:bCs/>
                <w:color w:val="000000" w:themeColor="text1"/>
                <w:sz w:val="20"/>
                <w:szCs w:val="20"/>
                <w:lang w:val="en-GB"/>
              </w:rPr>
              <w:t xml:space="preserve">: </w:t>
            </w:r>
            <w:r w:rsidRPr="00610088">
              <w:rPr>
                <w:bCs/>
                <w:i/>
                <w:iCs/>
                <w:color w:val="000000" w:themeColor="text1"/>
                <w:sz w:val="20"/>
                <w:szCs w:val="20"/>
                <w:lang w:val="en-GB"/>
              </w:rPr>
              <w:t>Campaigns</w:t>
            </w:r>
            <w:r w:rsidR="008845B9" w:rsidRPr="00610088">
              <w:rPr>
                <w:bCs/>
                <w:i/>
                <w:iCs/>
                <w:color w:val="000000" w:themeColor="text1"/>
                <w:sz w:val="20"/>
                <w:szCs w:val="20"/>
                <w:lang w:val="en-GB"/>
              </w:rPr>
              <w:t xml:space="preserve"> / Advocacy, </w:t>
            </w:r>
            <w:r w:rsidRPr="00610088">
              <w:rPr>
                <w:bCs/>
                <w:i/>
                <w:iCs/>
                <w:color w:val="000000" w:themeColor="text1"/>
                <w:sz w:val="20"/>
                <w:szCs w:val="20"/>
                <w:lang w:val="en-GB"/>
              </w:rPr>
              <w:t>High profile media figure to champion NCDs. + political statemen</w:t>
            </w:r>
            <w:r w:rsidR="008845B9" w:rsidRPr="00610088">
              <w:rPr>
                <w:bCs/>
                <w:i/>
                <w:iCs/>
                <w:color w:val="000000" w:themeColor="text1"/>
                <w:sz w:val="20"/>
                <w:szCs w:val="20"/>
                <w:lang w:val="en-GB"/>
              </w:rPr>
              <w:t xml:space="preserve">t, </w:t>
            </w:r>
            <w:r w:rsidRPr="00610088">
              <w:rPr>
                <w:bCs/>
                <w:i/>
                <w:iCs/>
                <w:color w:val="000000" w:themeColor="text1"/>
                <w:sz w:val="20"/>
                <w:szCs w:val="20"/>
                <w:lang w:val="en-GB"/>
              </w:rPr>
              <w:t>Civil society (</w:t>
            </w:r>
            <w:proofErr w:type="gramStart"/>
            <w:r w:rsidRPr="00610088">
              <w:rPr>
                <w:bCs/>
                <w:i/>
                <w:iCs/>
                <w:color w:val="000000" w:themeColor="text1"/>
                <w:sz w:val="20"/>
                <w:szCs w:val="20"/>
                <w:lang w:val="en-GB"/>
              </w:rPr>
              <w:t>e.g.</w:t>
            </w:r>
            <w:proofErr w:type="gramEnd"/>
            <w:r w:rsidRPr="00610088">
              <w:rPr>
                <w:bCs/>
                <w:i/>
                <w:iCs/>
                <w:color w:val="000000" w:themeColor="text1"/>
                <w:sz w:val="20"/>
                <w:szCs w:val="20"/>
                <w:lang w:val="en-GB"/>
              </w:rPr>
              <w:t xml:space="preserve"> Friends of Diabetes) to champion NCDs</w:t>
            </w:r>
            <w:r w:rsidR="008845B9" w:rsidRPr="00610088">
              <w:rPr>
                <w:bCs/>
                <w:i/>
                <w:iCs/>
                <w:color w:val="000000" w:themeColor="text1"/>
                <w:sz w:val="20"/>
                <w:szCs w:val="20"/>
                <w:lang w:val="en-GB"/>
              </w:rPr>
              <w:t xml:space="preserve">, </w:t>
            </w:r>
            <w:r w:rsidRPr="00610088">
              <w:rPr>
                <w:bCs/>
                <w:i/>
                <w:iCs/>
                <w:color w:val="000000" w:themeColor="text1"/>
                <w:sz w:val="20"/>
                <w:szCs w:val="20"/>
                <w:lang w:val="en-GB"/>
              </w:rPr>
              <w:t>Establishment and celebration of NCD days</w:t>
            </w:r>
            <w:r w:rsidR="008845B9" w:rsidRPr="00610088">
              <w:rPr>
                <w:bCs/>
                <w:i/>
                <w:iCs/>
                <w:color w:val="000000" w:themeColor="text1"/>
                <w:sz w:val="20"/>
                <w:szCs w:val="20"/>
                <w:lang w:val="en-GB"/>
              </w:rPr>
              <w:t>, Mass Media, Drama/</w:t>
            </w:r>
            <w:r w:rsidR="00D55904" w:rsidRPr="00610088">
              <w:rPr>
                <w:bCs/>
                <w:i/>
                <w:iCs/>
                <w:color w:val="000000" w:themeColor="text1"/>
                <w:sz w:val="20"/>
                <w:szCs w:val="20"/>
                <w:lang w:val="en-GB"/>
              </w:rPr>
              <w:t>Theatres</w:t>
            </w:r>
            <w:r w:rsidR="008845B9" w:rsidRPr="00610088">
              <w:rPr>
                <w:bCs/>
                <w:i/>
                <w:iCs/>
                <w:color w:val="000000" w:themeColor="text1"/>
                <w:sz w:val="20"/>
                <w:szCs w:val="20"/>
                <w:lang w:val="en-GB"/>
              </w:rPr>
              <w:t xml:space="preserve"> (edutainment), Social mobilization - Community Engagement, </w:t>
            </w:r>
            <w:r w:rsidRPr="00610088">
              <w:rPr>
                <w:i/>
                <w:iCs/>
                <w:color w:val="000000" w:themeColor="text1"/>
                <w:sz w:val="20"/>
                <w:szCs w:val="20"/>
                <w:lang w:val="en-GB"/>
              </w:rPr>
              <w:t>Motivational and environmental programs</w:t>
            </w:r>
            <w:r w:rsidR="008845B9" w:rsidRPr="00610088">
              <w:rPr>
                <w:i/>
                <w:iCs/>
                <w:color w:val="000000" w:themeColor="text1"/>
                <w:sz w:val="20"/>
                <w:szCs w:val="20"/>
                <w:lang w:val="en-GB"/>
              </w:rPr>
              <w:t xml:space="preserve">, </w:t>
            </w:r>
            <w:r w:rsidRPr="00610088">
              <w:rPr>
                <w:i/>
                <w:iCs/>
                <w:color w:val="000000" w:themeColor="text1"/>
                <w:sz w:val="20"/>
                <w:szCs w:val="20"/>
                <w:lang w:val="en-GB"/>
              </w:rPr>
              <w:t xml:space="preserve">Nutrition education and </w:t>
            </w:r>
            <w:r w:rsidR="00D55904" w:rsidRPr="00610088">
              <w:rPr>
                <w:i/>
                <w:iCs/>
                <w:color w:val="000000" w:themeColor="text1"/>
                <w:sz w:val="20"/>
                <w:szCs w:val="20"/>
                <w:lang w:val="en-GB"/>
              </w:rPr>
              <w:t>counselling and</w:t>
            </w:r>
            <w:r w:rsidR="00236A4E" w:rsidRPr="00610088">
              <w:rPr>
                <w:i/>
                <w:iCs/>
                <w:color w:val="000000" w:themeColor="text1"/>
                <w:sz w:val="20"/>
                <w:szCs w:val="20"/>
                <w:lang w:val="en-GB"/>
              </w:rPr>
              <w:t xml:space="preserve"> mHealth for health promotion</w:t>
            </w:r>
            <w:r w:rsidR="008845B9" w:rsidRPr="00610088">
              <w:rPr>
                <w:i/>
                <w:iCs/>
                <w:color w:val="000000" w:themeColor="text1"/>
                <w:sz w:val="20"/>
                <w:szCs w:val="20"/>
                <w:lang w:val="en-GB"/>
              </w:rPr>
              <w:t xml:space="preserve"> </w:t>
            </w:r>
          </w:p>
        </w:tc>
        <w:tc>
          <w:tcPr>
            <w:tcW w:w="461" w:type="pct"/>
          </w:tcPr>
          <w:p w14:paraId="4A0A36F1" w14:textId="77777777" w:rsidR="009F4182" w:rsidRPr="00610088" w:rsidRDefault="009F4182" w:rsidP="006B30FE">
            <w:pPr>
              <w:rPr>
                <w:bCs/>
                <w:sz w:val="20"/>
                <w:szCs w:val="20"/>
                <w:lang w:val="en-GB"/>
              </w:rPr>
            </w:pPr>
            <w:r w:rsidRPr="00610088">
              <w:rPr>
                <w:bCs/>
                <w:sz w:val="20"/>
                <w:szCs w:val="20"/>
                <w:lang w:val="en-GB"/>
              </w:rPr>
              <w:t>x</w:t>
            </w:r>
          </w:p>
        </w:tc>
        <w:tc>
          <w:tcPr>
            <w:tcW w:w="410" w:type="pct"/>
          </w:tcPr>
          <w:p w14:paraId="04EA8F06" w14:textId="77777777" w:rsidR="009F4182" w:rsidRPr="00610088" w:rsidRDefault="009F4182" w:rsidP="006B30FE">
            <w:pPr>
              <w:rPr>
                <w:bCs/>
                <w:sz w:val="20"/>
                <w:szCs w:val="20"/>
                <w:lang w:val="en-GB"/>
              </w:rPr>
            </w:pPr>
            <w:r w:rsidRPr="00610088">
              <w:rPr>
                <w:bCs/>
                <w:sz w:val="20"/>
                <w:szCs w:val="20"/>
                <w:lang w:val="en-GB"/>
              </w:rPr>
              <w:t>x</w:t>
            </w:r>
          </w:p>
        </w:tc>
        <w:tc>
          <w:tcPr>
            <w:tcW w:w="331" w:type="pct"/>
          </w:tcPr>
          <w:p w14:paraId="357D99FE" w14:textId="77777777" w:rsidR="009F4182" w:rsidRPr="00610088" w:rsidRDefault="009F4182" w:rsidP="006B30FE">
            <w:pPr>
              <w:rPr>
                <w:bCs/>
                <w:sz w:val="20"/>
                <w:szCs w:val="20"/>
                <w:lang w:val="en-GB"/>
              </w:rPr>
            </w:pPr>
            <w:r w:rsidRPr="00610088">
              <w:rPr>
                <w:bCs/>
                <w:sz w:val="20"/>
                <w:szCs w:val="20"/>
                <w:lang w:val="en-GB"/>
              </w:rPr>
              <w:t>x</w:t>
            </w:r>
          </w:p>
        </w:tc>
      </w:tr>
      <w:tr w:rsidR="009E79AB" w:rsidRPr="00610088" w14:paraId="3AFF58CC" w14:textId="77777777" w:rsidTr="00A8191E">
        <w:trPr>
          <w:cantSplit/>
          <w:tblHeader/>
        </w:trPr>
        <w:tc>
          <w:tcPr>
            <w:tcW w:w="530" w:type="pct"/>
          </w:tcPr>
          <w:p w14:paraId="277D41AB" w14:textId="02AB1931" w:rsidR="009E79AB" w:rsidRPr="00610088" w:rsidRDefault="009E79AB" w:rsidP="006B30FE">
            <w:pPr>
              <w:rPr>
                <w:b/>
                <w:sz w:val="20"/>
                <w:szCs w:val="20"/>
                <w:lang w:val="en-GB"/>
              </w:rPr>
            </w:pPr>
            <w:r w:rsidRPr="00610088">
              <w:rPr>
                <w:bCs/>
                <w:sz w:val="20"/>
                <w:szCs w:val="20"/>
                <w:lang w:val="en-GB"/>
              </w:rPr>
              <w:t>Focus on children, adolescents and young people</w:t>
            </w:r>
          </w:p>
        </w:tc>
        <w:tc>
          <w:tcPr>
            <w:tcW w:w="3268" w:type="pct"/>
          </w:tcPr>
          <w:p w14:paraId="56180EE0" w14:textId="18EFFE10" w:rsidR="009E79AB" w:rsidRPr="00610088" w:rsidRDefault="009E79AB" w:rsidP="009E79AB">
            <w:pPr>
              <w:autoSpaceDE w:val="0"/>
              <w:autoSpaceDN w:val="0"/>
              <w:adjustRightInd w:val="0"/>
              <w:rPr>
                <w:bCs/>
                <w:sz w:val="20"/>
                <w:szCs w:val="20"/>
                <w:lang w:val="en-GB"/>
              </w:rPr>
            </w:pPr>
            <w:r w:rsidRPr="00610088">
              <w:rPr>
                <w:bCs/>
                <w:sz w:val="20"/>
                <w:szCs w:val="20"/>
                <w:lang w:val="en-GB"/>
              </w:rPr>
              <w:t>Develop and implement health promotion programs for addressing modifiable risk factors in primary, secondary and vocational schools, polytechnics and universities, using</w:t>
            </w:r>
            <w:r w:rsidR="00334BB2" w:rsidRPr="00610088">
              <w:rPr>
                <w:bCs/>
                <w:sz w:val="20"/>
                <w:szCs w:val="20"/>
                <w:lang w:val="en-GB"/>
              </w:rPr>
              <w:t xml:space="preserve"> for example</w:t>
            </w:r>
            <w:r w:rsidRPr="00610088">
              <w:rPr>
                <w:bCs/>
                <w:sz w:val="20"/>
                <w:szCs w:val="20"/>
                <w:lang w:val="en-GB"/>
              </w:rPr>
              <w:t>:</w:t>
            </w:r>
          </w:p>
          <w:p w14:paraId="0B4D16D0" w14:textId="306858A5" w:rsidR="00236A4E" w:rsidRPr="00610088" w:rsidRDefault="008845B9" w:rsidP="00236A4E">
            <w:pPr>
              <w:autoSpaceDE w:val="0"/>
              <w:autoSpaceDN w:val="0"/>
              <w:adjustRightInd w:val="0"/>
              <w:rPr>
                <w:bCs/>
                <w:sz w:val="20"/>
                <w:szCs w:val="20"/>
                <w:lang w:val="en-GB"/>
              </w:rPr>
            </w:pPr>
            <w:r w:rsidRPr="00610088">
              <w:rPr>
                <w:bCs/>
                <w:i/>
                <w:iCs/>
                <w:color w:val="000000" w:themeColor="text1"/>
                <w:sz w:val="20"/>
                <w:szCs w:val="20"/>
                <w:lang w:val="en-GB"/>
              </w:rPr>
              <w:t>Disease / risk factor specific promotion messages, including warning for the dangers of alcohol, tobacco and drugs</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“Tobacco free” schools</w:t>
            </w:r>
            <w:r w:rsidR="00236A4E" w:rsidRPr="00610088">
              <w:rPr>
                <w:bCs/>
                <w:i/>
                <w:iCs/>
                <w:color w:val="000000" w:themeColor="text1"/>
                <w:sz w:val="20"/>
                <w:szCs w:val="20"/>
                <w:lang w:val="en-GB"/>
              </w:rPr>
              <w:t>,</w:t>
            </w:r>
            <w:r w:rsidR="006F5871" w:rsidRPr="00610088">
              <w:rPr>
                <w:bCs/>
                <w:i/>
                <w:iCs/>
                <w:color w:val="000000" w:themeColor="text1"/>
                <w:sz w:val="20"/>
                <w:szCs w:val="20"/>
                <w:lang w:val="en-GB"/>
              </w:rPr>
              <w:t xml:space="preserve"> alcohol free school environments,</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Public Health Education in Schools</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Drama/Theatres</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 xml:space="preserve">Health Warning </w:t>
            </w:r>
            <w:r w:rsidR="00236A4E" w:rsidRPr="00610088">
              <w:rPr>
                <w:bCs/>
                <w:i/>
                <w:iCs/>
                <w:color w:val="000000" w:themeColor="text1"/>
                <w:sz w:val="20"/>
                <w:szCs w:val="20"/>
                <w:lang w:val="en-GB"/>
              </w:rPr>
              <w:t xml:space="preserve">Labelling, </w:t>
            </w:r>
            <w:r w:rsidRPr="00610088">
              <w:rPr>
                <w:bCs/>
                <w:i/>
                <w:iCs/>
                <w:color w:val="000000" w:themeColor="text1"/>
                <w:sz w:val="20"/>
                <w:szCs w:val="20"/>
                <w:lang w:val="en-GB"/>
              </w:rPr>
              <w:t>Debate/Quiz Competition</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School Sensitization on the harmful effects of tobacco, alcohol and substance abuse</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Orientation of Peer Educators on the harmful effects of tobacco, alcohol and substance abuse</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Orientation of Physical and Health Education Teachers</w:t>
            </w:r>
            <w:r w:rsidR="006F5871" w:rsidRPr="00610088">
              <w:rPr>
                <w:bCs/>
                <w:i/>
                <w:iCs/>
                <w:color w:val="000000" w:themeColor="text1"/>
                <w:sz w:val="20"/>
                <w:szCs w:val="20"/>
                <w:lang w:val="en-GB"/>
              </w:rPr>
              <w:t xml:space="preserve"> and Guidance Counsellors</w:t>
            </w:r>
            <w:r w:rsidRPr="00610088">
              <w:rPr>
                <w:bCs/>
                <w:i/>
                <w:iCs/>
                <w:color w:val="000000" w:themeColor="text1"/>
                <w:sz w:val="20"/>
                <w:szCs w:val="20"/>
                <w:lang w:val="en-GB"/>
              </w:rPr>
              <w:t xml:space="preserve"> on the harmful effects of tobacco, alcohol and substance abus</w:t>
            </w:r>
            <w:r w:rsidR="00236A4E" w:rsidRPr="00610088">
              <w:rPr>
                <w:bCs/>
                <w:i/>
                <w:iCs/>
                <w:color w:val="000000" w:themeColor="text1"/>
                <w:sz w:val="20"/>
                <w:szCs w:val="20"/>
                <w:lang w:val="en-GB"/>
              </w:rPr>
              <w:t xml:space="preserve">e, </w:t>
            </w:r>
            <w:r w:rsidRPr="00610088">
              <w:rPr>
                <w:bCs/>
                <w:i/>
                <w:iCs/>
                <w:color w:val="000000" w:themeColor="text1"/>
                <w:sz w:val="20"/>
                <w:szCs w:val="20"/>
                <w:lang w:val="en-GB"/>
              </w:rPr>
              <w:t>Promotion of physical education in schools -e.g. dancing, competitive sports</w:t>
            </w:r>
            <w:r w:rsidR="00236A4E" w:rsidRPr="00610088">
              <w:rPr>
                <w:bCs/>
                <w:i/>
                <w:iCs/>
                <w:color w:val="000000" w:themeColor="text1"/>
                <w:sz w:val="20"/>
                <w:szCs w:val="20"/>
                <w:lang w:val="en-GB"/>
              </w:rPr>
              <w:t xml:space="preserve">, </w:t>
            </w:r>
            <w:r w:rsidR="00334BB2" w:rsidRPr="00610088">
              <w:rPr>
                <w:bCs/>
                <w:i/>
                <w:iCs/>
                <w:color w:val="000000" w:themeColor="text1"/>
                <w:sz w:val="20"/>
                <w:szCs w:val="20"/>
                <w:lang w:val="en-GB"/>
              </w:rPr>
              <w:t>F</w:t>
            </w:r>
            <w:r w:rsidRPr="00610088">
              <w:rPr>
                <w:bCs/>
                <w:i/>
                <w:iCs/>
                <w:color w:val="000000" w:themeColor="text1"/>
                <w:sz w:val="20"/>
                <w:szCs w:val="20"/>
                <w:lang w:val="en-GB"/>
              </w:rPr>
              <w:t>ood demonstrations</w:t>
            </w:r>
            <w:r w:rsidR="00334BB2" w:rsidRPr="00610088">
              <w:rPr>
                <w:bCs/>
                <w:i/>
                <w:iCs/>
                <w:color w:val="000000" w:themeColor="text1"/>
                <w:sz w:val="20"/>
                <w:szCs w:val="20"/>
                <w:lang w:val="en-GB"/>
              </w:rPr>
              <w:t xml:space="preserve"> (what is healthy food, how to prepare healthy food)</w:t>
            </w:r>
            <w:r w:rsidR="00236A4E" w:rsidRPr="00610088">
              <w:rPr>
                <w:bCs/>
                <w:i/>
                <w:iCs/>
                <w:color w:val="000000" w:themeColor="text1"/>
                <w:sz w:val="20"/>
                <w:szCs w:val="20"/>
                <w:lang w:val="en-GB"/>
              </w:rPr>
              <w:t xml:space="preserve">, </w:t>
            </w:r>
            <w:r w:rsidRPr="00610088">
              <w:rPr>
                <w:bCs/>
                <w:i/>
                <w:iCs/>
                <w:color w:val="000000" w:themeColor="text1"/>
                <w:sz w:val="20"/>
                <w:szCs w:val="20"/>
                <w:lang w:val="en-GB"/>
              </w:rPr>
              <w:t>Education on healthy food choices</w:t>
            </w:r>
            <w:r w:rsidR="00236A4E" w:rsidRPr="00610088">
              <w:rPr>
                <w:bCs/>
                <w:i/>
                <w:iCs/>
                <w:color w:val="000000" w:themeColor="text1"/>
                <w:sz w:val="20"/>
                <w:szCs w:val="20"/>
                <w:lang w:val="en-GB"/>
              </w:rPr>
              <w:t>, mHealth for health promotion.</w:t>
            </w:r>
          </w:p>
        </w:tc>
        <w:tc>
          <w:tcPr>
            <w:tcW w:w="461" w:type="pct"/>
          </w:tcPr>
          <w:p w14:paraId="2770ED4D" w14:textId="77777777" w:rsidR="009E79AB" w:rsidRPr="00610088" w:rsidRDefault="009E79AB" w:rsidP="006B30FE">
            <w:pPr>
              <w:rPr>
                <w:bCs/>
                <w:sz w:val="20"/>
                <w:szCs w:val="20"/>
                <w:lang w:val="en-GB"/>
              </w:rPr>
            </w:pPr>
          </w:p>
        </w:tc>
        <w:tc>
          <w:tcPr>
            <w:tcW w:w="410" w:type="pct"/>
          </w:tcPr>
          <w:p w14:paraId="324C5E3E" w14:textId="67CA64C4" w:rsidR="009E79AB" w:rsidRPr="00610088" w:rsidRDefault="009E79AB" w:rsidP="006B30FE">
            <w:pPr>
              <w:rPr>
                <w:bCs/>
                <w:sz w:val="20"/>
                <w:szCs w:val="20"/>
                <w:lang w:val="en-GB"/>
              </w:rPr>
            </w:pPr>
            <w:r w:rsidRPr="00610088">
              <w:rPr>
                <w:bCs/>
                <w:sz w:val="20"/>
                <w:szCs w:val="20"/>
                <w:lang w:val="en-GB"/>
              </w:rPr>
              <w:t>x</w:t>
            </w:r>
          </w:p>
        </w:tc>
        <w:tc>
          <w:tcPr>
            <w:tcW w:w="331" w:type="pct"/>
          </w:tcPr>
          <w:p w14:paraId="36C83E00" w14:textId="5A88A0E6" w:rsidR="009E79AB" w:rsidRPr="00610088" w:rsidRDefault="009E79AB" w:rsidP="006B30FE">
            <w:pPr>
              <w:rPr>
                <w:bCs/>
                <w:sz w:val="20"/>
                <w:szCs w:val="20"/>
                <w:lang w:val="en-GB"/>
              </w:rPr>
            </w:pPr>
            <w:r w:rsidRPr="00610088">
              <w:rPr>
                <w:bCs/>
                <w:sz w:val="20"/>
                <w:szCs w:val="20"/>
                <w:lang w:val="en-GB"/>
              </w:rPr>
              <w:t>x</w:t>
            </w:r>
          </w:p>
        </w:tc>
      </w:tr>
      <w:tr w:rsidR="00ED6794" w:rsidRPr="00610088" w14:paraId="43DFC404" w14:textId="77777777" w:rsidTr="00A8191E">
        <w:trPr>
          <w:cantSplit/>
          <w:tblHeader/>
        </w:trPr>
        <w:tc>
          <w:tcPr>
            <w:tcW w:w="530" w:type="pct"/>
            <w:vMerge w:val="restart"/>
          </w:tcPr>
          <w:p w14:paraId="68F3A740" w14:textId="4FE724B8" w:rsidR="00ED6794" w:rsidRPr="00610088" w:rsidRDefault="00ED6794" w:rsidP="006B30FE">
            <w:pPr>
              <w:rPr>
                <w:bCs/>
                <w:sz w:val="20"/>
                <w:szCs w:val="20"/>
                <w:lang w:val="en-GB"/>
              </w:rPr>
            </w:pPr>
            <w:r w:rsidRPr="00610088">
              <w:rPr>
                <w:bCs/>
                <w:sz w:val="20"/>
                <w:szCs w:val="20"/>
                <w:lang w:val="en-GB"/>
              </w:rPr>
              <w:t xml:space="preserve">Provision of enabling environment for behaviour </w:t>
            </w:r>
            <w:r w:rsidRPr="00610088">
              <w:rPr>
                <w:bCs/>
                <w:sz w:val="20"/>
                <w:szCs w:val="20"/>
                <w:lang w:val="en-GB"/>
              </w:rPr>
              <w:lastRenderedPageBreak/>
              <w:t>change towards healthy lifestyles</w:t>
            </w:r>
          </w:p>
        </w:tc>
        <w:tc>
          <w:tcPr>
            <w:tcW w:w="3268" w:type="pct"/>
          </w:tcPr>
          <w:p w14:paraId="666424EE" w14:textId="33E80B0F" w:rsidR="00ED6794" w:rsidRPr="00610088" w:rsidRDefault="00ED6794" w:rsidP="009E79AB">
            <w:pPr>
              <w:rPr>
                <w:bCs/>
                <w:sz w:val="20"/>
                <w:szCs w:val="20"/>
                <w:lang w:val="en-GB"/>
              </w:rPr>
            </w:pPr>
            <w:r w:rsidRPr="00610088">
              <w:rPr>
                <w:bCs/>
                <w:sz w:val="20"/>
                <w:szCs w:val="20"/>
                <w:lang w:val="en-GB"/>
              </w:rPr>
              <w:lastRenderedPageBreak/>
              <w:t xml:space="preserve">Promotion of physical activity through organized sport and physical recreation groups and clubs, programs and events </w:t>
            </w:r>
            <w:proofErr w:type="gramStart"/>
            <w:r w:rsidRPr="00610088">
              <w:rPr>
                <w:bCs/>
                <w:sz w:val="20"/>
                <w:szCs w:val="20"/>
                <w:lang w:val="en-GB"/>
              </w:rPr>
              <w:t>e.g.</w:t>
            </w:r>
            <w:proofErr w:type="gramEnd"/>
            <w:r w:rsidRPr="00610088">
              <w:rPr>
                <w:bCs/>
                <w:sz w:val="20"/>
                <w:szCs w:val="20"/>
                <w:lang w:val="en-GB"/>
              </w:rPr>
              <w:t xml:space="preserve"> walking, cycling</w:t>
            </w:r>
            <w:r w:rsidR="008845B9" w:rsidRPr="00610088">
              <w:rPr>
                <w:bCs/>
                <w:sz w:val="20"/>
                <w:szCs w:val="20"/>
                <w:lang w:val="en-GB"/>
              </w:rPr>
              <w:t>, local games</w:t>
            </w:r>
          </w:p>
        </w:tc>
        <w:tc>
          <w:tcPr>
            <w:tcW w:w="461" w:type="pct"/>
          </w:tcPr>
          <w:p w14:paraId="2AE9A0C5" w14:textId="77777777" w:rsidR="00ED6794" w:rsidRPr="00610088" w:rsidRDefault="00ED6794" w:rsidP="006B30FE">
            <w:pPr>
              <w:rPr>
                <w:b/>
                <w:sz w:val="20"/>
                <w:szCs w:val="20"/>
                <w:lang w:val="en-GB"/>
              </w:rPr>
            </w:pPr>
          </w:p>
        </w:tc>
        <w:tc>
          <w:tcPr>
            <w:tcW w:w="410" w:type="pct"/>
          </w:tcPr>
          <w:p w14:paraId="5FC96507" w14:textId="7D5EE7D2" w:rsidR="00ED6794" w:rsidRPr="00610088" w:rsidRDefault="00ED6794" w:rsidP="006B30FE">
            <w:pPr>
              <w:rPr>
                <w:bCs/>
                <w:sz w:val="20"/>
                <w:szCs w:val="20"/>
                <w:lang w:val="en-GB"/>
              </w:rPr>
            </w:pPr>
            <w:r w:rsidRPr="00610088">
              <w:rPr>
                <w:bCs/>
                <w:sz w:val="20"/>
                <w:szCs w:val="20"/>
                <w:lang w:val="en-GB"/>
              </w:rPr>
              <w:t>x</w:t>
            </w:r>
          </w:p>
        </w:tc>
        <w:tc>
          <w:tcPr>
            <w:tcW w:w="331" w:type="pct"/>
          </w:tcPr>
          <w:p w14:paraId="4C35B7FA" w14:textId="3CF06CA2" w:rsidR="00ED6794" w:rsidRPr="00610088" w:rsidRDefault="00ED6794" w:rsidP="006B30FE">
            <w:pPr>
              <w:rPr>
                <w:bCs/>
                <w:sz w:val="20"/>
                <w:szCs w:val="20"/>
                <w:lang w:val="en-GB"/>
              </w:rPr>
            </w:pPr>
            <w:r w:rsidRPr="00610088">
              <w:rPr>
                <w:bCs/>
                <w:sz w:val="20"/>
                <w:szCs w:val="20"/>
                <w:lang w:val="en-GB"/>
              </w:rPr>
              <w:t>x</w:t>
            </w:r>
          </w:p>
        </w:tc>
      </w:tr>
      <w:tr w:rsidR="00ED6794" w:rsidRPr="00610088" w14:paraId="71027962" w14:textId="77777777" w:rsidTr="00A8191E">
        <w:trPr>
          <w:cantSplit/>
          <w:tblHeader/>
        </w:trPr>
        <w:tc>
          <w:tcPr>
            <w:tcW w:w="530" w:type="pct"/>
            <w:vMerge/>
          </w:tcPr>
          <w:p w14:paraId="50D5BBA4" w14:textId="77777777" w:rsidR="00ED6794" w:rsidRPr="00610088" w:rsidRDefault="00ED6794" w:rsidP="006B30FE">
            <w:pPr>
              <w:rPr>
                <w:b/>
                <w:sz w:val="20"/>
                <w:szCs w:val="20"/>
                <w:lang w:val="en-GB"/>
              </w:rPr>
            </w:pPr>
          </w:p>
        </w:tc>
        <w:tc>
          <w:tcPr>
            <w:tcW w:w="3268" w:type="pct"/>
          </w:tcPr>
          <w:p w14:paraId="328C548D" w14:textId="16E4610E" w:rsidR="00ED6794" w:rsidRPr="00610088" w:rsidRDefault="00ED6794" w:rsidP="009E79AB">
            <w:pPr>
              <w:rPr>
                <w:b/>
                <w:sz w:val="20"/>
                <w:szCs w:val="20"/>
                <w:lang w:val="en-GB"/>
              </w:rPr>
            </w:pPr>
            <w:r w:rsidRPr="00610088">
              <w:rPr>
                <w:bCs/>
                <w:sz w:val="20"/>
                <w:szCs w:val="20"/>
                <w:lang w:val="en-GB"/>
              </w:rPr>
              <w:t>Reduce salt intake through encouraging the establishment of a supportive environment in public institutions such as hospitals, schools, workplaces and nursing homes, to enable lower sodium options to be provided</w:t>
            </w:r>
          </w:p>
        </w:tc>
        <w:tc>
          <w:tcPr>
            <w:tcW w:w="461" w:type="pct"/>
          </w:tcPr>
          <w:p w14:paraId="4C94741F" w14:textId="77777777" w:rsidR="00ED6794" w:rsidRPr="00610088" w:rsidRDefault="00ED6794" w:rsidP="006B30FE">
            <w:pPr>
              <w:rPr>
                <w:b/>
                <w:sz w:val="20"/>
                <w:szCs w:val="20"/>
                <w:lang w:val="en-GB"/>
              </w:rPr>
            </w:pPr>
          </w:p>
        </w:tc>
        <w:tc>
          <w:tcPr>
            <w:tcW w:w="410" w:type="pct"/>
          </w:tcPr>
          <w:p w14:paraId="7637AD5D" w14:textId="526C1CBE" w:rsidR="00ED6794" w:rsidRPr="00610088" w:rsidRDefault="00ED6794" w:rsidP="006B30FE">
            <w:pPr>
              <w:rPr>
                <w:bCs/>
                <w:sz w:val="20"/>
                <w:szCs w:val="20"/>
                <w:lang w:val="en-GB"/>
              </w:rPr>
            </w:pPr>
            <w:r w:rsidRPr="00610088">
              <w:rPr>
                <w:bCs/>
                <w:sz w:val="20"/>
                <w:szCs w:val="20"/>
                <w:lang w:val="en-GB"/>
              </w:rPr>
              <w:t>x</w:t>
            </w:r>
          </w:p>
        </w:tc>
        <w:tc>
          <w:tcPr>
            <w:tcW w:w="331" w:type="pct"/>
          </w:tcPr>
          <w:p w14:paraId="5102BC66" w14:textId="189789E1" w:rsidR="00ED6794" w:rsidRPr="00610088" w:rsidRDefault="00ED6794" w:rsidP="006B30FE">
            <w:pPr>
              <w:rPr>
                <w:bCs/>
                <w:sz w:val="20"/>
                <w:szCs w:val="20"/>
                <w:lang w:val="en-GB"/>
              </w:rPr>
            </w:pPr>
            <w:r w:rsidRPr="00610088">
              <w:rPr>
                <w:bCs/>
                <w:sz w:val="20"/>
                <w:szCs w:val="20"/>
                <w:lang w:val="en-GB"/>
              </w:rPr>
              <w:t>x</w:t>
            </w:r>
          </w:p>
        </w:tc>
      </w:tr>
      <w:tr w:rsidR="008845B9" w:rsidRPr="00610088" w14:paraId="41B2C816" w14:textId="77777777" w:rsidTr="00A8191E">
        <w:trPr>
          <w:cantSplit/>
          <w:tblHeader/>
        </w:trPr>
        <w:tc>
          <w:tcPr>
            <w:tcW w:w="530" w:type="pct"/>
            <w:vMerge/>
          </w:tcPr>
          <w:p w14:paraId="197B27C8" w14:textId="77777777" w:rsidR="008845B9" w:rsidRPr="00610088" w:rsidRDefault="008845B9" w:rsidP="008845B9">
            <w:pPr>
              <w:rPr>
                <w:b/>
                <w:sz w:val="20"/>
                <w:szCs w:val="20"/>
                <w:lang w:val="en-GB"/>
              </w:rPr>
            </w:pPr>
          </w:p>
        </w:tc>
        <w:tc>
          <w:tcPr>
            <w:tcW w:w="3268" w:type="pct"/>
          </w:tcPr>
          <w:p w14:paraId="24B1D70F" w14:textId="40D81F9D" w:rsidR="008845B9" w:rsidRPr="00610088" w:rsidRDefault="008845B9" w:rsidP="008845B9">
            <w:pPr>
              <w:rPr>
                <w:bCs/>
                <w:color w:val="000000" w:themeColor="text1"/>
                <w:sz w:val="20"/>
                <w:szCs w:val="20"/>
                <w:lang w:val="en-GB"/>
              </w:rPr>
            </w:pPr>
            <w:r w:rsidRPr="00610088">
              <w:rPr>
                <w:bCs/>
                <w:color w:val="000000" w:themeColor="text1"/>
                <w:sz w:val="20"/>
                <w:szCs w:val="20"/>
                <w:lang w:val="en-GB"/>
              </w:rPr>
              <w:t>Engagement of Food Handlers on the risks of high salt, sugar and “bad” fat intake</w:t>
            </w:r>
          </w:p>
        </w:tc>
        <w:tc>
          <w:tcPr>
            <w:tcW w:w="461" w:type="pct"/>
          </w:tcPr>
          <w:p w14:paraId="55942527" w14:textId="77777777" w:rsidR="008845B9" w:rsidRPr="00610088" w:rsidRDefault="008845B9" w:rsidP="008845B9">
            <w:pPr>
              <w:rPr>
                <w:b/>
                <w:sz w:val="20"/>
                <w:szCs w:val="20"/>
                <w:lang w:val="en-GB"/>
              </w:rPr>
            </w:pPr>
          </w:p>
        </w:tc>
        <w:tc>
          <w:tcPr>
            <w:tcW w:w="410" w:type="pct"/>
          </w:tcPr>
          <w:p w14:paraId="2F6226AE" w14:textId="77777777" w:rsidR="008845B9" w:rsidRPr="00610088" w:rsidRDefault="008845B9" w:rsidP="008845B9">
            <w:pPr>
              <w:rPr>
                <w:bCs/>
                <w:sz w:val="20"/>
                <w:szCs w:val="20"/>
                <w:lang w:val="en-GB"/>
              </w:rPr>
            </w:pPr>
          </w:p>
        </w:tc>
        <w:tc>
          <w:tcPr>
            <w:tcW w:w="331" w:type="pct"/>
          </w:tcPr>
          <w:p w14:paraId="6372AF0F" w14:textId="77777777" w:rsidR="008845B9" w:rsidRPr="00610088" w:rsidRDefault="008845B9" w:rsidP="008845B9">
            <w:pPr>
              <w:rPr>
                <w:bCs/>
                <w:sz w:val="20"/>
                <w:szCs w:val="20"/>
                <w:lang w:val="en-GB"/>
              </w:rPr>
            </w:pPr>
          </w:p>
        </w:tc>
      </w:tr>
      <w:tr w:rsidR="008845B9" w:rsidRPr="00610088" w14:paraId="463E9AE4" w14:textId="77777777" w:rsidTr="00A8191E">
        <w:trPr>
          <w:cantSplit/>
          <w:tblHeader/>
        </w:trPr>
        <w:tc>
          <w:tcPr>
            <w:tcW w:w="530" w:type="pct"/>
            <w:vMerge/>
          </w:tcPr>
          <w:p w14:paraId="24BDB0F9" w14:textId="77777777" w:rsidR="008845B9" w:rsidRPr="00610088" w:rsidRDefault="008845B9" w:rsidP="008845B9">
            <w:pPr>
              <w:rPr>
                <w:b/>
                <w:sz w:val="20"/>
                <w:szCs w:val="20"/>
                <w:lang w:val="en-GB"/>
              </w:rPr>
            </w:pPr>
          </w:p>
        </w:tc>
        <w:tc>
          <w:tcPr>
            <w:tcW w:w="3268" w:type="pct"/>
          </w:tcPr>
          <w:p w14:paraId="1C3B083E" w14:textId="538D9454" w:rsidR="008845B9" w:rsidRPr="00610088" w:rsidRDefault="008845B9" w:rsidP="008845B9">
            <w:pPr>
              <w:rPr>
                <w:b/>
                <w:sz w:val="20"/>
                <w:szCs w:val="20"/>
                <w:lang w:val="en-GB"/>
              </w:rPr>
            </w:pPr>
            <w:r w:rsidRPr="00610088">
              <w:rPr>
                <w:bCs/>
                <w:color w:val="000000" w:themeColor="text1"/>
                <w:sz w:val="20"/>
                <w:szCs w:val="20"/>
                <w:lang w:val="en-GB"/>
              </w:rPr>
              <w:t xml:space="preserve">Support and enhance food demonstrations, nutrition education and counselling including food hygiene for example in communities, orphanages, correctional </w:t>
            </w:r>
            <w:r w:rsidR="00236A4E" w:rsidRPr="00610088">
              <w:rPr>
                <w:bCs/>
                <w:color w:val="000000" w:themeColor="text1"/>
                <w:sz w:val="20"/>
                <w:szCs w:val="20"/>
                <w:lang w:val="en-GB"/>
              </w:rPr>
              <w:t>centres</w:t>
            </w:r>
            <w:r w:rsidRPr="00610088">
              <w:rPr>
                <w:bCs/>
                <w:color w:val="000000" w:themeColor="text1"/>
                <w:sz w:val="20"/>
                <w:szCs w:val="20"/>
                <w:lang w:val="en-GB"/>
              </w:rPr>
              <w:t>, foster homes, (pre)schools., workplaces, hospitals</w:t>
            </w:r>
          </w:p>
        </w:tc>
        <w:tc>
          <w:tcPr>
            <w:tcW w:w="461" w:type="pct"/>
          </w:tcPr>
          <w:p w14:paraId="1FB7E673" w14:textId="77777777" w:rsidR="008845B9" w:rsidRPr="00610088" w:rsidRDefault="008845B9" w:rsidP="008845B9">
            <w:pPr>
              <w:rPr>
                <w:b/>
                <w:sz w:val="20"/>
                <w:szCs w:val="20"/>
                <w:lang w:val="en-GB"/>
              </w:rPr>
            </w:pPr>
          </w:p>
        </w:tc>
        <w:tc>
          <w:tcPr>
            <w:tcW w:w="410" w:type="pct"/>
          </w:tcPr>
          <w:p w14:paraId="6D109EE5" w14:textId="3B73B3C5" w:rsidR="008845B9" w:rsidRPr="00610088" w:rsidRDefault="008845B9" w:rsidP="008845B9">
            <w:pPr>
              <w:rPr>
                <w:bCs/>
                <w:sz w:val="20"/>
                <w:szCs w:val="20"/>
                <w:lang w:val="en-GB"/>
              </w:rPr>
            </w:pPr>
            <w:r w:rsidRPr="00610088">
              <w:rPr>
                <w:bCs/>
                <w:sz w:val="20"/>
                <w:szCs w:val="20"/>
                <w:lang w:val="en-GB"/>
              </w:rPr>
              <w:t>x</w:t>
            </w:r>
          </w:p>
        </w:tc>
        <w:tc>
          <w:tcPr>
            <w:tcW w:w="331" w:type="pct"/>
          </w:tcPr>
          <w:p w14:paraId="31AC9E38" w14:textId="60C463DB" w:rsidR="008845B9" w:rsidRPr="00610088" w:rsidRDefault="008845B9" w:rsidP="008845B9">
            <w:pPr>
              <w:rPr>
                <w:bCs/>
                <w:sz w:val="20"/>
                <w:szCs w:val="20"/>
                <w:lang w:val="en-GB"/>
              </w:rPr>
            </w:pPr>
            <w:r w:rsidRPr="00610088">
              <w:rPr>
                <w:bCs/>
                <w:sz w:val="20"/>
                <w:szCs w:val="20"/>
                <w:lang w:val="en-GB"/>
              </w:rPr>
              <w:t>x</w:t>
            </w:r>
          </w:p>
        </w:tc>
      </w:tr>
      <w:tr w:rsidR="008845B9" w:rsidRPr="00610088" w14:paraId="6F941F1B" w14:textId="77777777" w:rsidTr="00A8191E">
        <w:trPr>
          <w:cantSplit/>
          <w:tblHeader/>
        </w:trPr>
        <w:tc>
          <w:tcPr>
            <w:tcW w:w="530" w:type="pct"/>
            <w:vMerge/>
          </w:tcPr>
          <w:p w14:paraId="43FF8694" w14:textId="77777777" w:rsidR="008845B9" w:rsidRPr="00610088" w:rsidRDefault="008845B9" w:rsidP="008845B9">
            <w:pPr>
              <w:rPr>
                <w:b/>
                <w:sz w:val="20"/>
                <w:szCs w:val="20"/>
                <w:lang w:val="en-GB"/>
              </w:rPr>
            </w:pPr>
          </w:p>
        </w:tc>
        <w:tc>
          <w:tcPr>
            <w:tcW w:w="3268" w:type="pct"/>
          </w:tcPr>
          <w:p w14:paraId="3CDAA486" w14:textId="4AFE0C18" w:rsidR="008845B9" w:rsidRPr="00610088" w:rsidRDefault="008845B9" w:rsidP="008845B9">
            <w:pPr>
              <w:rPr>
                <w:bCs/>
                <w:color w:val="000000" w:themeColor="text1"/>
                <w:sz w:val="20"/>
                <w:szCs w:val="20"/>
                <w:lang w:val="en-GB"/>
              </w:rPr>
            </w:pPr>
            <w:r w:rsidRPr="00610088">
              <w:rPr>
                <w:bCs/>
                <w:color w:val="000000" w:themeColor="text1"/>
                <w:sz w:val="20"/>
                <w:szCs w:val="20"/>
                <w:lang w:val="en-GB"/>
              </w:rPr>
              <w:t xml:space="preserve">Support production and use of locally grown </w:t>
            </w:r>
            <w:r w:rsidR="00A544A3" w:rsidRPr="00610088">
              <w:rPr>
                <w:bCs/>
                <w:color w:val="000000" w:themeColor="text1"/>
                <w:sz w:val="20"/>
                <w:szCs w:val="20"/>
                <w:lang w:val="en-GB"/>
              </w:rPr>
              <w:t xml:space="preserve">fruit and </w:t>
            </w:r>
            <w:r w:rsidRPr="00610088">
              <w:rPr>
                <w:bCs/>
                <w:color w:val="000000" w:themeColor="text1"/>
                <w:sz w:val="20"/>
                <w:szCs w:val="20"/>
                <w:lang w:val="en-GB"/>
              </w:rPr>
              <w:t>vegetables (</w:t>
            </w:r>
            <w:r w:rsidRPr="00610088">
              <w:rPr>
                <w:b/>
                <w:i/>
                <w:iCs/>
                <w:color w:val="000000" w:themeColor="text1"/>
                <w:sz w:val="20"/>
                <w:szCs w:val="20"/>
                <w:lang w:val="en-GB"/>
              </w:rPr>
              <w:t>see also SO1</w:t>
            </w:r>
            <w:r w:rsidRPr="00610088">
              <w:rPr>
                <w:bCs/>
                <w:color w:val="000000" w:themeColor="text1"/>
                <w:sz w:val="20"/>
                <w:szCs w:val="20"/>
                <w:lang w:val="en-GB"/>
              </w:rPr>
              <w:t>)</w:t>
            </w:r>
          </w:p>
        </w:tc>
        <w:tc>
          <w:tcPr>
            <w:tcW w:w="461" w:type="pct"/>
          </w:tcPr>
          <w:p w14:paraId="2AE66A78" w14:textId="77777777" w:rsidR="008845B9" w:rsidRPr="00610088" w:rsidRDefault="008845B9" w:rsidP="008845B9">
            <w:pPr>
              <w:rPr>
                <w:b/>
                <w:sz w:val="20"/>
                <w:szCs w:val="20"/>
                <w:lang w:val="en-GB"/>
              </w:rPr>
            </w:pPr>
          </w:p>
        </w:tc>
        <w:tc>
          <w:tcPr>
            <w:tcW w:w="410" w:type="pct"/>
          </w:tcPr>
          <w:p w14:paraId="648F4380" w14:textId="16979ED2" w:rsidR="008845B9" w:rsidRPr="00610088" w:rsidRDefault="008845B9" w:rsidP="008845B9">
            <w:pPr>
              <w:rPr>
                <w:bCs/>
                <w:sz w:val="20"/>
                <w:szCs w:val="20"/>
                <w:lang w:val="en-GB"/>
              </w:rPr>
            </w:pPr>
            <w:r w:rsidRPr="00610088">
              <w:rPr>
                <w:bCs/>
                <w:sz w:val="20"/>
                <w:szCs w:val="20"/>
                <w:lang w:val="en-GB"/>
              </w:rPr>
              <w:t>x</w:t>
            </w:r>
          </w:p>
        </w:tc>
        <w:tc>
          <w:tcPr>
            <w:tcW w:w="331" w:type="pct"/>
          </w:tcPr>
          <w:p w14:paraId="671D7165" w14:textId="51B4A58C" w:rsidR="008845B9" w:rsidRPr="00610088" w:rsidRDefault="008845B9" w:rsidP="008845B9">
            <w:pPr>
              <w:rPr>
                <w:bCs/>
                <w:sz w:val="20"/>
                <w:szCs w:val="20"/>
                <w:lang w:val="en-GB"/>
              </w:rPr>
            </w:pPr>
            <w:r w:rsidRPr="00610088">
              <w:rPr>
                <w:bCs/>
                <w:sz w:val="20"/>
                <w:szCs w:val="20"/>
                <w:lang w:val="en-GB"/>
              </w:rPr>
              <w:t>x</w:t>
            </w:r>
          </w:p>
        </w:tc>
      </w:tr>
    </w:tbl>
    <w:p w14:paraId="2EC36C72" w14:textId="22C08498" w:rsidR="009F4182" w:rsidRPr="00610088" w:rsidRDefault="009F4182" w:rsidP="00C57B3E">
      <w:pPr>
        <w:rPr>
          <w:sz w:val="20"/>
          <w:szCs w:val="20"/>
          <w:lang w:val="en-GB"/>
        </w:rPr>
      </w:pPr>
    </w:p>
    <w:p w14:paraId="35474507" w14:textId="17EB13B6" w:rsidR="009F4182" w:rsidRPr="00610088" w:rsidRDefault="009F4182" w:rsidP="00C57B3E">
      <w:pPr>
        <w:rPr>
          <w:lang w:val="en-GB"/>
        </w:rPr>
      </w:pPr>
    </w:p>
    <w:p w14:paraId="5500E50A" w14:textId="4C86E78E" w:rsidR="00272161" w:rsidRDefault="00C57B3E" w:rsidP="00F56026">
      <w:pPr>
        <w:pStyle w:val="Heading2"/>
        <w:rPr>
          <w:lang w:val="en-GB"/>
        </w:rPr>
      </w:pPr>
      <w:bookmarkStart w:id="108" w:name="_Toc41370568"/>
      <w:r w:rsidRPr="00610088">
        <w:rPr>
          <w:lang w:val="en-GB"/>
        </w:rPr>
        <w:t>SO</w:t>
      </w:r>
      <w:r w:rsidR="00604264" w:rsidRPr="00610088">
        <w:rPr>
          <w:lang w:val="en-GB"/>
        </w:rPr>
        <w:t>4</w:t>
      </w:r>
      <w:r w:rsidRPr="00610088">
        <w:rPr>
          <w:lang w:val="en-GB"/>
        </w:rPr>
        <w:t>: To strengthen NCD prevention, screening, diagnosis, management and care at all levels through implementation of practical, cost-effective and evidence-based interventions at all levels of care</w:t>
      </w:r>
      <w:bookmarkEnd w:id="108"/>
      <w:r w:rsidR="00A865AF" w:rsidRPr="00610088">
        <w:rPr>
          <w:lang w:val="en-GB"/>
        </w:rPr>
        <w:t xml:space="preserve">  </w:t>
      </w:r>
    </w:p>
    <w:p w14:paraId="6E6E1317" w14:textId="77777777" w:rsidR="001B16D1" w:rsidRPr="001B16D1" w:rsidRDefault="001B16D1" w:rsidP="001B16D1">
      <w:pPr>
        <w:rPr>
          <w:lang w:val="en-GB"/>
        </w:rPr>
      </w:pPr>
    </w:p>
    <w:p w14:paraId="64918E99" w14:textId="4A242CAD" w:rsidR="004C2636" w:rsidRPr="00610088" w:rsidRDefault="00272161" w:rsidP="001B16D1">
      <w:pPr>
        <w:rPr>
          <w:lang w:val="en-GB"/>
        </w:rPr>
      </w:pPr>
      <w:r w:rsidRPr="00610088">
        <w:rPr>
          <w:lang w:val="en-GB"/>
        </w:rPr>
        <w:t xml:space="preserve">The table below contains the key strategies and broad activities under SO4. </w:t>
      </w:r>
      <w:r w:rsidR="00C74C3A" w:rsidRPr="00610088">
        <w:rPr>
          <w:lang w:val="en-GB"/>
        </w:rPr>
        <w:t>P</w:t>
      </w:r>
      <w:r w:rsidR="00EC256F" w:rsidRPr="00610088">
        <w:rPr>
          <w:lang w:val="en-GB"/>
        </w:rPr>
        <w:t xml:space="preserve">ractical, cost-effective and evidence-based interventions will be prioritized at all service delivery levels, taking into account a life-course approach. </w:t>
      </w:r>
    </w:p>
    <w:p w14:paraId="0401A8BC" w14:textId="77777777" w:rsidR="00A15183" w:rsidRPr="00610088" w:rsidRDefault="00A15183" w:rsidP="004C2636">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8094"/>
        <w:gridCol w:w="1292"/>
        <w:gridCol w:w="1275"/>
        <w:gridCol w:w="1166"/>
      </w:tblGrid>
      <w:tr w:rsidR="00EC256F" w:rsidRPr="00610088" w14:paraId="5D418AD2" w14:textId="77777777" w:rsidTr="00A8191E">
        <w:tc>
          <w:tcPr>
            <w:tcW w:w="761" w:type="pct"/>
          </w:tcPr>
          <w:p w14:paraId="25CE7D7C" w14:textId="77777777" w:rsidR="002051A8" w:rsidRPr="00610088" w:rsidRDefault="002051A8" w:rsidP="0095126F">
            <w:pPr>
              <w:rPr>
                <w:b/>
                <w:lang w:val="en-GB"/>
              </w:rPr>
            </w:pPr>
            <w:r w:rsidRPr="00610088">
              <w:rPr>
                <w:b/>
                <w:lang w:val="en-GB"/>
              </w:rPr>
              <w:t>Strategy</w:t>
            </w:r>
          </w:p>
        </w:tc>
        <w:tc>
          <w:tcPr>
            <w:tcW w:w="2901" w:type="pct"/>
          </w:tcPr>
          <w:p w14:paraId="7DB0CAFF" w14:textId="77777777" w:rsidR="002051A8" w:rsidRPr="00610088" w:rsidRDefault="002051A8" w:rsidP="0095126F">
            <w:pPr>
              <w:rPr>
                <w:b/>
                <w:lang w:val="en-GB"/>
              </w:rPr>
            </w:pPr>
            <w:r w:rsidRPr="00610088">
              <w:rPr>
                <w:b/>
                <w:lang w:val="en-GB"/>
              </w:rPr>
              <w:t xml:space="preserve">Broad activity </w:t>
            </w:r>
          </w:p>
        </w:tc>
        <w:tc>
          <w:tcPr>
            <w:tcW w:w="463" w:type="pct"/>
          </w:tcPr>
          <w:p w14:paraId="02688763" w14:textId="77777777" w:rsidR="002051A8" w:rsidRPr="00610088" w:rsidRDefault="002051A8" w:rsidP="0095126F">
            <w:pPr>
              <w:rPr>
                <w:b/>
                <w:lang w:val="en-GB"/>
              </w:rPr>
            </w:pPr>
            <w:r w:rsidRPr="00610088">
              <w:rPr>
                <w:b/>
                <w:lang w:val="en-GB"/>
              </w:rPr>
              <w:t>Short term (1-2 years)</w:t>
            </w:r>
          </w:p>
        </w:tc>
        <w:tc>
          <w:tcPr>
            <w:tcW w:w="457" w:type="pct"/>
          </w:tcPr>
          <w:p w14:paraId="7F1E800E" w14:textId="77777777" w:rsidR="002051A8" w:rsidRPr="00610088" w:rsidRDefault="002051A8" w:rsidP="0095126F">
            <w:pPr>
              <w:rPr>
                <w:b/>
                <w:lang w:val="en-GB"/>
              </w:rPr>
            </w:pPr>
            <w:r w:rsidRPr="00610088">
              <w:rPr>
                <w:b/>
                <w:lang w:val="en-GB"/>
              </w:rPr>
              <w:t xml:space="preserve">Medium term </w:t>
            </w:r>
          </w:p>
          <w:p w14:paraId="5023A7E7" w14:textId="77777777" w:rsidR="002051A8" w:rsidRPr="00610088" w:rsidRDefault="002051A8" w:rsidP="0095126F">
            <w:pPr>
              <w:rPr>
                <w:b/>
                <w:lang w:val="en-GB"/>
              </w:rPr>
            </w:pPr>
            <w:r w:rsidRPr="00610088">
              <w:rPr>
                <w:b/>
                <w:lang w:val="en-GB"/>
              </w:rPr>
              <w:t>(3-5 years)</w:t>
            </w:r>
          </w:p>
        </w:tc>
        <w:tc>
          <w:tcPr>
            <w:tcW w:w="418" w:type="pct"/>
          </w:tcPr>
          <w:p w14:paraId="02ED1B6B" w14:textId="77777777" w:rsidR="002051A8" w:rsidRPr="00610088" w:rsidRDefault="002051A8" w:rsidP="0095126F">
            <w:pPr>
              <w:rPr>
                <w:b/>
                <w:lang w:val="en-GB"/>
              </w:rPr>
            </w:pPr>
            <w:r w:rsidRPr="00610088">
              <w:rPr>
                <w:b/>
                <w:lang w:val="en-GB"/>
              </w:rPr>
              <w:t>Long term (&gt; 5 years)</w:t>
            </w:r>
          </w:p>
        </w:tc>
      </w:tr>
      <w:tr w:rsidR="009F4182" w:rsidRPr="00610088" w14:paraId="524BF9C9" w14:textId="77777777" w:rsidTr="00A8191E">
        <w:trPr>
          <w:tblHeader/>
        </w:trPr>
        <w:tc>
          <w:tcPr>
            <w:tcW w:w="761" w:type="pct"/>
            <w:vMerge w:val="restart"/>
          </w:tcPr>
          <w:p w14:paraId="00968205" w14:textId="3B0B341B" w:rsidR="009F4182" w:rsidRPr="00610088" w:rsidRDefault="009F4182" w:rsidP="006B30FE">
            <w:pPr>
              <w:rPr>
                <w:b/>
                <w:sz w:val="20"/>
                <w:szCs w:val="20"/>
                <w:lang w:val="en-GB"/>
              </w:rPr>
            </w:pPr>
            <w:r w:rsidRPr="00610088">
              <w:rPr>
                <w:bCs/>
                <w:sz w:val="20"/>
                <w:szCs w:val="20"/>
                <w:lang w:val="en-GB"/>
              </w:rPr>
              <w:t xml:space="preserve">Training of </w:t>
            </w:r>
            <w:r w:rsidR="00272C5D" w:rsidRPr="00610088">
              <w:rPr>
                <w:bCs/>
                <w:sz w:val="20"/>
                <w:szCs w:val="20"/>
                <w:lang w:val="en-GB"/>
              </w:rPr>
              <w:t xml:space="preserve">health workers at all service delivery levels </w:t>
            </w:r>
          </w:p>
        </w:tc>
        <w:tc>
          <w:tcPr>
            <w:tcW w:w="2901" w:type="pct"/>
          </w:tcPr>
          <w:p w14:paraId="2906B1CA" w14:textId="68D2B293" w:rsidR="009F4182" w:rsidRPr="00610088" w:rsidRDefault="009F4182" w:rsidP="00C74C3A">
            <w:pPr>
              <w:rPr>
                <w:b/>
                <w:sz w:val="20"/>
                <w:szCs w:val="20"/>
                <w:lang w:val="en-GB"/>
              </w:rPr>
            </w:pPr>
            <w:r w:rsidRPr="00610088">
              <w:rPr>
                <w:bCs/>
                <w:sz w:val="20"/>
                <w:szCs w:val="20"/>
                <w:lang w:val="en-GB"/>
              </w:rPr>
              <w:t>Ensure adequate pre-service NCD training of health workers through regular curricula review, harmonization and adaptation for all relevant cadres</w:t>
            </w:r>
          </w:p>
        </w:tc>
        <w:tc>
          <w:tcPr>
            <w:tcW w:w="463" w:type="pct"/>
          </w:tcPr>
          <w:p w14:paraId="00DF602A" w14:textId="63307EA0" w:rsidR="009F4182" w:rsidRPr="00610088" w:rsidRDefault="002051A8" w:rsidP="006B30FE">
            <w:pPr>
              <w:rPr>
                <w:bCs/>
                <w:sz w:val="20"/>
                <w:szCs w:val="20"/>
                <w:lang w:val="en-GB"/>
              </w:rPr>
            </w:pPr>
            <w:r w:rsidRPr="00610088">
              <w:rPr>
                <w:bCs/>
                <w:sz w:val="20"/>
                <w:szCs w:val="20"/>
                <w:lang w:val="en-GB"/>
              </w:rPr>
              <w:t>x</w:t>
            </w:r>
          </w:p>
        </w:tc>
        <w:tc>
          <w:tcPr>
            <w:tcW w:w="457" w:type="pct"/>
          </w:tcPr>
          <w:p w14:paraId="1478D8B4" w14:textId="227E420E" w:rsidR="009F4182" w:rsidRPr="00610088" w:rsidRDefault="002051A8" w:rsidP="006B30FE">
            <w:pPr>
              <w:rPr>
                <w:bCs/>
                <w:sz w:val="20"/>
                <w:szCs w:val="20"/>
                <w:lang w:val="en-GB"/>
              </w:rPr>
            </w:pPr>
            <w:r w:rsidRPr="00610088">
              <w:rPr>
                <w:bCs/>
                <w:sz w:val="20"/>
                <w:szCs w:val="20"/>
                <w:lang w:val="en-GB"/>
              </w:rPr>
              <w:t>x</w:t>
            </w:r>
          </w:p>
        </w:tc>
        <w:tc>
          <w:tcPr>
            <w:tcW w:w="418" w:type="pct"/>
          </w:tcPr>
          <w:p w14:paraId="7B1E3E61" w14:textId="6B91A937" w:rsidR="009F4182" w:rsidRPr="00610088" w:rsidRDefault="001A6AEF" w:rsidP="006B30FE">
            <w:pPr>
              <w:rPr>
                <w:bCs/>
                <w:sz w:val="20"/>
                <w:szCs w:val="20"/>
                <w:lang w:val="en-GB"/>
              </w:rPr>
            </w:pPr>
            <w:r>
              <w:rPr>
                <w:bCs/>
                <w:sz w:val="20"/>
                <w:szCs w:val="20"/>
                <w:lang w:val="en-GB"/>
              </w:rPr>
              <w:t>x</w:t>
            </w:r>
          </w:p>
        </w:tc>
      </w:tr>
      <w:tr w:rsidR="009F4182" w:rsidRPr="00610088" w14:paraId="31E0F375" w14:textId="77777777" w:rsidTr="00A8191E">
        <w:trPr>
          <w:tblHeader/>
        </w:trPr>
        <w:tc>
          <w:tcPr>
            <w:tcW w:w="761" w:type="pct"/>
            <w:vMerge/>
          </w:tcPr>
          <w:p w14:paraId="47BA793F" w14:textId="77777777" w:rsidR="009F4182" w:rsidRPr="00610088" w:rsidRDefault="009F4182" w:rsidP="006B30FE">
            <w:pPr>
              <w:rPr>
                <w:b/>
                <w:sz w:val="20"/>
                <w:szCs w:val="20"/>
                <w:lang w:val="en-GB"/>
              </w:rPr>
            </w:pPr>
          </w:p>
        </w:tc>
        <w:tc>
          <w:tcPr>
            <w:tcW w:w="2901" w:type="pct"/>
          </w:tcPr>
          <w:p w14:paraId="57CA4EEF" w14:textId="405F730F" w:rsidR="009F4182" w:rsidRPr="00610088" w:rsidRDefault="009F4182" w:rsidP="00AB6BE3">
            <w:pPr>
              <w:rPr>
                <w:bCs/>
                <w:sz w:val="20"/>
                <w:szCs w:val="20"/>
                <w:lang w:val="en-GB"/>
              </w:rPr>
            </w:pPr>
            <w:r w:rsidRPr="00610088">
              <w:rPr>
                <w:bCs/>
                <w:sz w:val="20"/>
                <w:szCs w:val="20"/>
                <w:lang w:val="en-GB"/>
              </w:rPr>
              <w:t>Harmonize, further develop, coordinate and implement basic and refresher in-service NCD trainings for all relevant cadres</w:t>
            </w:r>
            <w:r w:rsidR="00AB6BE3" w:rsidRPr="00610088">
              <w:rPr>
                <w:bCs/>
                <w:sz w:val="20"/>
                <w:szCs w:val="20"/>
                <w:lang w:val="en-GB"/>
              </w:rPr>
              <w:t xml:space="preserve"> (including preparation of a team of national </w:t>
            </w:r>
            <w:r w:rsidR="001A6AEF">
              <w:rPr>
                <w:bCs/>
                <w:sz w:val="20"/>
                <w:szCs w:val="20"/>
                <w:lang w:val="en-GB"/>
              </w:rPr>
              <w:t>trainers</w:t>
            </w:r>
            <w:r w:rsidR="00AB6BE3" w:rsidRPr="00610088">
              <w:rPr>
                <w:bCs/>
                <w:sz w:val="20"/>
                <w:szCs w:val="20"/>
                <w:lang w:val="en-GB"/>
              </w:rPr>
              <w:t xml:space="preserve">, and adaptation of national training materials, </w:t>
            </w:r>
            <w:proofErr w:type="gramStart"/>
            <w:r w:rsidR="00AB6BE3" w:rsidRPr="00610088">
              <w:rPr>
                <w:bCs/>
                <w:sz w:val="20"/>
                <w:szCs w:val="20"/>
                <w:lang w:val="en-GB"/>
              </w:rPr>
              <w:t>e.g.</w:t>
            </w:r>
            <w:proofErr w:type="gramEnd"/>
            <w:r w:rsidR="00AB6BE3" w:rsidRPr="00610088">
              <w:rPr>
                <w:bCs/>
                <w:sz w:val="20"/>
                <w:szCs w:val="20"/>
                <w:lang w:val="en-GB"/>
              </w:rPr>
              <w:t xml:space="preserve"> based on generic WHO-PEN training manual)</w:t>
            </w:r>
          </w:p>
        </w:tc>
        <w:tc>
          <w:tcPr>
            <w:tcW w:w="463" w:type="pct"/>
          </w:tcPr>
          <w:p w14:paraId="074319FE" w14:textId="1BBD6D7C" w:rsidR="009F4182" w:rsidRPr="00610088" w:rsidRDefault="002051A8" w:rsidP="006B30FE">
            <w:pPr>
              <w:rPr>
                <w:bCs/>
                <w:sz w:val="20"/>
                <w:szCs w:val="20"/>
                <w:lang w:val="en-GB"/>
              </w:rPr>
            </w:pPr>
            <w:r w:rsidRPr="00610088">
              <w:rPr>
                <w:bCs/>
                <w:sz w:val="20"/>
                <w:szCs w:val="20"/>
                <w:lang w:val="en-GB"/>
              </w:rPr>
              <w:t>x</w:t>
            </w:r>
          </w:p>
        </w:tc>
        <w:tc>
          <w:tcPr>
            <w:tcW w:w="457" w:type="pct"/>
          </w:tcPr>
          <w:p w14:paraId="3448DFB8" w14:textId="10C8C7AE" w:rsidR="009F4182" w:rsidRPr="00610088" w:rsidRDefault="002051A8" w:rsidP="006B30FE">
            <w:pPr>
              <w:rPr>
                <w:bCs/>
                <w:sz w:val="20"/>
                <w:szCs w:val="20"/>
                <w:lang w:val="en-GB"/>
              </w:rPr>
            </w:pPr>
            <w:r w:rsidRPr="00610088">
              <w:rPr>
                <w:bCs/>
                <w:sz w:val="20"/>
                <w:szCs w:val="20"/>
                <w:lang w:val="en-GB"/>
              </w:rPr>
              <w:t>x</w:t>
            </w:r>
          </w:p>
        </w:tc>
        <w:tc>
          <w:tcPr>
            <w:tcW w:w="418" w:type="pct"/>
          </w:tcPr>
          <w:p w14:paraId="6ABB6364" w14:textId="2F83CF6D" w:rsidR="009F4182" w:rsidRPr="00610088" w:rsidRDefault="001A6AEF" w:rsidP="006B30FE">
            <w:pPr>
              <w:rPr>
                <w:bCs/>
                <w:sz w:val="20"/>
                <w:szCs w:val="20"/>
                <w:lang w:val="en-GB"/>
              </w:rPr>
            </w:pPr>
            <w:r>
              <w:rPr>
                <w:bCs/>
                <w:sz w:val="20"/>
                <w:szCs w:val="20"/>
                <w:lang w:val="en-GB"/>
              </w:rPr>
              <w:t>x</w:t>
            </w:r>
          </w:p>
        </w:tc>
      </w:tr>
      <w:tr w:rsidR="005228C0" w:rsidRPr="00610088" w14:paraId="068B6472" w14:textId="77777777" w:rsidTr="00A8191E">
        <w:trPr>
          <w:tblHeader/>
        </w:trPr>
        <w:tc>
          <w:tcPr>
            <w:tcW w:w="761" w:type="pct"/>
            <w:vMerge w:val="restart"/>
          </w:tcPr>
          <w:p w14:paraId="75F8B9E9" w14:textId="665BBF18" w:rsidR="005228C0" w:rsidRPr="00610088" w:rsidRDefault="005228C0" w:rsidP="002051A8">
            <w:pPr>
              <w:rPr>
                <w:bCs/>
                <w:sz w:val="20"/>
                <w:szCs w:val="20"/>
                <w:lang w:val="en-GB"/>
              </w:rPr>
            </w:pPr>
            <w:r w:rsidRPr="00610088">
              <w:rPr>
                <w:bCs/>
                <w:sz w:val="20"/>
                <w:szCs w:val="20"/>
                <w:lang w:val="en-GB"/>
              </w:rPr>
              <w:t>Strengthen NCD services at PHU and hospital level</w:t>
            </w:r>
          </w:p>
        </w:tc>
        <w:tc>
          <w:tcPr>
            <w:tcW w:w="2901" w:type="pct"/>
          </w:tcPr>
          <w:p w14:paraId="5F71E21D" w14:textId="579F4F4F" w:rsidR="005228C0" w:rsidRPr="00610088" w:rsidRDefault="005228C0" w:rsidP="002051A8">
            <w:pPr>
              <w:rPr>
                <w:bCs/>
                <w:sz w:val="20"/>
                <w:szCs w:val="20"/>
                <w:lang w:val="en-GB"/>
              </w:rPr>
            </w:pPr>
            <w:r w:rsidRPr="00610088">
              <w:rPr>
                <w:bCs/>
                <w:sz w:val="20"/>
                <w:szCs w:val="20"/>
                <w:lang w:val="en-GB"/>
              </w:rPr>
              <w:t>Implement PEN-P</w:t>
            </w:r>
            <w:r w:rsidR="00A665B8" w:rsidRPr="00610088">
              <w:rPr>
                <w:bCs/>
                <w:sz w:val="20"/>
                <w:szCs w:val="20"/>
                <w:lang w:val="en-GB"/>
              </w:rPr>
              <w:t>lus</w:t>
            </w:r>
            <w:r w:rsidRPr="00610088">
              <w:rPr>
                <w:bCs/>
                <w:sz w:val="20"/>
                <w:szCs w:val="20"/>
                <w:lang w:val="en-GB"/>
              </w:rPr>
              <w:t xml:space="preserve"> at hospital level</w:t>
            </w:r>
            <w:r w:rsidR="0044528E" w:rsidRPr="00610088">
              <w:rPr>
                <w:bCs/>
                <w:sz w:val="20"/>
                <w:szCs w:val="20"/>
                <w:lang w:val="en-GB"/>
              </w:rPr>
              <w:t>, ensuring</w:t>
            </w:r>
            <w:r w:rsidR="0044528E" w:rsidRPr="00610088">
              <w:rPr>
                <w:bCs/>
                <w:color w:val="000000"/>
                <w:sz w:val="20"/>
                <w:szCs w:val="20"/>
                <w:lang w:val="en-GB"/>
              </w:rPr>
              <w:t xml:space="preserve"> NCD services are available at primary, secondary and tertiary / teaching hospital levels, including a two-way referral system</w:t>
            </w:r>
          </w:p>
        </w:tc>
        <w:tc>
          <w:tcPr>
            <w:tcW w:w="463" w:type="pct"/>
          </w:tcPr>
          <w:p w14:paraId="2EFC5657" w14:textId="08341F8B" w:rsidR="005228C0" w:rsidRPr="00610088" w:rsidRDefault="005228C0" w:rsidP="002051A8">
            <w:pPr>
              <w:rPr>
                <w:bCs/>
                <w:sz w:val="20"/>
                <w:szCs w:val="20"/>
                <w:lang w:val="en-GB"/>
              </w:rPr>
            </w:pPr>
            <w:r w:rsidRPr="00610088">
              <w:rPr>
                <w:bCs/>
                <w:sz w:val="20"/>
                <w:szCs w:val="20"/>
                <w:lang w:val="en-GB"/>
              </w:rPr>
              <w:t>x</w:t>
            </w:r>
          </w:p>
        </w:tc>
        <w:tc>
          <w:tcPr>
            <w:tcW w:w="457" w:type="pct"/>
          </w:tcPr>
          <w:p w14:paraId="21891F59" w14:textId="7D4F1328" w:rsidR="005228C0" w:rsidRPr="00610088" w:rsidRDefault="005228C0" w:rsidP="002051A8">
            <w:pPr>
              <w:rPr>
                <w:bCs/>
                <w:sz w:val="20"/>
                <w:szCs w:val="20"/>
                <w:lang w:val="en-GB"/>
              </w:rPr>
            </w:pPr>
            <w:r w:rsidRPr="00610088">
              <w:rPr>
                <w:bCs/>
                <w:sz w:val="20"/>
                <w:szCs w:val="20"/>
                <w:lang w:val="en-GB"/>
              </w:rPr>
              <w:t>x</w:t>
            </w:r>
          </w:p>
        </w:tc>
        <w:tc>
          <w:tcPr>
            <w:tcW w:w="418" w:type="pct"/>
          </w:tcPr>
          <w:p w14:paraId="248467B6" w14:textId="563C344D" w:rsidR="005228C0" w:rsidRPr="00610088" w:rsidRDefault="001A6AEF" w:rsidP="002051A8">
            <w:pPr>
              <w:rPr>
                <w:bCs/>
                <w:sz w:val="20"/>
                <w:szCs w:val="20"/>
                <w:lang w:val="en-GB"/>
              </w:rPr>
            </w:pPr>
            <w:r>
              <w:rPr>
                <w:bCs/>
                <w:sz w:val="20"/>
                <w:szCs w:val="20"/>
                <w:lang w:val="en-GB"/>
              </w:rPr>
              <w:t>x</w:t>
            </w:r>
          </w:p>
        </w:tc>
      </w:tr>
      <w:tr w:rsidR="005228C0" w:rsidRPr="00610088" w14:paraId="50ED4B0C" w14:textId="77777777" w:rsidTr="00A8191E">
        <w:trPr>
          <w:trHeight w:val="355"/>
          <w:tblHeader/>
        </w:trPr>
        <w:tc>
          <w:tcPr>
            <w:tcW w:w="761" w:type="pct"/>
            <w:vMerge/>
          </w:tcPr>
          <w:p w14:paraId="7B9E74A5" w14:textId="77777777" w:rsidR="005228C0" w:rsidRPr="00610088" w:rsidRDefault="005228C0" w:rsidP="002051A8">
            <w:pPr>
              <w:rPr>
                <w:bCs/>
                <w:sz w:val="20"/>
                <w:szCs w:val="20"/>
                <w:lang w:val="en-GB"/>
              </w:rPr>
            </w:pPr>
          </w:p>
        </w:tc>
        <w:tc>
          <w:tcPr>
            <w:tcW w:w="2901" w:type="pct"/>
          </w:tcPr>
          <w:p w14:paraId="08EDCF50" w14:textId="70D548D6" w:rsidR="005228C0" w:rsidRPr="00610088" w:rsidRDefault="005228C0" w:rsidP="00A865AF">
            <w:pPr>
              <w:rPr>
                <w:bCs/>
                <w:sz w:val="20"/>
                <w:szCs w:val="20"/>
                <w:lang w:val="en-GB"/>
              </w:rPr>
            </w:pPr>
            <w:r w:rsidRPr="00610088">
              <w:rPr>
                <w:bCs/>
                <w:sz w:val="20"/>
                <w:szCs w:val="20"/>
                <w:lang w:val="en-GB"/>
              </w:rPr>
              <w:t>Establish/ support NCD clinic days at district, regional and tertiary hospitals</w:t>
            </w:r>
          </w:p>
        </w:tc>
        <w:tc>
          <w:tcPr>
            <w:tcW w:w="463" w:type="pct"/>
          </w:tcPr>
          <w:p w14:paraId="2636DCCC" w14:textId="5E1F8738" w:rsidR="005228C0" w:rsidRPr="00610088" w:rsidRDefault="005228C0" w:rsidP="002051A8">
            <w:pPr>
              <w:rPr>
                <w:bCs/>
                <w:sz w:val="20"/>
                <w:szCs w:val="20"/>
                <w:lang w:val="en-GB"/>
              </w:rPr>
            </w:pPr>
            <w:r w:rsidRPr="00610088">
              <w:rPr>
                <w:bCs/>
                <w:sz w:val="20"/>
                <w:szCs w:val="20"/>
                <w:lang w:val="en-GB"/>
              </w:rPr>
              <w:t>x</w:t>
            </w:r>
          </w:p>
        </w:tc>
        <w:tc>
          <w:tcPr>
            <w:tcW w:w="457" w:type="pct"/>
          </w:tcPr>
          <w:p w14:paraId="21C14272" w14:textId="02D81A4E" w:rsidR="005228C0" w:rsidRPr="00610088" w:rsidRDefault="005228C0" w:rsidP="002051A8">
            <w:pPr>
              <w:rPr>
                <w:bCs/>
                <w:sz w:val="20"/>
                <w:szCs w:val="20"/>
                <w:lang w:val="en-GB"/>
              </w:rPr>
            </w:pPr>
            <w:r w:rsidRPr="00610088">
              <w:rPr>
                <w:bCs/>
                <w:sz w:val="20"/>
                <w:szCs w:val="20"/>
                <w:lang w:val="en-GB"/>
              </w:rPr>
              <w:t>x</w:t>
            </w:r>
          </w:p>
        </w:tc>
        <w:tc>
          <w:tcPr>
            <w:tcW w:w="418" w:type="pct"/>
          </w:tcPr>
          <w:p w14:paraId="0E1EDC12" w14:textId="08652594" w:rsidR="005228C0" w:rsidRPr="00610088" w:rsidRDefault="001A6AEF" w:rsidP="002051A8">
            <w:pPr>
              <w:rPr>
                <w:bCs/>
                <w:sz w:val="20"/>
                <w:szCs w:val="20"/>
                <w:lang w:val="en-GB"/>
              </w:rPr>
            </w:pPr>
            <w:r>
              <w:rPr>
                <w:bCs/>
                <w:sz w:val="20"/>
                <w:szCs w:val="20"/>
                <w:lang w:val="en-GB"/>
              </w:rPr>
              <w:t>x</w:t>
            </w:r>
          </w:p>
        </w:tc>
      </w:tr>
      <w:tr w:rsidR="005228C0" w:rsidRPr="00610088" w14:paraId="393F5A9F" w14:textId="77777777" w:rsidTr="00A8191E">
        <w:trPr>
          <w:tblHeader/>
        </w:trPr>
        <w:tc>
          <w:tcPr>
            <w:tcW w:w="761" w:type="pct"/>
            <w:vMerge/>
          </w:tcPr>
          <w:p w14:paraId="44605EF6" w14:textId="77777777" w:rsidR="005228C0" w:rsidRPr="00610088" w:rsidRDefault="005228C0" w:rsidP="002051A8">
            <w:pPr>
              <w:rPr>
                <w:bCs/>
                <w:sz w:val="20"/>
                <w:szCs w:val="20"/>
                <w:lang w:val="en-GB"/>
              </w:rPr>
            </w:pPr>
          </w:p>
        </w:tc>
        <w:tc>
          <w:tcPr>
            <w:tcW w:w="2901" w:type="pct"/>
          </w:tcPr>
          <w:p w14:paraId="4027DFFB" w14:textId="0DC79F0E" w:rsidR="005228C0" w:rsidRPr="00610088" w:rsidRDefault="005228C0" w:rsidP="002051A8">
            <w:pPr>
              <w:rPr>
                <w:bCs/>
                <w:sz w:val="20"/>
                <w:szCs w:val="20"/>
                <w:lang w:val="en-GB"/>
              </w:rPr>
            </w:pPr>
            <w:r w:rsidRPr="00610088">
              <w:rPr>
                <w:bCs/>
                <w:sz w:val="20"/>
                <w:szCs w:val="20"/>
                <w:lang w:val="en-GB"/>
              </w:rPr>
              <w:t>Implement NCD Desk guide at hospital and CHC levels</w:t>
            </w:r>
            <w:r w:rsidR="00AB6BE3" w:rsidRPr="00610088">
              <w:rPr>
                <w:bCs/>
                <w:sz w:val="20"/>
                <w:szCs w:val="20"/>
                <w:lang w:val="en-GB"/>
              </w:rPr>
              <w:t xml:space="preserve"> (after guide has been finalized/updated, see below)</w:t>
            </w:r>
          </w:p>
        </w:tc>
        <w:tc>
          <w:tcPr>
            <w:tcW w:w="463" w:type="pct"/>
          </w:tcPr>
          <w:p w14:paraId="54C86724" w14:textId="3E8721BC" w:rsidR="005228C0" w:rsidRPr="00610088" w:rsidRDefault="005228C0" w:rsidP="002051A8">
            <w:pPr>
              <w:rPr>
                <w:bCs/>
                <w:sz w:val="20"/>
                <w:szCs w:val="20"/>
                <w:lang w:val="en-GB"/>
              </w:rPr>
            </w:pPr>
            <w:r w:rsidRPr="00610088">
              <w:rPr>
                <w:bCs/>
                <w:sz w:val="20"/>
                <w:szCs w:val="20"/>
                <w:lang w:val="en-GB"/>
              </w:rPr>
              <w:t>All hospitals, 5 CHC/district</w:t>
            </w:r>
          </w:p>
        </w:tc>
        <w:tc>
          <w:tcPr>
            <w:tcW w:w="457" w:type="pct"/>
          </w:tcPr>
          <w:p w14:paraId="2729AA72" w14:textId="177E64EA" w:rsidR="005228C0" w:rsidRPr="00610088" w:rsidRDefault="00F56026" w:rsidP="002051A8">
            <w:pPr>
              <w:rPr>
                <w:bCs/>
                <w:sz w:val="20"/>
                <w:szCs w:val="20"/>
                <w:lang w:val="en-GB"/>
              </w:rPr>
            </w:pPr>
            <w:r w:rsidRPr="00610088">
              <w:rPr>
                <w:bCs/>
                <w:sz w:val="20"/>
                <w:szCs w:val="20"/>
                <w:lang w:val="en-GB"/>
              </w:rPr>
              <w:t>Increase number (nr TBD</w:t>
            </w:r>
            <w:r w:rsidR="001A6AEF">
              <w:rPr>
                <w:bCs/>
                <w:sz w:val="20"/>
                <w:szCs w:val="20"/>
                <w:lang w:val="en-GB"/>
              </w:rPr>
              <w:t xml:space="preserve">- To </w:t>
            </w:r>
            <w:r w:rsidR="00F94101">
              <w:rPr>
                <w:bCs/>
                <w:sz w:val="20"/>
                <w:szCs w:val="20"/>
                <w:lang w:val="en-GB"/>
              </w:rPr>
              <w:t>be determined</w:t>
            </w:r>
            <w:r w:rsidRPr="00610088">
              <w:rPr>
                <w:bCs/>
                <w:sz w:val="20"/>
                <w:szCs w:val="20"/>
                <w:lang w:val="en-GB"/>
              </w:rPr>
              <w:t>)</w:t>
            </w:r>
          </w:p>
        </w:tc>
        <w:tc>
          <w:tcPr>
            <w:tcW w:w="418" w:type="pct"/>
          </w:tcPr>
          <w:p w14:paraId="047C8D24" w14:textId="279208BA" w:rsidR="005228C0" w:rsidRPr="00610088" w:rsidRDefault="00F56026" w:rsidP="002051A8">
            <w:pPr>
              <w:rPr>
                <w:bCs/>
                <w:sz w:val="20"/>
                <w:szCs w:val="20"/>
                <w:lang w:val="en-GB"/>
              </w:rPr>
            </w:pPr>
            <w:r w:rsidRPr="00610088">
              <w:rPr>
                <w:bCs/>
                <w:sz w:val="20"/>
                <w:szCs w:val="20"/>
                <w:lang w:val="en-GB"/>
              </w:rPr>
              <w:t>Increase number (nr TBD)</w:t>
            </w:r>
          </w:p>
        </w:tc>
      </w:tr>
      <w:tr w:rsidR="005228C0" w:rsidRPr="00610088" w14:paraId="2290B953" w14:textId="77777777" w:rsidTr="00A8191E">
        <w:trPr>
          <w:tblHeader/>
        </w:trPr>
        <w:tc>
          <w:tcPr>
            <w:tcW w:w="761" w:type="pct"/>
            <w:vMerge/>
          </w:tcPr>
          <w:p w14:paraId="26F15348" w14:textId="77777777" w:rsidR="005228C0" w:rsidRPr="00610088" w:rsidRDefault="005228C0" w:rsidP="002051A8">
            <w:pPr>
              <w:rPr>
                <w:bCs/>
                <w:sz w:val="20"/>
                <w:szCs w:val="20"/>
                <w:lang w:val="en-GB"/>
              </w:rPr>
            </w:pPr>
          </w:p>
        </w:tc>
        <w:tc>
          <w:tcPr>
            <w:tcW w:w="2901" w:type="pct"/>
          </w:tcPr>
          <w:p w14:paraId="1314B904" w14:textId="366DE692" w:rsidR="005228C0" w:rsidRPr="00610088" w:rsidRDefault="005228C0" w:rsidP="002051A8">
            <w:pPr>
              <w:rPr>
                <w:bCs/>
                <w:sz w:val="20"/>
                <w:szCs w:val="20"/>
                <w:lang w:val="en-GB"/>
              </w:rPr>
            </w:pPr>
            <w:r w:rsidRPr="00610088">
              <w:rPr>
                <w:bCs/>
                <w:sz w:val="20"/>
                <w:szCs w:val="20"/>
                <w:lang w:val="en-GB"/>
              </w:rPr>
              <w:t>Implement PEN at PHU level</w:t>
            </w:r>
          </w:p>
        </w:tc>
        <w:tc>
          <w:tcPr>
            <w:tcW w:w="463" w:type="pct"/>
          </w:tcPr>
          <w:p w14:paraId="1D0A8959" w14:textId="6FA04017" w:rsidR="005228C0" w:rsidRPr="00610088" w:rsidRDefault="005228C0" w:rsidP="002051A8">
            <w:pPr>
              <w:rPr>
                <w:bCs/>
                <w:sz w:val="20"/>
                <w:szCs w:val="20"/>
                <w:lang w:val="en-GB"/>
              </w:rPr>
            </w:pPr>
            <w:r w:rsidRPr="00610088">
              <w:rPr>
                <w:bCs/>
                <w:sz w:val="20"/>
                <w:szCs w:val="20"/>
                <w:lang w:val="en-GB"/>
              </w:rPr>
              <w:t>5 CHC/district</w:t>
            </w:r>
          </w:p>
        </w:tc>
        <w:tc>
          <w:tcPr>
            <w:tcW w:w="457" w:type="pct"/>
          </w:tcPr>
          <w:p w14:paraId="3843EC55" w14:textId="06247B50" w:rsidR="005228C0" w:rsidRPr="00610088" w:rsidRDefault="00F56026" w:rsidP="002051A8">
            <w:pPr>
              <w:rPr>
                <w:bCs/>
                <w:sz w:val="20"/>
                <w:szCs w:val="20"/>
                <w:lang w:val="en-GB"/>
              </w:rPr>
            </w:pPr>
            <w:r w:rsidRPr="00610088">
              <w:rPr>
                <w:bCs/>
                <w:sz w:val="20"/>
                <w:szCs w:val="20"/>
                <w:lang w:val="en-GB"/>
              </w:rPr>
              <w:t>Increase number (nr TBD)</w:t>
            </w:r>
          </w:p>
        </w:tc>
        <w:tc>
          <w:tcPr>
            <w:tcW w:w="418" w:type="pct"/>
          </w:tcPr>
          <w:p w14:paraId="20CE39EB" w14:textId="7DAF72B1" w:rsidR="005228C0" w:rsidRPr="00610088" w:rsidRDefault="00F56026" w:rsidP="002051A8">
            <w:pPr>
              <w:rPr>
                <w:bCs/>
                <w:sz w:val="20"/>
                <w:szCs w:val="20"/>
                <w:lang w:val="en-GB"/>
              </w:rPr>
            </w:pPr>
            <w:r w:rsidRPr="00610088">
              <w:rPr>
                <w:bCs/>
                <w:sz w:val="20"/>
                <w:szCs w:val="20"/>
                <w:lang w:val="en-GB"/>
              </w:rPr>
              <w:t>Increase number (nr TBD)</w:t>
            </w:r>
          </w:p>
        </w:tc>
      </w:tr>
      <w:tr w:rsidR="005228C0" w:rsidRPr="00610088" w14:paraId="7D1F28F3" w14:textId="77777777" w:rsidTr="00A8191E">
        <w:trPr>
          <w:tblHeader/>
        </w:trPr>
        <w:tc>
          <w:tcPr>
            <w:tcW w:w="761" w:type="pct"/>
            <w:vMerge/>
          </w:tcPr>
          <w:p w14:paraId="25226D89" w14:textId="77777777" w:rsidR="005228C0" w:rsidRPr="00610088" w:rsidRDefault="005228C0" w:rsidP="00A865AF">
            <w:pPr>
              <w:rPr>
                <w:bCs/>
                <w:sz w:val="20"/>
                <w:szCs w:val="20"/>
                <w:lang w:val="en-GB"/>
              </w:rPr>
            </w:pPr>
          </w:p>
        </w:tc>
        <w:tc>
          <w:tcPr>
            <w:tcW w:w="2901" w:type="pct"/>
          </w:tcPr>
          <w:p w14:paraId="34D0E614" w14:textId="11EFEE73" w:rsidR="005228C0" w:rsidRPr="00610088" w:rsidRDefault="005228C0" w:rsidP="00A865AF">
            <w:pPr>
              <w:rPr>
                <w:bCs/>
                <w:sz w:val="20"/>
                <w:szCs w:val="20"/>
                <w:lang w:val="en-GB"/>
              </w:rPr>
            </w:pPr>
            <w:r w:rsidRPr="00610088">
              <w:rPr>
                <w:bCs/>
                <w:sz w:val="20"/>
                <w:szCs w:val="20"/>
                <w:lang w:val="en-GB"/>
              </w:rPr>
              <w:t>Establish and Strengthen early detection/screening</w:t>
            </w:r>
          </w:p>
        </w:tc>
        <w:tc>
          <w:tcPr>
            <w:tcW w:w="463" w:type="pct"/>
            <w:shd w:val="clear" w:color="auto" w:fill="auto"/>
          </w:tcPr>
          <w:p w14:paraId="4D1767C7" w14:textId="77777777" w:rsidR="005228C0" w:rsidRPr="00610088" w:rsidRDefault="005228C0" w:rsidP="00A865AF">
            <w:pPr>
              <w:rPr>
                <w:bCs/>
                <w:sz w:val="20"/>
                <w:szCs w:val="20"/>
                <w:lang w:val="en-GB"/>
              </w:rPr>
            </w:pPr>
          </w:p>
        </w:tc>
        <w:tc>
          <w:tcPr>
            <w:tcW w:w="457" w:type="pct"/>
          </w:tcPr>
          <w:p w14:paraId="15F52752" w14:textId="308C5926" w:rsidR="005228C0" w:rsidRPr="00610088" w:rsidRDefault="005228C0" w:rsidP="00A865AF">
            <w:pPr>
              <w:rPr>
                <w:bCs/>
                <w:sz w:val="20"/>
                <w:szCs w:val="20"/>
                <w:lang w:val="en-GB"/>
              </w:rPr>
            </w:pPr>
            <w:r w:rsidRPr="00610088">
              <w:rPr>
                <w:bCs/>
                <w:sz w:val="20"/>
                <w:szCs w:val="20"/>
                <w:lang w:val="en-GB"/>
              </w:rPr>
              <w:t>x</w:t>
            </w:r>
          </w:p>
        </w:tc>
        <w:tc>
          <w:tcPr>
            <w:tcW w:w="418" w:type="pct"/>
          </w:tcPr>
          <w:p w14:paraId="78F22916" w14:textId="0E8AD1CA" w:rsidR="005228C0" w:rsidRPr="00610088" w:rsidRDefault="00A8191E" w:rsidP="00A865AF">
            <w:pPr>
              <w:rPr>
                <w:bCs/>
                <w:sz w:val="20"/>
                <w:szCs w:val="20"/>
                <w:lang w:val="en-GB"/>
              </w:rPr>
            </w:pPr>
            <w:r w:rsidRPr="00610088">
              <w:rPr>
                <w:bCs/>
                <w:sz w:val="20"/>
                <w:szCs w:val="20"/>
                <w:lang w:val="en-GB"/>
              </w:rPr>
              <w:t>X</w:t>
            </w:r>
          </w:p>
        </w:tc>
      </w:tr>
      <w:tr w:rsidR="005228C0" w:rsidRPr="00610088" w14:paraId="0EEDFF6B" w14:textId="77777777" w:rsidTr="00A8191E">
        <w:trPr>
          <w:tblHeader/>
        </w:trPr>
        <w:tc>
          <w:tcPr>
            <w:tcW w:w="761" w:type="pct"/>
            <w:vMerge/>
          </w:tcPr>
          <w:p w14:paraId="2F72EB23" w14:textId="77777777" w:rsidR="005228C0" w:rsidRPr="00610088" w:rsidRDefault="005228C0" w:rsidP="00A865AF">
            <w:pPr>
              <w:rPr>
                <w:bCs/>
                <w:sz w:val="20"/>
                <w:szCs w:val="20"/>
                <w:lang w:val="en-GB"/>
              </w:rPr>
            </w:pPr>
          </w:p>
        </w:tc>
        <w:tc>
          <w:tcPr>
            <w:tcW w:w="2901" w:type="pct"/>
          </w:tcPr>
          <w:p w14:paraId="66B3771A" w14:textId="21136510" w:rsidR="005228C0" w:rsidRPr="00610088" w:rsidRDefault="005228C0" w:rsidP="00EC256F">
            <w:pPr>
              <w:rPr>
                <w:bCs/>
                <w:sz w:val="20"/>
                <w:szCs w:val="20"/>
                <w:lang w:val="en-GB"/>
              </w:rPr>
            </w:pPr>
            <w:r w:rsidRPr="00610088">
              <w:rPr>
                <w:bCs/>
                <w:color w:val="000000" w:themeColor="text1"/>
                <w:sz w:val="20"/>
                <w:szCs w:val="20"/>
                <w:lang w:val="en-GB"/>
              </w:rPr>
              <w:t>Establish NCD follow-up systems for patients (</w:t>
            </w:r>
            <w:proofErr w:type="gramStart"/>
            <w:r w:rsidRPr="00610088">
              <w:rPr>
                <w:bCs/>
                <w:color w:val="000000" w:themeColor="text1"/>
                <w:sz w:val="20"/>
                <w:szCs w:val="20"/>
                <w:lang w:val="en-GB"/>
              </w:rPr>
              <w:t>e.g.</w:t>
            </w:r>
            <w:proofErr w:type="gramEnd"/>
            <w:r w:rsidRPr="00610088">
              <w:rPr>
                <w:bCs/>
                <w:color w:val="000000" w:themeColor="text1"/>
                <w:sz w:val="20"/>
                <w:szCs w:val="20"/>
                <w:lang w:val="en-GB"/>
              </w:rPr>
              <w:t xml:space="preserve"> NCD registers and inclusion NCD categories in existing registers and data tools)</w:t>
            </w:r>
          </w:p>
        </w:tc>
        <w:tc>
          <w:tcPr>
            <w:tcW w:w="463" w:type="pct"/>
            <w:shd w:val="clear" w:color="auto" w:fill="auto"/>
          </w:tcPr>
          <w:p w14:paraId="0DED150A" w14:textId="124A76BA" w:rsidR="005228C0" w:rsidRPr="00610088" w:rsidRDefault="00F56026" w:rsidP="00A865AF">
            <w:pPr>
              <w:rPr>
                <w:bCs/>
                <w:sz w:val="20"/>
                <w:szCs w:val="20"/>
                <w:lang w:val="en-GB"/>
              </w:rPr>
            </w:pPr>
            <w:r w:rsidRPr="00610088">
              <w:rPr>
                <w:bCs/>
                <w:sz w:val="20"/>
                <w:szCs w:val="20"/>
                <w:lang w:val="en-GB"/>
              </w:rPr>
              <w:t>x</w:t>
            </w:r>
          </w:p>
        </w:tc>
        <w:tc>
          <w:tcPr>
            <w:tcW w:w="457" w:type="pct"/>
          </w:tcPr>
          <w:p w14:paraId="5B4CC605" w14:textId="31408CC9" w:rsidR="005228C0" w:rsidRPr="00610088" w:rsidRDefault="005228C0" w:rsidP="00A865AF">
            <w:pPr>
              <w:rPr>
                <w:bCs/>
                <w:sz w:val="20"/>
                <w:szCs w:val="20"/>
                <w:lang w:val="en-GB"/>
              </w:rPr>
            </w:pPr>
            <w:r w:rsidRPr="00610088">
              <w:rPr>
                <w:bCs/>
                <w:sz w:val="20"/>
                <w:szCs w:val="20"/>
                <w:lang w:val="en-GB"/>
              </w:rPr>
              <w:t>x</w:t>
            </w:r>
          </w:p>
        </w:tc>
        <w:tc>
          <w:tcPr>
            <w:tcW w:w="418" w:type="pct"/>
          </w:tcPr>
          <w:p w14:paraId="2B55A029" w14:textId="68BAB4D7" w:rsidR="005228C0" w:rsidRPr="00610088" w:rsidRDefault="00A8191E" w:rsidP="00A865AF">
            <w:pPr>
              <w:rPr>
                <w:bCs/>
                <w:sz w:val="20"/>
                <w:szCs w:val="20"/>
                <w:lang w:val="en-GB"/>
              </w:rPr>
            </w:pPr>
            <w:r w:rsidRPr="00610088">
              <w:rPr>
                <w:bCs/>
                <w:sz w:val="20"/>
                <w:szCs w:val="20"/>
                <w:lang w:val="en-GB"/>
              </w:rPr>
              <w:t>X</w:t>
            </w:r>
          </w:p>
        </w:tc>
      </w:tr>
      <w:tr w:rsidR="005228C0" w:rsidRPr="00610088" w14:paraId="594C448B" w14:textId="77777777" w:rsidTr="00A8191E">
        <w:trPr>
          <w:tblHeader/>
        </w:trPr>
        <w:tc>
          <w:tcPr>
            <w:tcW w:w="761" w:type="pct"/>
            <w:vMerge/>
          </w:tcPr>
          <w:p w14:paraId="7C3F3C33" w14:textId="77777777" w:rsidR="005228C0" w:rsidRPr="00610088" w:rsidRDefault="005228C0" w:rsidP="00A865AF">
            <w:pPr>
              <w:rPr>
                <w:bCs/>
                <w:sz w:val="20"/>
                <w:szCs w:val="20"/>
                <w:lang w:val="en-GB"/>
              </w:rPr>
            </w:pPr>
          </w:p>
        </w:tc>
        <w:tc>
          <w:tcPr>
            <w:tcW w:w="2901" w:type="pct"/>
          </w:tcPr>
          <w:p w14:paraId="20F560FF" w14:textId="4B633708" w:rsidR="005228C0" w:rsidRPr="00610088" w:rsidRDefault="005228C0" w:rsidP="00A865AF">
            <w:pPr>
              <w:rPr>
                <w:bCs/>
                <w:color w:val="000000" w:themeColor="text1"/>
                <w:sz w:val="20"/>
                <w:szCs w:val="20"/>
                <w:lang w:val="en-GB"/>
              </w:rPr>
            </w:pPr>
            <w:r w:rsidRPr="00610088">
              <w:rPr>
                <w:bCs/>
                <w:color w:val="000000" w:themeColor="text1"/>
                <w:sz w:val="20"/>
                <w:szCs w:val="20"/>
                <w:lang w:val="en-GB"/>
              </w:rPr>
              <w:t>Advocate for / support integration of NCD information and counselling services</w:t>
            </w:r>
            <w:r w:rsidRPr="00610088">
              <w:rPr>
                <w:bCs/>
                <w:sz w:val="20"/>
                <w:szCs w:val="20"/>
                <w:lang w:val="en-GB"/>
              </w:rPr>
              <w:t xml:space="preserve"> into all preventive and curative health services</w:t>
            </w:r>
          </w:p>
        </w:tc>
        <w:tc>
          <w:tcPr>
            <w:tcW w:w="463" w:type="pct"/>
            <w:shd w:val="clear" w:color="auto" w:fill="auto"/>
          </w:tcPr>
          <w:p w14:paraId="0096E2D8" w14:textId="1108F8DA" w:rsidR="005228C0" w:rsidRPr="00610088" w:rsidRDefault="005228C0" w:rsidP="00A865AF">
            <w:pPr>
              <w:rPr>
                <w:bCs/>
                <w:sz w:val="20"/>
                <w:szCs w:val="20"/>
                <w:lang w:val="en-GB"/>
              </w:rPr>
            </w:pPr>
            <w:r w:rsidRPr="00610088">
              <w:rPr>
                <w:bCs/>
                <w:sz w:val="20"/>
                <w:szCs w:val="20"/>
                <w:lang w:val="en-GB"/>
              </w:rPr>
              <w:t>x</w:t>
            </w:r>
          </w:p>
        </w:tc>
        <w:tc>
          <w:tcPr>
            <w:tcW w:w="457" w:type="pct"/>
          </w:tcPr>
          <w:p w14:paraId="37892188" w14:textId="203F8090" w:rsidR="005228C0" w:rsidRPr="00610088" w:rsidRDefault="005228C0" w:rsidP="00A865AF">
            <w:pPr>
              <w:rPr>
                <w:bCs/>
                <w:sz w:val="20"/>
                <w:szCs w:val="20"/>
                <w:lang w:val="en-GB"/>
              </w:rPr>
            </w:pPr>
            <w:r w:rsidRPr="00610088">
              <w:rPr>
                <w:bCs/>
                <w:sz w:val="20"/>
                <w:szCs w:val="20"/>
                <w:lang w:val="en-GB"/>
              </w:rPr>
              <w:t>x</w:t>
            </w:r>
          </w:p>
        </w:tc>
        <w:tc>
          <w:tcPr>
            <w:tcW w:w="418" w:type="pct"/>
          </w:tcPr>
          <w:p w14:paraId="22D82691" w14:textId="1EDF380C" w:rsidR="005228C0" w:rsidRPr="00610088" w:rsidRDefault="00A8191E" w:rsidP="00A865AF">
            <w:pPr>
              <w:rPr>
                <w:bCs/>
                <w:sz w:val="20"/>
                <w:szCs w:val="20"/>
                <w:lang w:val="en-GB"/>
              </w:rPr>
            </w:pPr>
            <w:r w:rsidRPr="00610088">
              <w:rPr>
                <w:bCs/>
                <w:sz w:val="20"/>
                <w:szCs w:val="20"/>
                <w:lang w:val="en-GB"/>
              </w:rPr>
              <w:t>X</w:t>
            </w:r>
          </w:p>
        </w:tc>
      </w:tr>
      <w:tr w:rsidR="005228C0" w:rsidRPr="00610088" w14:paraId="71C2653B" w14:textId="77777777" w:rsidTr="00A8191E">
        <w:trPr>
          <w:tblHeader/>
        </w:trPr>
        <w:tc>
          <w:tcPr>
            <w:tcW w:w="761" w:type="pct"/>
            <w:vMerge/>
          </w:tcPr>
          <w:p w14:paraId="60556907" w14:textId="77777777" w:rsidR="005228C0" w:rsidRPr="00610088" w:rsidRDefault="005228C0" w:rsidP="00A865AF">
            <w:pPr>
              <w:rPr>
                <w:b/>
                <w:sz w:val="20"/>
                <w:szCs w:val="20"/>
                <w:lang w:val="en-GB"/>
              </w:rPr>
            </w:pPr>
          </w:p>
        </w:tc>
        <w:tc>
          <w:tcPr>
            <w:tcW w:w="2901" w:type="pct"/>
          </w:tcPr>
          <w:p w14:paraId="08D4E0C0" w14:textId="680C88FC" w:rsidR="005228C0" w:rsidRPr="00610088" w:rsidRDefault="005228C0" w:rsidP="00A865AF">
            <w:pPr>
              <w:autoSpaceDE w:val="0"/>
              <w:autoSpaceDN w:val="0"/>
              <w:adjustRightInd w:val="0"/>
              <w:rPr>
                <w:bCs/>
                <w:sz w:val="20"/>
                <w:szCs w:val="20"/>
                <w:lang w:val="en-GB"/>
              </w:rPr>
            </w:pPr>
            <w:r w:rsidRPr="00610088">
              <w:rPr>
                <w:bCs/>
                <w:sz w:val="20"/>
                <w:szCs w:val="20"/>
                <w:lang w:val="en-GB"/>
              </w:rPr>
              <w:t xml:space="preserve">Advocate for /support Drug therapy (including </w:t>
            </w:r>
            <w:r w:rsidR="00A8191E" w:rsidRPr="00610088">
              <w:rPr>
                <w:bCs/>
                <w:sz w:val="20"/>
                <w:szCs w:val="20"/>
                <w:lang w:val="en-GB"/>
              </w:rPr>
              <w:t>glycaemic</w:t>
            </w:r>
            <w:r w:rsidRPr="00610088">
              <w:rPr>
                <w:bCs/>
                <w:sz w:val="20"/>
                <w:szCs w:val="20"/>
                <w:lang w:val="en-GB"/>
              </w:rPr>
              <w:t xml:space="preserve"> control for diabetes mellitus and control of hypertension using a total risk approach) and counselling to individuals who have had a heart attack or stroke and to persons with high risk (≥ 30%) of a fatal and non-fatal cardiovascular event in the next 10 years</w:t>
            </w:r>
          </w:p>
        </w:tc>
        <w:tc>
          <w:tcPr>
            <w:tcW w:w="463" w:type="pct"/>
          </w:tcPr>
          <w:p w14:paraId="69BECBBD" w14:textId="77777777" w:rsidR="005228C0" w:rsidRPr="00610088" w:rsidRDefault="005228C0" w:rsidP="00A865AF">
            <w:pPr>
              <w:rPr>
                <w:b/>
                <w:sz w:val="20"/>
                <w:szCs w:val="20"/>
                <w:lang w:val="en-GB"/>
              </w:rPr>
            </w:pPr>
          </w:p>
        </w:tc>
        <w:tc>
          <w:tcPr>
            <w:tcW w:w="457" w:type="pct"/>
          </w:tcPr>
          <w:p w14:paraId="579AEF05" w14:textId="0B3BD86F" w:rsidR="005228C0" w:rsidRPr="00610088" w:rsidRDefault="005228C0" w:rsidP="00A865AF">
            <w:pPr>
              <w:rPr>
                <w:bCs/>
                <w:sz w:val="20"/>
                <w:szCs w:val="20"/>
                <w:lang w:val="en-GB"/>
              </w:rPr>
            </w:pPr>
            <w:r w:rsidRPr="00610088">
              <w:rPr>
                <w:bCs/>
                <w:sz w:val="20"/>
                <w:szCs w:val="20"/>
                <w:lang w:val="en-GB"/>
              </w:rPr>
              <w:t>x</w:t>
            </w:r>
          </w:p>
        </w:tc>
        <w:tc>
          <w:tcPr>
            <w:tcW w:w="418" w:type="pct"/>
          </w:tcPr>
          <w:p w14:paraId="6DD07917" w14:textId="6D71ECA0" w:rsidR="005228C0" w:rsidRPr="00610088" w:rsidRDefault="00F34A24" w:rsidP="00A865AF">
            <w:pPr>
              <w:rPr>
                <w:bCs/>
                <w:sz w:val="20"/>
                <w:szCs w:val="20"/>
                <w:lang w:val="en-GB"/>
              </w:rPr>
            </w:pPr>
            <w:r w:rsidRPr="00610088">
              <w:rPr>
                <w:bCs/>
                <w:sz w:val="20"/>
                <w:szCs w:val="20"/>
                <w:lang w:val="en-GB"/>
              </w:rPr>
              <w:t>x</w:t>
            </w:r>
          </w:p>
        </w:tc>
      </w:tr>
      <w:tr w:rsidR="005228C0" w:rsidRPr="00610088" w14:paraId="14D3AE03" w14:textId="77777777" w:rsidTr="00A8191E">
        <w:trPr>
          <w:tblHeader/>
        </w:trPr>
        <w:tc>
          <w:tcPr>
            <w:tcW w:w="761" w:type="pct"/>
            <w:vMerge/>
          </w:tcPr>
          <w:p w14:paraId="0AF7916E" w14:textId="77777777" w:rsidR="005228C0" w:rsidRPr="00610088" w:rsidRDefault="005228C0" w:rsidP="00EC256F">
            <w:pPr>
              <w:rPr>
                <w:b/>
                <w:sz w:val="20"/>
                <w:szCs w:val="20"/>
                <w:lang w:val="en-GB"/>
              </w:rPr>
            </w:pPr>
          </w:p>
        </w:tc>
        <w:tc>
          <w:tcPr>
            <w:tcW w:w="2901" w:type="pct"/>
          </w:tcPr>
          <w:p w14:paraId="5D3ECDEA" w14:textId="2F77FC5E" w:rsidR="0058201E" w:rsidRPr="00610088" w:rsidRDefault="0058201E" w:rsidP="00EC256F">
            <w:pPr>
              <w:autoSpaceDE w:val="0"/>
              <w:autoSpaceDN w:val="0"/>
              <w:adjustRightInd w:val="0"/>
              <w:rPr>
                <w:bCs/>
                <w:sz w:val="20"/>
                <w:szCs w:val="20"/>
                <w:lang w:val="en-GB"/>
              </w:rPr>
            </w:pPr>
            <w:r w:rsidRPr="00610088">
              <w:rPr>
                <w:bCs/>
                <w:sz w:val="20"/>
                <w:szCs w:val="20"/>
                <w:lang w:val="en-GB"/>
              </w:rPr>
              <w:t>Support the roll out of vaccination against human papillomavirus (2 doses) of 9–14-year-old girls (together with DRCH)</w:t>
            </w:r>
          </w:p>
        </w:tc>
        <w:tc>
          <w:tcPr>
            <w:tcW w:w="463" w:type="pct"/>
          </w:tcPr>
          <w:p w14:paraId="4D6E7E25" w14:textId="30EE763E" w:rsidR="005228C0" w:rsidRPr="00610088" w:rsidRDefault="00A8191E" w:rsidP="00EC256F">
            <w:pPr>
              <w:rPr>
                <w:bCs/>
                <w:sz w:val="20"/>
                <w:szCs w:val="20"/>
                <w:lang w:val="en-GB"/>
              </w:rPr>
            </w:pPr>
            <w:r w:rsidRPr="00610088">
              <w:rPr>
                <w:bCs/>
                <w:sz w:val="20"/>
                <w:szCs w:val="20"/>
                <w:lang w:val="en-GB"/>
              </w:rPr>
              <w:t>x</w:t>
            </w:r>
          </w:p>
        </w:tc>
        <w:tc>
          <w:tcPr>
            <w:tcW w:w="457" w:type="pct"/>
          </w:tcPr>
          <w:p w14:paraId="22EA401D" w14:textId="3C77CB3C" w:rsidR="005228C0" w:rsidRPr="00610088" w:rsidRDefault="00A8191E" w:rsidP="00EC256F">
            <w:pPr>
              <w:rPr>
                <w:bCs/>
                <w:sz w:val="20"/>
                <w:szCs w:val="20"/>
                <w:lang w:val="en-GB"/>
              </w:rPr>
            </w:pPr>
            <w:r w:rsidRPr="00610088">
              <w:rPr>
                <w:bCs/>
                <w:sz w:val="20"/>
                <w:szCs w:val="20"/>
                <w:lang w:val="en-GB"/>
              </w:rPr>
              <w:t>x</w:t>
            </w:r>
          </w:p>
        </w:tc>
        <w:tc>
          <w:tcPr>
            <w:tcW w:w="418" w:type="pct"/>
          </w:tcPr>
          <w:p w14:paraId="0FAA56E1" w14:textId="64DF0090" w:rsidR="005228C0" w:rsidRPr="00610088" w:rsidRDefault="00F34A24" w:rsidP="00EC256F">
            <w:pPr>
              <w:rPr>
                <w:bCs/>
                <w:sz w:val="20"/>
                <w:szCs w:val="20"/>
                <w:lang w:val="en-GB"/>
              </w:rPr>
            </w:pPr>
            <w:r w:rsidRPr="00610088">
              <w:rPr>
                <w:bCs/>
                <w:sz w:val="20"/>
                <w:szCs w:val="20"/>
                <w:lang w:val="en-GB"/>
              </w:rPr>
              <w:t>x</w:t>
            </w:r>
          </w:p>
        </w:tc>
      </w:tr>
      <w:tr w:rsidR="005228C0" w:rsidRPr="00610088" w14:paraId="7D36ACE2" w14:textId="77777777" w:rsidTr="00A8191E">
        <w:trPr>
          <w:tblHeader/>
        </w:trPr>
        <w:tc>
          <w:tcPr>
            <w:tcW w:w="761" w:type="pct"/>
            <w:vMerge/>
          </w:tcPr>
          <w:p w14:paraId="17C76C61" w14:textId="77777777" w:rsidR="005228C0" w:rsidRPr="00610088" w:rsidRDefault="005228C0" w:rsidP="00EC256F">
            <w:pPr>
              <w:rPr>
                <w:b/>
                <w:sz w:val="20"/>
                <w:szCs w:val="20"/>
                <w:lang w:val="en-GB"/>
              </w:rPr>
            </w:pPr>
          </w:p>
        </w:tc>
        <w:tc>
          <w:tcPr>
            <w:tcW w:w="2901" w:type="pct"/>
          </w:tcPr>
          <w:p w14:paraId="79EB8EA6" w14:textId="2C7D8C72" w:rsidR="0058201E" w:rsidRPr="00610088" w:rsidRDefault="0058201E" w:rsidP="00EC256F">
            <w:pPr>
              <w:autoSpaceDE w:val="0"/>
              <w:autoSpaceDN w:val="0"/>
              <w:adjustRightInd w:val="0"/>
              <w:rPr>
                <w:bCs/>
                <w:sz w:val="20"/>
                <w:szCs w:val="20"/>
                <w:lang w:val="en-GB"/>
              </w:rPr>
            </w:pPr>
            <w:r w:rsidRPr="00610088">
              <w:rPr>
                <w:bCs/>
                <w:sz w:val="20"/>
                <w:szCs w:val="20"/>
                <w:lang w:val="en-GB"/>
              </w:rPr>
              <w:t>Support to establishment of cervical cancer screening</w:t>
            </w:r>
            <w:r w:rsidR="000933BB" w:rsidRPr="00610088">
              <w:rPr>
                <w:bCs/>
                <w:sz w:val="20"/>
                <w:szCs w:val="20"/>
                <w:lang w:val="en-GB"/>
              </w:rPr>
              <w:t xml:space="preserve"> of</w:t>
            </w:r>
            <w:r w:rsidRPr="00610088">
              <w:rPr>
                <w:bCs/>
                <w:sz w:val="20"/>
                <w:szCs w:val="20"/>
                <w:lang w:val="en-GB"/>
              </w:rPr>
              <w:t xml:space="preserve"> women aged 30–49 years (together with DRCH, Directorate of Hospitals)</w:t>
            </w:r>
          </w:p>
        </w:tc>
        <w:tc>
          <w:tcPr>
            <w:tcW w:w="463" w:type="pct"/>
          </w:tcPr>
          <w:p w14:paraId="5CCC6D37" w14:textId="5C338E84" w:rsidR="005228C0" w:rsidRPr="00610088" w:rsidRDefault="00A8191E" w:rsidP="00EC256F">
            <w:pPr>
              <w:rPr>
                <w:bCs/>
                <w:sz w:val="20"/>
                <w:szCs w:val="20"/>
                <w:lang w:val="en-GB"/>
              </w:rPr>
            </w:pPr>
            <w:r w:rsidRPr="00610088">
              <w:rPr>
                <w:bCs/>
                <w:sz w:val="20"/>
                <w:szCs w:val="20"/>
                <w:lang w:val="en-GB"/>
              </w:rPr>
              <w:t>x</w:t>
            </w:r>
          </w:p>
        </w:tc>
        <w:tc>
          <w:tcPr>
            <w:tcW w:w="457" w:type="pct"/>
          </w:tcPr>
          <w:p w14:paraId="2986BB03" w14:textId="3589A96B" w:rsidR="005228C0" w:rsidRPr="00610088" w:rsidRDefault="00A8191E" w:rsidP="00EC256F">
            <w:pPr>
              <w:rPr>
                <w:bCs/>
                <w:sz w:val="20"/>
                <w:szCs w:val="20"/>
                <w:lang w:val="en-GB"/>
              </w:rPr>
            </w:pPr>
            <w:r w:rsidRPr="00610088">
              <w:rPr>
                <w:bCs/>
                <w:sz w:val="20"/>
                <w:szCs w:val="20"/>
                <w:lang w:val="en-GB"/>
              </w:rPr>
              <w:t>x</w:t>
            </w:r>
          </w:p>
        </w:tc>
        <w:tc>
          <w:tcPr>
            <w:tcW w:w="418" w:type="pct"/>
          </w:tcPr>
          <w:p w14:paraId="30C12860" w14:textId="4CBC67AC" w:rsidR="005228C0" w:rsidRPr="00610088" w:rsidRDefault="00F34A24" w:rsidP="00EC256F">
            <w:pPr>
              <w:rPr>
                <w:bCs/>
                <w:sz w:val="20"/>
                <w:szCs w:val="20"/>
                <w:lang w:val="en-GB"/>
              </w:rPr>
            </w:pPr>
            <w:r w:rsidRPr="00610088">
              <w:rPr>
                <w:bCs/>
                <w:sz w:val="20"/>
                <w:szCs w:val="20"/>
                <w:lang w:val="en-GB"/>
              </w:rPr>
              <w:t>x</w:t>
            </w:r>
          </w:p>
        </w:tc>
      </w:tr>
      <w:tr w:rsidR="005228C0" w:rsidRPr="00610088" w14:paraId="79C29C46" w14:textId="77777777" w:rsidTr="00A8191E">
        <w:trPr>
          <w:tblHeader/>
        </w:trPr>
        <w:tc>
          <w:tcPr>
            <w:tcW w:w="761" w:type="pct"/>
            <w:vMerge/>
          </w:tcPr>
          <w:p w14:paraId="35935B47" w14:textId="77777777" w:rsidR="005228C0" w:rsidRPr="00610088" w:rsidRDefault="005228C0" w:rsidP="00EC256F">
            <w:pPr>
              <w:rPr>
                <w:b/>
                <w:sz w:val="20"/>
                <w:szCs w:val="20"/>
                <w:lang w:val="en-GB"/>
              </w:rPr>
            </w:pPr>
          </w:p>
        </w:tc>
        <w:tc>
          <w:tcPr>
            <w:tcW w:w="2901" w:type="pct"/>
          </w:tcPr>
          <w:p w14:paraId="2FF76AB2" w14:textId="713B8470" w:rsidR="000933BB" w:rsidRPr="00610088" w:rsidRDefault="000933BB" w:rsidP="00EC256F">
            <w:pPr>
              <w:autoSpaceDE w:val="0"/>
              <w:autoSpaceDN w:val="0"/>
              <w:adjustRightInd w:val="0"/>
              <w:rPr>
                <w:bCs/>
                <w:sz w:val="20"/>
                <w:szCs w:val="20"/>
                <w:lang w:val="en-GB"/>
              </w:rPr>
            </w:pPr>
            <w:r w:rsidRPr="00610088">
              <w:rPr>
                <w:bCs/>
                <w:sz w:val="20"/>
                <w:szCs w:val="20"/>
                <w:lang w:val="en-GB"/>
              </w:rPr>
              <w:t>Advocate for/Support to hepatitis B birth dose immunization</w:t>
            </w:r>
          </w:p>
        </w:tc>
        <w:tc>
          <w:tcPr>
            <w:tcW w:w="463" w:type="pct"/>
          </w:tcPr>
          <w:p w14:paraId="41C501E9" w14:textId="6D1C0128" w:rsidR="005228C0" w:rsidRPr="00610088" w:rsidRDefault="00A8191E" w:rsidP="00EC256F">
            <w:pPr>
              <w:rPr>
                <w:bCs/>
                <w:sz w:val="20"/>
                <w:szCs w:val="20"/>
                <w:lang w:val="en-GB"/>
              </w:rPr>
            </w:pPr>
            <w:r w:rsidRPr="00610088">
              <w:rPr>
                <w:bCs/>
                <w:sz w:val="20"/>
                <w:szCs w:val="20"/>
                <w:lang w:val="en-GB"/>
              </w:rPr>
              <w:t>x</w:t>
            </w:r>
          </w:p>
        </w:tc>
        <w:tc>
          <w:tcPr>
            <w:tcW w:w="457" w:type="pct"/>
          </w:tcPr>
          <w:p w14:paraId="3DE719EB" w14:textId="59A82B2D" w:rsidR="005228C0" w:rsidRPr="00610088" w:rsidRDefault="00A8191E" w:rsidP="00EC256F">
            <w:pPr>
              <w:rPr>
                <w:bCs/>
                <w:sz w:val="20"/>
                <w:szCs w:val="20"/>
                <w:lang w:val="en-GB"/>
              </w:rPr>
            </w:pPr>
            <w:r w:rsidRPr="00610088">
              <w:rPr>
                <w:bCs/>
                <w:sz w:val="20"/>
                <w:szCs w:val="20"/>
                <w:lang w:val="en-GB"/>
              </w:rPr>
              <w:t>x</w:t>
            </w:r>
          </w:p>
        </w:tc>
        <w:tc>
          <w:tcPr>
            <w:tcW w:w="418" w:type="pct"/>
          </w:tcPr>
          <w:p w14:paraId="65DA10C7" w14:textId="0F27EABC" w:rsidR="005228C0" w:rsidRPr="00610088" w:rsidRDefault="00F34A24" w:rsidP="00EC256F">
            <w:pPr>
              <w:rPr>
                <w:bCs/>
                <w:sz w:val="20"/>
                <w:szCs w:val="20"/>
                <w:lang w:val="en-GB"/>
              </w:rPr>
            </w:pPr>
            <w:r w:rsidRPr="00610088">
              <w:rPr>
                <w:bCs/>
                <w:sz w:val="20"/>
                <w:szCs w:val="20"/>
                <w:lang w:val="en-GB"/>
              </w:rPr>
              <w:t>x</w:t>
            </w:r>
          </w:p>
        </w:tc>
      </w:tr>
      <w:tr w:rsidR="002617DB" w:rsidRPr="00610088" w14:paraId="161755DF" w14:textId="77777777" w:rsidTr="00A8191E">
        <w:trPr>
          <w:tblHeader/>
        </w:trPr>
        <w:tc>
          <w:tcPr>
            <w:tcW w:w="761" w:type="pct"/>
            <w:vMerge/>
          </w:tcPr>
          <w:p w14:paraId="6AA500A1" w14:textId="77777777" w:rsidR="002617DB" w:rsidRPr="00610088" w:rsidRDefault="002617DB" w:rsidP="00EC256F">
            <w:pPr>
              <w:rPr>
                <w:b/>
                <w:sz w:val="20"/>
                <w:szCs w:val="20"/>
                <w:lang w:val="en-GB"/>
              </w:rPr>
            </w:pPr>
          </w:p>
        </w:tc>
        <w:tc>
          <w:tcPr>
            <w:tcW w:w="2901" w:type="pct"/>
          </w:tcPr>
          <w:p w14:paraId="57161094" w14:textId="147BFE8D" w:rsidR="002617DB" w:rsidRPr="00610088" w:rsidRDefault="002617DB" w:rsidP="00EC256F">
            <w:pPr>
              <w:autoSpaceDE w:val="0"/>
              <w:autoSpaceDN w:val="0"/>
              <w:adjustRightInd w:val="0"/>
              <w:rPr>
                <w:bCs/>
                <w:color w:val="000000" w:themeColor="text1"/>
                <w:sz w:val="20"/>
                <w:szCs w:val="20"/>
                <w:lang w:val="en-GB"/>
              </w:rPr>
            </w:pPr>
            <w:r w:rsidRPr="00610088">
              <w:rPr>
                <w:bCs/>
                <w:color w:val="000000" w:themeColor="text1"/>
                <w:sz w:val="20"/>
                <w:szCs w:val="20"/>
                <w:lang w:val="en-GB"/>
              </w:rPr>
              <w:t>Establish s</w:t>
            </w:r>
            <w:r w:rsidR="0005389B" w:rsidRPr="00610088">
              <w:rPr>
                <w:bCs/>
                <w:color w:val="000000" w:themeColor="text1"/>
                <w:sz w:val="20"/>
                <w:szCs w:val="20"/>
                <w:lang w:val="en-GB"/>
              </w:rPr>
              <w:t>pecialised stroke care</w:t>
            </w:r>
            <w:r w:rsidRPr="00610088">
              <w:rPr>
                <w:bCs/>
                <w:color w:val="000000" w:themeColor="text1"/>
                <w:sz w:val="20"/>
                <w:szCs w:val="20"/>
                <w:lang w:val="en-GB"/>
              </w:rPr>
              <w:t xml:space="preserve"> at </w:t>
            </w:r>
            <w:r w:rsidR="004D2F40" w:rsidRPr="00610088">
              <w:rPr>
                <w:bCs/>
                <w:color w:val="000000" w:themeColor="text1"/>
                <w:sz w:val="20"/>
                <w:szCs w:val="20"/>
                <w:lang w:val="en-GB"/>
              </w:rPr>
              <w:t>hospital level</w:t>
            </w:r>
            <w:r w:rsidR="00B645C7" w:rsidRPr="00610088">
              <w:rPr>
                <w:bCs/>
                <w:color w:val="000000" w:themeColor="text1"/>
                <w:sz w:val="20"/>
                <w:szCs w:val="20"/>
                <w:lang w:val="en-GB"/>
              </w:rPr>
              <w:t xml:space="preserve"> (1x/district)</w:t>
            </w:r>
            <w:r w:rsidR="004D2F40" w:rsidRPr="00610088">
              <w:rPr>
                <w:bCs/>
                <w:color w:val="000000" w:themeColor="text1"/>
                <w:sz w:val="20"/>
                <w:szCs w:val="20"/>
                <w:lang w:val="en-GB"/>
              </w:rPr>
              <w:t xml:space="preserve">, starting with </w:t>
            </w:r>
            <w:r w:rsidRPr="00610088">
              <w:rPr>
                <w:bCs/>
                <w:color w:val="000000" w:themeColor="text1"/>
                <w:sz w:val="20"/>
                <w:szCs w:val="20"/>
                <w:lang w:val="en-GB"/>
              </w:rPr>
              <w:t>Connaught Hospital</w:t>
            </w:r>
          </w:p>
        </w:tc>
        <w:tc>
          <w:tcPr>
            <w:tcW w:w="463" w:type="pct"/>
          </w:tcPr>
          <w:p w14:paraId="0486F3C8" w14:textId="5A232B13" w:rsidR="002617DB" w:rsidRPr="00610088" w:rsidRDefault="002617DB" w:rsidP="00EC256F">
            <w:pPr>
              <w:rPr>
                <w:bCs/>
                <w:sz w:val="20"/>
                <w:szCs w:val="20"/>
                <w:lang w:val="en-GB"/>
              </w:rPr>
            </w:pPr>
            <w:r w:rsidRPr="00610088">
              <w:rPr>
                <w:bCs/>
                <w:sz w:val="20"/>
                <w:szCs w:val="20"/>
                <w:lang w:val="en-GB"/>
              </w:rPr>
              <w:t>x</w:t>
            </w:r>
          </w:p>
        </w:tc>
        <w:tc>
          <w:tcPr>
            <w:tcW w:w="457" w:type="pct"/>
          </w:tcPr>
          <w:p w14:paraId="4842F65B" w14:textId="12384D40" w:rsidR="002617DB" w:rsidRPr="00610088" w:rsidRDefault="002617DB" w:rsidP="00EC256F">
            <w:pPr>
              <w:rPr>
                <w:bCs/>
                <w:sz w:val="20"/>
                <w:szCs w:val="20"/>
                <w:lang w:val="en-GB"/>
              </w:rPr>
            </w:pPr>
            <w:r w:rsidRPr="00610088">
              <w:rPr>
                <w:bCs/>
                <w:sz w:val="20"/>
                <w:szCs w:val="20"/>
                <w:lang w:val="en-GB"/>
              </w:rPr>
              <w:t>x</w:t>
            </w:r>
          </w:p>
        </w:tc>
        <w:tc>
          <w:tcPr>
            <w:tcW w:w="418" w:type="pct"/>
          </w:tcPr>
          <w:p w14:paraId="4BF1CB76" w14:textId="14F83F75" w:rsidR="002617DB" w:rsidRPr="00610088" w:rsidRDefault="002617DB" w:rsidP="00EC256F">
            <w:pPr>
              <w:rPr>
                <w:bCs/>
                <w:sz w:val="20"/>
                <w:szCs w:val="20"/>
                <w:lang w:val="en-GB"/>
              </w:rPr>
            </w:pPr>
            <w:r w:rsidRPr="00610088">
              <w:rPr>
                <w:bCs/>
                <w:sz w:val="20"/>
                <w:szCs w:val="20"/>
                <w:lang w:val="en-GB"/>
              </w:rPr>
              <w:t>x</w:t>
            </w:r>
          </w:p>
        </w:tc>
      </w:tr>
      <w:tr w:rsidR="00F34A24" w:rsidRPr="00610088" w14:paraId="066A8C7B" w14:textId="77777777" w:rsidTr="00A8191E">
        <w:trPr>
          <w:tblHeader/>
        </w:trPr>
        <w:tc>
          <w:tcPr>
            <w:tcW w:w="761" w:type="pct"/>
            <w:vMerge/>
          </w:tcPr>
          <w:p w14:paraId="439CEAF4" w14:textId="77777777" w:rsidR="00F34A24" w:rsidRPr="00610088" w:rsidRDefault="00F34A24" w:rsidP="00F34A24">
            <w:pPr>
              <w:rPr>
                <w:b/>
                <w:sz w:val="20"/>
                <w:szCs w:val="20"/>
                <w:lang w:val="en-GB"/>
              </w:rPr>
            </w:pPr>
          </w:p>
        </w:tc>
        <w:tc>
          <w:tcPr>
            <w:tcW w:w="2901" w:type="pct"/>
          </w:tcPr>
          <w:p w14:paraId="75EE64D6" w14:textId="75146B81" w:rsidR="00F34A24" w:rsidRPr="00610088" w:rsidRDefault="00F34A24" w:rsidP="00F34A24">
            <w:pPr>
              <w:autoSpaceDE w:val="0"/>
              <w:autoSpaceDN w:val="0"/>
              <w:adjustRightInd w:val="0"/>
              <w:rPr>
                <w:b/>
                <w:color w:val="000000" w:themeColor="text1"/>
                <w:sz w:val="20"/>
                <w:szCs w:val="20"/>
                <w:lang w:val="en-GB"/>
              </w:rPr>
            </w:pPr>
            <w:r w:rsidRPr="00610088">
              <w:rPr>
                <w:bCs/>
                <w:color w:val="000000" w:themeColor="text1"/>
                <w:sz w:val="20"/>
                <w:szCs w:val="20"/>
                <w:lang w:val="en-GB"/>
              </w:rPr>
              <w:t xml:space="preserve">Establishment of physical rehabilitation </w:t>
            </w:r>
            <w:r w:rsidR="00F94101" w:rsidRPr="00610088">
              <w:rPr>
                <w:bCs/>
                <w:color w:val="000000" w:themeColor="text1"/>
                <w:sz w:val="20"/>
                <w:szCs w:val="20"/>
                <w:lang w:val="en-GB"/>
              </w:rPr>
              <w:t>centre</w:t>
            </w:r>
            <w:r w:rsidRPr="00610088">
              <w:rPr>
                <w:bCs/>
                <w:color w:val="000000" w:themeColor="text1"/>
                <w:sz w:val="20"/>
                <w:szCs w:val="20"/>
                <w:lang w:val="en-GB"/>
              </w:rPr>
              <w:t xml:space="preserve"> units in all district hospitals, also catering for stroke rehabilitation</w:t>
            </w:r>
          </w:p>
        </w:tc>
        <w:tc>
          <w:tcPr>
            <w:tcW w:w="463" w:type="pct"/>
          </w:tcPr>
          <w:p w14:paraId="559F498C" w14:textId="77777777" w:rsidR="00F34A24" w:rsidRPr="00610088" w:rsidRDefault="00F34A24" w:rsidP="00F34A24">
            <w:pPr>
              <w:rPr>
                <w:bCs/>
                <w:sz w:val="20"/>
                <w:szCs w:val="20"/>
                <w:lang w:val="en-GB"/>
              </w:rPr>
            </w:pPr>
          </w:p>
        </w:tc>
        <w:tc>
          <w:tcPr>
            <w:tcW w:w="457" w:type="pct"/>
          </w:tcPr>
          <w:p w14:paraId="5AD55799" w14:textId="395BA0A5" w:rsidR="00F34A24" w:rsidRPr="00610088" w:rsidRDefault="00F34A24" w:rsidP="00F34A24">
            <w:pPr>
              <w:rPr>
                <w:bCs/>
                <w:sz w:val="20"/>
                <w:szCs w:val="20"/>
                <w:lang w:val="en-GB"/>
              </w:rPr>
            </w:pPr>
            <w:r w:rsidRPr="00610088">
              <w:rPr>
                <w:bCs/>
                <w:sz w:val="20"/>
                <w:szCs w:val="20"/>
                <w:lang w:val="en-GB"/>
              </w:rPr>
              <w:t>x</w:t>
            </w:r>
          </w:p>
        </w:tc>
        <w:tc>
          <w:tcPr>
            <w:tcW w:w="418" w:type="pct"/>
          </w:tcPr>
          <w:p w14:paraId="458E7D52" w14:textId="7782BD89" w:rsidR="00F34A24" w:rsidRPr="00610088" w:rsidRDefault="00F34A24" w:rsidP="00F34A24">
            <w:pPr>
              <w:rPr>
                <w:bCs/>
                <w:sz w:val="20"/>
                <w:szCs w:val="20"/>
                <w:lang w:val="en-GB"/>
              </w:rPr>
            </w:pPr>
            <w:r w:rsidRPr="00610088">
              <w:rPr>
                <w:bCs/>
                <w:sz w:val="20"/>
                <w:szCs w:val="20"/>
                <w:lang w:val="en-GB"/>
              </w:rPr>
              <w:t>x</w:t>
            </w:r>
          </w:p>
        </w:tc>
      </w:tr>
      <w:tr w:rsidR="005228C0" w:rsidRPr="00610088" w14:paraId="0BB719B6" w14:textId="77777777" w:rsidTr="00A8191E">
        <w:trPr>
          <w:tblHeader/>
        </w:trPr>
        <w:tc>
          <w:tcPr>
            <w:tcW w:w="761" w:type="pct"/>
            <w:vMerge/>
          </w:tcPr>
          <w:p w14:paraId="67CBE65D" w14:textId="77777777" w:rsidR="005228C0" w:rsidRPr="00610088" w:rsidRDefault="005228C0" w:rsidP="00EC256F">
            <w:pPr>
              <w:rPr>
                <w:b/>
                <w:sz w:val="20"/>
                <w:szCs w:val="20"/>
                <w:lang w:val="en-GB"/>
              </w:rPr>
            </w:pPr>
          </w:p>
        </w:tc>
        <w:tc>
          <w:tcPr>
            <w:tcW w:w="2901" w:type="pct"/>
          </w:tcPr>
          <w:p w14:paraId="487FE505" w14:textId="77777777" w:rsidR="005228C0" w:rsidRPr="00610088" w:rsidRDefault="00F34A24" w:rsidP="00EC256F">
            <w:pPr>
              <w:autoSpaceDE w:val="0"/>
              <w:autoSpaceDN w:val="0"/>
              <w:adjustRightInd w:val="0"/>
              <w:rPr>
                <w:bCs/>
                <w:sz w:val="20"/>
                <w:szCs w:val="20"/>
                <w:lang w:val="en-GB"/>
              </w:rPr>
            </w:pPr>
            <w:r w:rsidRPr="00610088">
              <w:rPr>
                <w:bCs/>
                <w:sz w:val="20"/>
                <w:szCs w:val="20"/>
                <w:lang w:val="en-GB"/>
              </w:rPr>
              <w:t>Strengthen/establish palliative care:</w:t>
            </w:r>
          </w:p>
          <w:p w14:paraId="3BBE8AC8" w14:textId="77777777" w:rsidR="00F34A24" w:rsidRPr="00610088" w:rsidRDefault="00F34A24" w:rsidP="00F34A24">
            <w:pPr>
              <w:pStyle w:val="ListParagraph"/>
              <w:numPr>
                <w:ilvl w:val="0"/>
                <w:numId w:val="4"/>
              </w:numPr>
              <w:autoSpaceDE w:val="0"/>
              <w:autoSpaceDN w:val="0"/>
              <w:adjustRightInd w:val="0"/>
              <w:rPr>
                <w:bCs/>
                <w:sz w:val="20"/>
                <w:szCs w:val="20"/>
                <w:lang w:val="en-GB"/>
              </w:rPr>
            </w:pPr>
            <w:r w:rsidRPr="00610088">
              <w:rPr>
                <w:bCs/>
                <w:sz w:val="20"/>
                <w:szCs w:val="20"/>
                <w:lang w:val="en-GB"/>
              </w:rPr>
              <w:t>Training of health care professionals in palliative care</w:t>
            </w:r>
          </w:p>
          <w:p w14:paraId="6F9A90D5" w14:textId="7F2762A2" w:rsidR="00F34A24" w:rsidRPr="00610088" w:rsidRDefault="00F34A24" w:rsidP="00F34A24">
            <w:pPr>
              <w:pStyle w:val="ListParagraph"/>
              <w:numPr>
                <w:ilvl w:val="0"/>
                <w:numId w:val="4"/>
              </w:numPr>
              <w:autoSpaceDE w:val="0"/>
              <w:autoSpaceDN w:val="0"/>
              <w:adjustRightInd w:val="0"/>
              <w:rPr>
                <w:bCs/>
                <w:sz w:val="20"/>
                <w:szCs w:val="20"/>
                <w:lang w:val="en-GB"/>
              </w:rPr>
            </w:pPr>
            <w:r w:rsidRPr="00610088">
              <w:rPr>
                <w:bCs/>
                <w:sz w:val="20"/>
                <w:szCs w:val="20"/>
                <w:lang w:val="en-GB"/>
              </w:rPr>
              <w:t>Development of palliative care teams in district hospitals (next to the one in Connaught hospital)</w:t>
            </w:r>
          </w:p>
          <w:p w14:paraId="2F269EE1" w14:textId="24FFEFF7" w:rsidR="00F34A24" w:rsidRPr="00610088" w:rsidRDefault="00F34A24" w:rsidP="00F34A24">
            <w:pPr>
              <w:pStyle w:val="ListParagraph"/>
              <w:numPr>
                <w:ilvl w:val="0"/>
                <w:numId w:val="4"/>
              </w:numPr>
              <w:autoSpaceDE w:val="0"/>
              <w:autoSpaceDN w:val="0"/>
              <w:adjustRightInd w:val="0"/>
              <w:rPr>
                <w:bCs/>
                <w:sz w:val="20"/>
                <w:szCs w:val="20"/>
                <w:lang w:val="en-GB"/>
              </w:rPr>
            </w:pPr>
            <w:r w:rsidRPr="00610088">
              <w:rPr>
                <w:bCs/>
                <w:sz w:val="20"/>
                <w:szCs w:val="20"/>
                <w:lang w:val="en-GB"/>
              </w:rPr>
              <w:t xml:space="preserve">Ongoing support and networking of palliative care teams </w:t>
            </w:r>
            <w:r w:rsidRPr="00610088">
              <w:rPr>
                <w:bCs/>
                <w:color w:val="000000" w:themeColor="text1"/>
                <w:sz w:val="20"/>
                <w:szCs w:val="20"/>
                <w:lang w:val="en-GB"/>
              </w:rPr>
              <w:t>to encourage a high standard of palliative care, patient follow up and further learning, via visits and update meetings, with reestablishment of a Sierra Leone Palliative Care Association.</w:t>
            </w:r>
          </w:p>
          <w:p w14:paraId="109E1B29" w14:textId="357DE332" w:rsidR="00F34A24" w:rsidRPr="00610088" w:rsidRDefault="00F34A24" w:rsidP="00F34A24">
            <w:pPr>
              <w:pStyle w:val="ListParagraph"/>
              <w:numPr>
                <w:ilvl w:val="0"/>
                <w:numId w:val="4"/>
              </w:numPr>
              <w:autoSpaceDE w:val="0"/>
              <w:autoSpaceDN w:val="0"/>
              <w:adjustRightInd w:val="0"/>
              <w:rPr>
                <w:bCs/>
                <w:sz w:val="20"/>
                <w:szCs w:val="20"/>
                <w:lang w:val="en-GB"/>
              </w:rPr>
            </w:pPr>
            <w:r w:rsidRPr="00610088">
              <w:rPr>
                <w:bCs/>
                <w:sz w:val="20"/>
                <w:szCs w:val="20"/>
                <w:lang w:val="en-GB"/>
              </w:rPr>
              <w:t xml:space="preserve">Advocacy for </w:t>
            </w:r>
            <w:r w:rsidRPr="00610088">
              <w:rPr>
                <w:bCs/>
                <w:color w:val="000000" w:themeColor="text1"/>
                <w:sz w:val="20"/>
                <w:szCs w:val="20"/>
                <w:lang w:val="en-GB"/>
              </w:rPr>
              <w:t>availability of immediate release oral morphine in the public sector</w:t>
            </w:r>
            <w:r w:rsidRPr="00610088">
              <w:rPr>
                <w:bCs/>
                <w:sz w:val="20"/>
                <w:szCs w:val="20"/>
                <w:lang w:val="en-GB"/>
              </w:rPr>
              <w:t xml:space="preserve"> </w:t>
            </w:r>
          </w:p>
        </w:tc>
        <w:tc>
          <w:tcPr>
            <w:tcW w:w="463" w:type="pct"/>
          </w:tcPr>
          <w:p w14:paraId="1C84B3A9" w14:textId="687FD121" w:rsidR="005228C0" w:rsidRPr="00610088" w:rsidRDefault="00F34A24" w:rsidP="00EC256F">
            <w:pPr>
              <w:rPr>
                <w:bCs/>
                <w:sz w:val="20"/>
                <w:szCs w:val="20"/>
                <w:lang w:val="en-GB"/>
              </w:rPr>
            </w:pPr>
            <w:r w:rsidRPr="00610088">
              <w:rPr>
                <w:bCs/>
                <w:sz w:val="20"/>
                <w:szCs w:val="20"/>
                <w:lang w:val="en-GB"/>
              </w:rPr>
              <w:t>x</w:t>
            </w:r>
          </w:p>
        </w:tc>
        <w:tc>
          <w:tcPr>
            <w:tcW w:w="457" w:type="pct"/>
          </w:tcPr>
          <w:p w14:paraId="29ED23FA" w14:textId="0A86D0F5" w:rsidR="005228C0" w:rsidRPr="00610088" w:rsidRDefault="00F34A24" w:rsidP="00EC256F">
            <w:pPr>
              <w:rPr>
                <w:bCs/>
                <w:sz w:val="20"/>
                <w:szCs w:val="20"/>
                <w:lang w:val="en-GB"/>
              </w:rPr>
            </w:pPr>
            <w:r w:rsidRPr="00610088">
              <w:rPr>
                <w:bCs/>
                <w:sz w:val="20"/>
                <w:szCs w:val="20"/>
                <w:lang w:val="en-GB"/>
              </w:rPr>
              <w:t>x</w:t>
            </w:r>
          </w:p>
        </w:tc>
        <w:tc>
          <w:tcPr>
            <w:tcW w:w="418" w:type="pct"/>
          </w:tcPr>
          <w:p w14:paraId="0989EF89" w14:textId="710B050B" w:rsidR="005228C0" w:rsidRPr="00610088" w:rsidRDefault="00F34A24" w:rsidP="00EC256F">
            <w:pPr>
              <w:rPr>
                <w:bCs/>
                <w:sz w:val="20"/>
                <w:szCs w:val="20"/>
                <w:lang w:val="en-GB"/>
              </w:rPr>
            </w:pPr>
            <w:r w:rsidRPr="00610088">
              <w:rPr>
                <w:bCs/>
                <w:sz w:val="20"/>
                <w:szCs w:val="20"/>
                <w:lang w:val="en-GB"/>
              </w:rPr>
              <w:t>x</w:t>
            </w:r>
          </w:p>
        </w:tc>
      </w:tr>
      <w:tr w:rsidR="00EC256F" w:rsidRPr="00610088" w14:paraId="5E06D12D" w14:textId="77777777" w:rsidTr="00A8191E">
        <w:trPr>
          <w:trHeight w:val="506"/>
          <w:tblHeader/>
        </w:trPr>
        <w:tc>
          <w:tcPr>
            <w:tcW w:w="761" w:type="pct"/>
            <w:vMerge w:val="restart"/>
          </w:tcPr>
          <w:p w14:paraId="6CEAEE4F" w14:textId="77777777" w:rsidR="00EC256F" w:rsidRPr="00610088" w:rsidRDefault="00EC256F" w:rsidP="00EC256F">
            <w:pPr>
              <w:rPr>
                <w:b/>
                <w:sz w:val="20"/>
                <w:szCs w:val="20"/>
                <w:lang w:val="en-GB"/>
              </w:rPr>
            </w:pPr>
            <w:r w:rsidRPr="00610088">
              <w:rPr>
                <w:bCs/>
                <w:sz w:val="20"/>
                <w:szCs w:val="20"/>
                <w:lang w:val="en-GB"/>
              </w:rPr>
              <w:t>Establish and strengthen NCD community /family services and care</w:t>
            </w:r>
          </w:p>
        </w:tc>
        <w:tc>
          <w:tcPr>
            <w:tcW w:w="2901" w:type="pct"/>
          </w:tcPr>
          <w:p w14:paraId="675348A1" w14:textId="32019B47" w:rsidR="00EC256F" w:rsidRPr="00610088" w:rsidRDefault="00EC256F" w:rsidP="00EC256F">
            <w:pPr>
              <w:rPr>
                <w:bCs/>
                <w:sz w:val="20"/>
                <w:szCs w:val="20"/>
                <w:lang w:val="en-GB"/>
              </w:rPr>
            </w:pPr>
            <w:r w:rsidRPr="00610088">
              <w:rPr>
                <w:bCs/>
                <w:sz w:val="20"/>
                <w:szCs w:val="20"/>
                <w:lang w:val="en-GB"/>
              </w:rPr>
              <w:t>Scaling up community level management and care, including community level NCD screening and rehabilitation</w:t>
            </w:r>
          </w:p>
        </w:tc>
        <w:tc>
          <w:tcPr>
            <w:tcW w:w="463" w:type="pct"/>
          </w:tcPr>
          <w:p w14:paraId="01163F54" w14:textId="1D4F59FC" w:rsidR="00EC256F" w:rsidRPr="00610088" w:rsidRDefault="00A8191E" w:rsidP="00EC256F">
            <w:pPr>
              <w:rPr>
                <w:bCs/>
                <w:sz w:val="20"/>
                <w:szCs w:val="20"/>
                <w:lang w:val="en-GB"/>
              </w:rPr>
            </w:pPr>
            <w:r w:rsidRPr="00610088">
              <w:rPr>
                <w:bCs/>
                <w:sz w:val="20"/>
                <w:szCs w:val="20"/>
                <w:lang w:val="en-GB"/>
              </w:rPr>
              <w:t>x</w:t>
            </w:r>
          </w:p>
        </w:tc>
        <w:tc>
          <w:tcPr>
            <w:tcW w:w="457" w:type="pct"/>
          </w:tcPr>
          <w:p w14:paraId="4D883023" w14:textId="79902E07" w:rsidR="00EC256F" w:rsidRPr="00610088" w:rsidRDefault="00A8191E" w:rsidP="00EC256F">
            <w:pPr>
              <w:rPr>
                <w:bCs/>
                <w:sz w:val="20"/>
                <w:szCs w:val="20"/>
                <w:lang w:val="en-GB"/>
              </w:rPr>
            </w:pPr>
            <w:r w:rsidRPr="00610088">
              <w:rPr>
                <w:bCs/>
                <w:sz w:val="20"/>
                <w:szCs w:val="20"/>
                <w:lang w:val="en-GB"/>
              </w:rPr>
              <w:t>x</w:t>
            </w:r>
          </w:p>
        </w:tc>
        <w:tc>
          <w:tcPr>
            <w:tcW w:w="418" w:type="pct"/>
          </w:tcPr>
          <w:p w14:paraId="7CAB9883" w14:textId="3C1900FE" w:rsidR="00EC256F" w:rsidRPr="00610088" w:rsidRDefault="00A8191E" w:rsidP="00EC256F">
            <w:pPr>
              <w:rPr>
                <w:bCs/>
                <w:sz w:val="20"/>
                <w:szCs w:val="20"/>
                <w:lang w:val="en-GB"/>
              </w:rPr>
            </w:pPr>
            <w:r w:rsidRPr="00610088">
              <w:rPr>
                <w:bCs/>
                <w:sz w:val="20"/>
                <w:szCs w:val="20"/>
                <w:lang w:val="en-GB"/>
              </w:rPr>
              <w:t>x</w:t>
            </w:r>
          </w:p>
        </w:tc>
      </w:tr>
      <w:tr w:rsidR="005228C0" w:rsidRPr="00610088" w14:paraId="1A0FF855" w14:textId="77777777" w:rsidTr="00A8191E">
        <w:trPr>
          <w:trHeight w:val="231"/>
          <w:tblHeader/>
        </w:trPr>
        <w:tc>
          <w:tcPr>
            <w:tcW w:w="761" w:type="pct"/>
            <w:vMerge/>
          </w:tcPr>
          <w:p w14:paraId="6DC7925E" w14:textId="77777777" w:rsidR="005228C0" w:rsidRPr="00610088" w:rsidRDefault="005228C0" w:rsidP="00EC256F">
            <w:pPr>
              <w:rPr>
                <w:b/>
                <w:sz w:val="20"/>
                <w:szCs w:val="20"/>
                <w:lang w:val="en-GB"/>
              </w:rPr>
            </w:pPr>
          </w:p>
        </w:tc>
        <w:tc>
          <w:tcPr>
            <w:tcW w:w="2901" w:type="pct"/>
          </w:tcPr>
          <w:p w14:paraId="1C80A057" w14:textId="76C02D6E" w:rsidR="005228C0" w:rsidRPr="00610088" w:rsidRDefault="005228C0" w:rsidP="00EC256F">
            <w:pPr>
              <w:rPr>
                <w:bCs/>
                <w:sz w:val="20"/>
                <w:szCs w:val="20"/>
                <w:lang w:val="en-GB"/>
              </w:rPr>
            </w:pPr>
            <w:r w:rsidRPr="00610088">
              <w:rPr>
                <w:bCs/>
                <w:sz w:val="20"/>
                <w:szCs w:val="20"/>
                <w:lang w:val="en-GB"/>
              </w:rPr>
              <w:t>Promote family-based care for NCD patients</w:t>
            </w:r>
          </w:p>
        </w:tc>
        <w:tc>
          <w:tcPr>
            <w:tcW w:w="463" w:type="pct"/>
          </w:tcPr>
          <w:p w14:paraId="0D93F5F6" w14:textId="2F26D522" w:rsidR="005228C0" w:rsidRPr="00610088" w:rsidRDefault="00A8191E" w:rsidP="00EC256F">
            <w:pPr>
              <w:rPr>
                <w:bCs/>
                <w:sz w:val="20"/>
                <w:szCs w:val="20"/>
                <w:lang w:val="en-GB"/>
              </w:rPr>
            </w:pPr>
            <w:r w:rsidRPr="00610088">
              <w:rPr>
                <w:bCs/>
                <w:sz w:val="20"/>
                <w:szCs w:val="20"/>
                <w:lang w:val="en-GB"/>
              </w:rPr>
              <w:t>x</w:t>
            </w:r>
          </w:p>
        </w:tc>
        <w:tc>
          <w:tcPr>
            <w:tcW w:w="457" w:type="pct"/>
          </w:tcPr>
          <w:p w14:paraId="004F955E" w14:textId="32D0D82D" w:rsidR="005228C0" w:rsidRPr="00610088" w:rsidRDefault="00A8191E" w:rsidP="00EC256F">
            <w:pPr>
              <w:rPr>
                <w:bCs/>
                <w:sz w:val="20"/>
                <w:szCs w:val="20"/>
                <w:lang w:val="en-GB"/>
              </w:rPr>
            </w:pPr>
            <w:r w:rsidRPr="00610088">
              <w:rPr>
                <w:bCs/>
                <w:sz w:val="20"/>
                <w:szCs w:val="20"/>
                <w:lang w:val="en-GB"/>
              </w:rPr>
              <w:t>x</w:t>
            </w:r>
          </w:p>
        </w:tc>
        <w:tc>
          <w:tcPr>
            <w:tcW w:w="418" w:type="pct"/>
          </w:tcPr>
          <w:p w14:paraId="0821F711" w14:textId="1705D52E" w:rsidR="005228C0" w:rsidRPr="00610088" w:rsidRDefault="00A8191E" w:rsidP="00EC256F">
            <w:pPr>
              <w:rPr>
                <w:bCs/>
                <w:sz w:val="20"/>
                <w:szCs w:val="20"/>
                <w:lang w:val="en-GB"/>
              </w:rPr>
            </w:pPr>
            <w:r w:rsidRPr="00610088">
              <w:rPr>
                <w:bCs/>
                <w:sz w:val="20"/>
                <w:szCs w:val="20"/>
                <w:lang w:val="en-GB"/>
              </w:rPr>
              <w:t>x</w:t>
            </w:r>
          </w:p>
        </w:tc>
      </w:tr>
      <w:tr w:rsidR="005228C0" w:rsidRPr="00610088" w14:paraId="41AE2904" w14:textId="77777777" w:rsidTr="00A8191E">
        <w:trPr>
          <w:trHeight w:val="519"/>
          <w:tblHeader/>
        </w:trPr>
        <w:tc>
          <w:tcPr>
            <w:tcW w:w="761" w:type="pct"/>
            <w:vMerge/>
          </w:tcPr>
          <w:p w14:paraId="7B5DF916" w14:textId="77777777" w:rsidR="005228C0" w:rsidRPr="00610088" w:rsidRDefault="005228C0" w:rsidP="00EC256F">
            <w:pPr>
              <w:rPr>
                <w:b/>
                <w:color w:val="000000" w:themeColor="text1"/>
                <w:sz w:val="20"/>
                <w:szCs w:val="20"/>
                <w:lang w:val="en-GB"/>
              </w:rPr>
            </w:pPr>
          </w:p>
        </w:tc>
        <w:tc>
          <w:tcPr>
            <w:tcW w:w="2901" w:type="pct"/>
          </w:tcPr>
          <w:p w14:paraId="40161A06" w14:textId="0BF7BEC9" w:rsidR="005228C0" w:rsidRPr="00610088" w:rsidRDefault="005228C0" w:rsidP="00EC256F">
            <w:pPr>
              <w:autoSpaceDE w:val="0"/>
              <w:autoSpaceDN w:val="0"/>
              <w:adjustRightInd w:val="0"/>
              <w:rPr>
                <w:bCs/>
                <w:sz w:val="20"/>
                <w:szCs w:val="20"/>
                <w:lang w:val="en-GB"/>
              </w:rPr>
            </w:pPr>
            <w:r w:rsidRPr="00610088">
              <w:rPr>
                <w:sz w:val="20"/>
                <w:szCs w:val="20"/>
                <w:lang w:val="en-GB"/>
              </w:rPr>
              <w:t>Advocate for and support the involvement of CHWs in community level health promotion and mobilization for NCD clinic days and other NCD activities (</w:t>
            </w:r>
            <w:r w:rsidRPr="00610088">
              <w:rPr>
                <w:b/>
                <w:bCs/>
                <w:i/>
                <w:iCs/>
                <w:sz w:val="20"/>
                <w:szCs w:val="20"/>
                <w:lang w:val="en-GB"/>
              </w:rPr>
              <w:t>see also SO5)</w:t>
            </w:r>
          </w:p>
        </w:tc>
        <w:tc>
          <w:tcPr>
            <w:tcW w:w="463" w:type="pct"/>
          </w:tcPr>
          <w:p w14:paraId="2AF12A61" w14:textId="2AA8094C" w:rsidR="005228C0" w:rsidRPr="00610088" w:rsidRDefault="00A8191E" w:rsidP="00EC256F">
            <w:pPr>
              <w:rPr>
                <w:bCs/>
                <w:sz w:val="20"/>
                <w:szCs w:val="20"/>
                <w:lang w:val="en-GB"/>
              </w:rPr>
            </w:pPr>
            <w:r w:rsidRPr="00610088">
              <w:rPr>
                <w:bCs/>
                <w:sz w:val="20"/>
                <w:szCs w:val="20"/>
                <w:lang w:val="en-GB"/>
              </w:rPr>
              <w:t>x</w:t>
            </w:r>
          </w:p>
        </w:tc>
        <w:tc>
          <w:tcPr>
            <w:tcW w:w="457" w:type="pct"/>
          </w:tcPr>
          <w:p w14:paraId="00F388AF" w14:textId="4A6402F0" w:rsidR="005228C0" w:rsidRPr="00610088" w:rsidRDefault="00A8191E" w:rsidP="00EC256F">
            <w:pPr>
              <w:rPr>
                <w:bCs/>
                <w:sz w:val="20"/>
                <w:szCs w:val="20"/>
                <w:lang w:val="en-GB"/>
              </w:rPr>
            </w:pPr>
            <w:r w:rsidRPr="00610088">
              <w:rPr>
                <w:bCs/>
                <w:sz w:val="20"/>
                <w:szCs w:val="20"/>
                <w:lang w:val="en-GB"/>
              </w:rPr>
              <w:t>x</w:t>
            </w:r>
          </w:p>
        </w:tc>
        <w:tc>
          <w:tcPr>
            <w:tcW w:w="418" w:type="pct"/>
          </w:tcPr>
          <w:p w14:paraId="19CF52F4" w14:textId="791F8292" w:rsidR="005228C0" w:rsidRPr="00610088" w:rsidRDefault="00A8191E" w:rsidP="00EC256F">
            <w:pPr>
              <w:rPr>
                <w:bCs/>
                <w:sz w:val="20"/>
                <w:szCs w:val="20"/>
                <w:lang w:val="en-GB"/>
              </w:rPr>
            </w:pPr>
            <w:r w:rsidRPr="00610088">
              <w:rPr>
                <w:bCs/>
                <w:sz w:val="20"/>
                <w:szCs w:val="20"/>
                <w:lang w:val="en-GB"/>
              </w:rPr>
              <w:t>x</w:t>
            </w:r>
          </w:p>
        </w:tc>
      </w:tr>
      <w:tr w:rsidR="005228C0" w:rsidRPr="00610088" w14:paraId="1E156946" w14:textId="77777777" w:rsidTr="00A8191E">
        <w:trPr>
          <w:trHeight w:val="686"/>
          <w:tblHeader/>
        </w:trPr>
        <w:tc>
          <w:tcPr>
            <w:tcW w:w="761" w:type="pct"/>
            <w:vMerge w:val="restart"/>
          </w:tcPr>
          <w:p w14:paraId="76E88979" w14:textId="77777777" w:rsidR="005228C0" w:rsidRPr="00610088" w:rsidRDefault="005228C0" w:rsidP="00EC256F">
            <w:pPr>
              <w:rPr>
                <w:b/>
                <w:sz w:val="20"/>
                <w:szCs w:val="20"/>
                <w:lang w:val="en-GB"/>
              </w:rPr>
            </w:pPr>
            <w:r w:rsidRPr="00610088">
              <w:rPr>
                <w:bCs/>
                <w:sz w:val="20"/>
                <w:szCs w:val="20"/>
                <w:lang w:val="en-GB"/>
              </w:rPr>
              <w:t>Establish guidelines / protocols for NCD prevention, screening diagnosis, management and care</w:t>
            </w:r>
          </w:p>
        </w:tc>
        <w:tc>
          <w:tcPr>
            <w:tcW w:w="2901" w:type="pct"/>
          </w:tcPr>
          <w:p w14:paraId="2BE4F348" w14:textId="472DC8FE" w:rsidR="005228C0" w:rsidRPr="00610088" w:rsidRDefault="005228C0" w:rsidP="00EC256F">
            <w:pPr>
              <w:rPr>
                <w:bCs/>
                <w:sz w:val="20"/>
                <w:szCs w:val="20"/>
                <w:lang w:val="en-GB"/>
              </w:rPr>
            </w:pPr>
            <w:r w:rsidRPr="00610088">
              <w:rPr>
                <w:bCs/>
                <w:sz w:val="20"/>
                <w:szCs w:val="20"/>
                <w:lang w:val="en-GB"/>
              </w:rPr>
              <w:t xml:space="preserve">Finalize and regularly update NCD desk guide ensuring inclusion of practical, cost-effective and evidence-based intervention (including printing, launch and dissemination, </w:t>
            </w:r>
            <w:r w:rsidRPr="00610088">
              <w:rPr>
                <w:b/>
                <w:i/>
                <w:iCs/>
                <w:sz w:val="20"/>
                <w:szCs w:val="20"/>
                <w:lang w:val="en-GB"/>
              </w:rPr>
              <w:t>see also SO1</w:t>
            </w:r>
            <w:r w:rsidRPr="00610088">
              <w:rPr>
                <w:bCs/>
                <w:i/>
                <w:iCs/>
                <w:sz w:val="20"/>
                <w:szCs w:val="20"/>
                <w:lang w:val="en-GB"/>
              </w:rPr>
              <w:t>)</w:t>
            </w:r>
          </w:p>
        </w:tc>
        <w:tc>
          <w:tcPr>
            <w:tcW w:w="463" w:type="pct"/>
          </w:tcPr>
          <w:p w14:paraId="0955CCF4" w14:textId="7E0FF494" w:rsidR="005228C0" w:rsidRPr="00610088" w:rsidRDefault="00A8191E" w:rsidP="00EC256F">
            <w:pPr>
              <w:rPr>
                <w:bCs/>
                <w:sz w:val="20"/>
                <w:szCs w:val="20"/>
                <w:lang w:val="en-GB"/>
              </w:rPr>
            </w:pPr>
            <w:r w:rsidRPr="00610088">
              <w:rPr>
                <w:bCs/>
                <w:sz w:val="20"/>
                <w:szCs w:val="20"/>
                <w:lang w:val="en-GB"/>
              </w:rPr>
              <w:t>x</w:t>
            </w:r>
          </w:p>
        </w:tc>
        <w:tc>
          <w:tcPr>
            <w:tcW w:w="457" w:type="pct"/>
          </w:tcPr>
          <w:p w14:paraId="3BA45E2B" w14:textId="7CC50F40" w:rsidR="005228C0" w:rsidRPr="00610088" w:rsidRDefault="00A8191E" w:rsidP="00EC256F">
            <w:pPr>
              <w:rPr>
                <w:bCs/>
                <w:sz w:val="20"/>
                <w:szCs w:val="20"/>
                <w:lang w:val="en-GB"/>
              </w:rPr>
            </w:pPr>
            <w:r w:rsidRPr="00610088">
              <w:rPr>
                <w:bCs/>
                <w:sz w:val="20"/>
                <w:szCs w:val="20"/>
                <w:lang w:val="en-GB"/>
              </w:rPr>
              <w:t>x</w:t>
            </w:r>
          </w:p>
        </w:tc>
        <w:tc>
          <w:tcPr>
            <w:tcW w:w="418" w:type="pct"/>
          </w:tcPr>
          <w:p w14:paraId="2BBD73EF" w14:textId="6E528F70" w:rsidR="005228C0" w:rsidRPr="00610088" w:rsidRDefault="00A8191E" w:rsidP="00EC256F">
            <w:pPr>
              <w:rPr>
                <w:bCs/>
                <w:sz w:val="20"/>
                <w:szCs w:val="20"/>
                <w:lang w:val="en-GB"/>
              </w:rPr>
            </w:pPr>
            <w:r w:rsidRPr="00610088">
              <w:rPr>
                <w:bCs/>
                <w:sz w:val="20"/>
                <w:szCs w:val="20"/>
                <w:lang w:val="en-GB"/>
              </w:rPr>
              <w:t>x</w:t>
            </w:r>
          </w:p>
        </w:tc>
      </w:tr>
      <w:tr w:rsidR="005228C0" w:rsidRPr="00610088" w14:paraId="21EA3F6B" w14:textId="77777777" w:rsidTr="00A8191E">
        <w:trPr>
          <w:trHeight w:val="686"/>
          <w:tblHeader/>
        </w:trPr>
        <w:tc>
          <w:tcPr>
            <w:tcW w:w="761" w:type="pct"/>
            <w:vMerge/>
          </w:tcPr>
          <w:p w14:paraId="61027E1B" w14:textId="77777777" w:rsidR="005228C0" w:rsidRPr="00610088" w:rsidRDefault="005228C0" w:rsidP="00EC256F">
            <w:pPr>
              <w:rPr>
                <w:b/>
                <w:sz w:val="20"/>
                <w:szCs w:val="20"/>
                <w:lang w:val="en-GB"/>
              </w:rPr>
            </w:pPr>
          </w:p>
        </w:tc>
        <w:tc>
          <w:tcPr>
            <w:tcW w:w="2901" w:type="pct"/>
          </w:tcPr>
          <w:p w14:paraId="7A363D96" w14:textId="1B21ECFD" w:rsidR="005228C0" w:rsidRPr="00610088" w:rsidRDefault="005228C0" w:rsidP="00EC256F">
            <w:pPr>
              <w:autoSpaceDE w:val="0"/>
              <w:autoSpaceDN w:val="0"/>
              <w:adjustRightInd w:val="0"/>
              <w:rPr>
                <w:bCs/>
                <w:sz w:val="20"/>
                <w:szCs w:val="20"/>
                <w:lang w:val="en-GB"/>
              </w:rPr>
            </w:pPr>
            <w:r w:rsidRPr="00610088">
              <w:rPr>
                <w:bCs/>
                <w:sz w:val="20"/>
                <w:szCs w:val="20"/>
                <w:lang w:val="en-GB"/>
              </w:rPr>
              <w:t>Develop, adopt and produce harmonized existing/new guidelines and protocols for management of NCDs at all levels of care, and train staff on their use (</w:t>
            </w:r>
            <w:r w:rsidRPr="00610088">
              <w:rPr>
                <w:b/>
                <w:i/>
                <w:iCs/>
                <w:sz w:val="20"/>
                <w:szCs w:val="20"/>
                <w:lang w:val="en-GB"/>
              </w:rPr>
              <w:t>see also SO1</w:t>
            </w:r>
            <w:r w:rsidRPr="00610088">
              <w:rPr>
                <w:bCs/>
                <w:sz w:val="20"/>
                <w:szCs w:val="20"/>
                <w:lang w:val="en-GB"/>
              </w:rPr>
              <w:t xml:space="preserve">)  </w:t>
            </w:r>
          </w:p>
        </w:tc>
        <w:tc>
          <w:tcPr>
            <w:tcW w:w="463" w:type="pct"/>
          </w:tcPr>
          <w:p w14:paraId="0DE594B6" w14:textId="214A2BDB" w:rsidR="005228C0" w:rsidRPr="00610088" w:rsidRDefault="00A8191E" w:rsidP="00EC256F">
            <w:pPr>
              <w:rPr>
                <w:bCs/>
                <w:sz w:val="20"/>
                <w:szCs w:val="20"/>
                <w:lang w:val="en-GB"/>
              </w:rPr>
            </w:pPr>
            <w:r w:rsidRPr="00610088">
              <w:rPr>
                <w:bCs/>
                <w:sz w:val="20"/>
                <w:szCs w:val="20"/>
                <w:lang w:val="en-GB"/>
              </w:rPr>
              <w:t>x</w:t>
            </w:r>
          </w:p>
        </w:tc>
        <w:tc>
          <w:tcPr>
            <w:tcW w:w="457" w:type="pct"/>
          </w:tcPr>
          <w:p w14:paraId="3B86CF47" w14:textId="36E5B838" w:rsidR="005228C0" w:rsidRPr="00610088" w:rsidRDefault="00A8191E" w:rsidP="00EC256F">
            <w:pPr>
              <w:rPr>
                <w:bCs/>
                <w:sz w:val="20"/>
                <w:szCs w:val="20"/>
                <w:lang w:val="en-GB"/>
              </w:rPr>
            </w:pPr>
            <w:r w:rsidRPr="00610088">
              <w:rPr>
                <w:bCs/>
                <w:sz w:val="20"/>
                <w:szCs w:val="20"/>
                <w:lang w:val="en-GB"/>
              </w:rPr>
              <w:t>x</w:t>
            </w:r>
          </w:p>
        </w:tc>
        <w:tc>
          <w:tcPr>
            <w:tcW w:w="418" w:type="pct"/>
          </w:tcPr>
          <w:p w14:paraId="3DCAA35F" w14:textId="10C54253" w:rsidR="005228C0" w:rsidRPr="00610088" w:rsidRDefault="00A8191E" w:rsidP="00EC256F">
            <w:pPr>
              <w:rPr>
                <w:bCs/>
                <w:sz w:val="20"/>
                <w:szCs w:val="20"/>
                <w:lang w:val="en-GB"/>
              </w:rPr>
            </w:pPr>
            <w:r w:rsidRPr="00610088">
              <w:rPr>
                <w:bCs/>
                <w:sz w:val="20"/>
                <w:szCs w:val="20"/>
                <w:lang w:val="en-GB"/>
              </w:rPr>
              <w:t>x</w:t>
            </w:r>
          </w:p>
        </w:tc>
      </w:tr>
    </w:tbl>
    <w:p w14:paraId="0B55F68C" w14:textId="6137ACA6" w:rsidR="00272161" w:rsidRPr="00610088" w:rsidRDefault="00272161">
      <w:pPr>
        <w:rPr>
          <w:lang w:val="en-GB"/>
        </w:rPr>
      </w:pPr>
    </w:p>
    <w:p w14:paraId="54B3463B" w14:textId="4571EDD1" w:rsidR="00C57B3E" w:rsidRPr="00610088" w:rsidRDefault="00C57B3E" w:rsidP="007A3E6E">
      <w:pPr>
        <w:pStyle w:val="Heading2"/>
        <w:rPr>
          <w:lang w:val="en-GB"/>
        </w:rPr>
      </w:pPr>
      <w:bookmarkStart w:id="109" w:name="_Toc41370569"/>
      <w:r w:rsidRPr="00610088">
        <w:rPr>
          <w:lang w:val="en-GB"/>
        </w:rPr>
        <w:lastRenderedPageBreak/>
        <w:t>SO</w:t>
      </w:r>
      <w:r w:rsidR="00604264" w:rsidRPr="00610088">
        <w:rPr>
          <w:lang w:val="en-GB"/>
        </w:rPr>
        <w:t>5</w:t>
      </w:r>
      <w:r w:rsidRPr="00610088">
        <w:rPr>
          <w:lang w:val="en-GB"/>
        </w:rPr>
        <w:t>: To strengthen partnerships and establish a network of relevant stakeholders for surveillance, prevention, screening, diagnosis, management and care of NCDs.</w:t>
      </w:r>
      <w:bookmarkEnd w:id="109"/>
      <w:r w:rsidR="004C2636" w:rsidRPr="00610088">
        <w:rPr>
          <w:lang w:val="en-GB"/>
        </w:rPr>
        <w:t xml:space="preserve"> </w:t>
      </w:r>
    </w:p>
    <w:p w14:paraId="659847A0" w14:textId="77777777" w:rsidR="008023B9" w:rsidRPr="00610088" w:rsidRDefault="008023B9" w:rsidP="00DE208E">
      <w:pPr>
        <w:rPr>
          <w:lang w:val="en-GB"/>
        </w:rPr>
      </w:pPr>
    </w:p>
    <w:p w14:paraId="494165DD" w14:textId="21200CD0" w:rsidR="00AE0A1E" w:rsidRPr="00610088" w:rsidRDefault="00AE0A1E" w:rsidP="001B16D1">
      <w:pPr>
        <w:rPr>
          <w:lang w:val="en-GB"/>
        </w:rPr>
      </w:pPr>
      <w:r w:rsidRPr="00610088">
        <w:rPr>
          <w:lang w:val="en-GB"/>
        </w:rPr>
        <w:t xml:space="preserve">The table below contains the key strategies and broad activities under SO5. There is overlap between SO1, SO2 and SO5, please also consult SO1 and SO2. </w:t>
      </w:r>
    </w:p>
    <w:p w14:paraId="0B3A4FC3" w14:textId="22343E29" w:rsidR="00DE208E" w:rsidRPr="00610088" w:rsidRDefault="00DE208E" w:rsidP="001B16D1">
      <w:pPr>
        <w:rPr>
          <w:lang w:val="en-GB"/>
        </w:rPr>
      </w:pPr>
      <w:r w:rsidRPr="00610088">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7229"/>
        <w:gridCol w:w="1420"/>
        <w:gridCol w:w="1275"/>
        <w:gridCol w:w="1055"/>
      </w:tblGrid>
      <w:tr w:rsidR="00702C96" w:rsidRPr="00610088" w14:paraId="234139AD" w14:textId="77777777" w:rsidTr="00A8191E">
        <w:trPr>
          <w:tblHeader/>
        </w:trPr>
        <w:tc>
          <w:tcPr>
            <w:tcW w:w="1065" w:type="pct"/>
          </w:tcPr>
          <w:p w14:paraId="28621D88" w14:textId="77777777" w:rsidR="00702C96" w:rsidRPr="00610088" w:rsidRDefault="00702C96" w:rsidP="006B30FE">
            <w:pPr>
              <w:rPr>
                <w:b/>
                <w:sz w:val="20"/>
                <w:szCs w:val="20"/>
                <w:lang w:val="en-GB"/>
              </w:rPr>
            </w:pPr>
            <w:r w:rsidRPr="00610088">
              <w:rPr>
                <w:b/>
                <w:sz w:val="20"/>
                <w:szCs w:val="20"/>
                <w:lang w:val="en-GB"/>
              </w:rPr>
              <w:t>Strategy</w:t>
            </w:r>
          </w:p>
        </w:tc>
        <w:tc>
          <w:tcPr>
            <w:tcW w:w="2591" w:type="pct"/>
          </w:tcPr>
          <w:p w14:paraId="5713A3BA" w14:textId="77777777" w:rsidR="00702C96" w:rsidRPr="00610088" w:rsidRDefault="00702C96" w:rsidP="006B30FE">
            <w:pPr>
              <w:rPr>
                <w:b/>
                <w:sz w:val="20"/>
                <w:szCs w:val="20"/>
                <w:lang w:val="en-GB"/>
              </w:rPr>
            </w:pPr>
            <w:r w:rsidRPr="00610088">
              <w:rPr>
                <w:b/>
                <w:sz w:val="20"/>
                <w:szCs w:val="20"/>
                <w:lang w:val="en-GB"/>
              </w:rPr>
              <w:t xml:space="preserve">Broad activity </w:t>
            </w:r>
          </w:p>
        </w:tc>
        <w:tc>
          <w:tcPr>
            <w:tcW w:w="509" w:type="pct"/>
          </w:tcPr>
          <w:p w14:paraId="277CEEB0" w14:textId="77777777" w:rsidR="00702C96" w:rsidRPr="00610088" w:rsidRDefault="00702C96" w:rsidP="006B30FE">
            <w:pPr>
              <w:rPr>
                <w:b/>
                <w:sz w:val="20"/>
                <w:szCs w:val="20"/>
                <w:lang w:val="en-GB"/>
              </w:rPr>
            </w:pPr>
            <w:r w:rsidRPr="00610088">
              <w:rPr>
                <w:b/>
                <w:sz w:val="20"/>
                <w:szCs w:val="20"/>
                <w:lang w:val="en-GB"/>
              </w:rPr>
              <w:t>Short term (1-2 years)</w:t>
            </w:r>
          </w:p>
        </w:tc>
        <w:tc>
          <w:tcPr>
            <w:tcW w:w="457" w:type="pct"/>
          </w:tcPr>
          <w:p w14:paraId="7EDDA0CA" w14:textId="77777777" w:rsidR="00702C96" w:rsidRPr="00610088" w:rsidRDefault="00702C96" w:rsidP="006B30FE">
            <w:pPr>
              <w:rPr>
                <w:b/>
                <w:sz w:val="20"/>
                <w:szCs w:val="20"/>
                <w:lang w:val="en-GB"/>
              </w:rPr>
            </w:pPr>
            <w:r w:rsidRPr="00610088">
              <w:rPr>
                <w:b/>
                <w:sz w:val="20"/>
                <w:szCs w:val="20"/>
                <w:lang w:val="en-GB"/>
              </w:rPr>
              <w:t xml:space="preserve">Medium term </w:t>
            </w:r>
          </w:p>
          <w:p w14:paraId="176E50D5" w14:textId="77777777" w:rsidR="00702C96" w:rsidRPr="00610088" w:rsidRDefault="00702C96" w:rsidP="006B30FE">
            <w:pPr>
              <w:rPr>
                <w:b/>
                <w:sz w:val="20"/>
                <w:szCs w:val="20"/>
                <w:lang w:val="en-GB"/>
              </w:rPr>
            </w:pPr>
            <w:r w:rsidRPr="00610088">
              <w:rPr>
                <w:b/>
                <w:sz w:val="20"/>
                <w:szCs w:val="20"/>
                <w:lang w:val="en-GB"/>
              </w:rPr>
              <w:t>(3-5 years)</w:t>
            </w:r>
          </w:p>
        </w:tc>
        <w:tc>
          <w:tcPr>
            <w:tcW w:w="378" w:type="pct"/>
          </w:tcPr>
          <w:p w14:paraId="7E1FC122" w14:textId="77777777" w:rsidR="00702C96" w:rsidRPr="00610088" w:rsidRDefault="00702C96" w:rsidP="006B30FE">
            <w:pPr>
              <w:rPr>
                <w:b/>
                <w:sz w:val="20"/>
                <w:szCs w:val="20"/>
                <w:lang w:val="en-GB"/>
              </w:rPr>
            </w:pPr>
            <w:r w:rsidRPr="00610088">
              <w:rPr>
                <w:b/>
                <w:sz w:val="20"/>
                <w:szCs w:val="20"/>
                <w:lang w:val="en-GB"/>
              </w:rPr>
              <w:t>Long term (&gt; 5 years)</w:t>
            </w:r>
          </w:p>
        </w:tc>
      </w:tr>
      <w:tr w:rsidR="00702C96" w:rsidRPr="00610088" w14:paraId="15BC716C" w14:textId="77777777" w:rsidTr="00A8191E">
        <w:tc>
          <w:tcPr>
            <w:tcW w:w="1065" w:type="pct"/>
            <w:vMerge w:val="restart"/>
          </w:tcPr>
          <w:p w14:paraId="184E734C" w14:textId="77777777" w:rsidR="00702C96" w:rsidRPr="00610088" w:rsidRDefault="00702C96" w:rsidP="006B30FE">
            <w:pPr>
              <w:rPr>
                <w:b/>
                <w:sz w:val="20"/>
                <w:szCs w:val="20"/>
                <w:lang w:val="en-GB"/>
              </w:rPr>
            </w:pPr>
            <w:r w:rsidRPr="00610088">
              <w:rPr>
                <w:bCs/>
                <w:sz w:val="20"/>
                <w:szCs w:val="20"/>
                <w:lang w:val="en-GB"/>
              </w:rPr>
              <w:t xml:space="preserve">Establish national and district level coordination and partnership structures and support NCDI commission and its related TWGs and District NCD committees </w:t>
            </w:r>
            <w:r w:rsidRPr="00610088">
              <w:rPr>
                <w:bCs/>
                <w:i/>
                <w:iCs/>
                <w:sz w:val="20"/>
                <w:szCs w:val="20"/>
                <w:lang w:val="en-GB"/>
              </w:rPr>
              <w:t>(see also SO1)</w:t>
            </w:r>
          </w:p>
        </w:tc>
        <w:tc>
          <w:tcPr>
            <w:tcW w:w="2591" w:type="pct"/>
          </w:tcPr>
          <w:p w14:paraId="1F9B1013" w14:textId="77777777" w:rsidR="00702C96" w:rsidRPr="00610088" w:rsidRDefault="00702C96" w:rsidP="006B30FE">
            <w:pPr>
              <w:rPr>
                <w:bCs/>
                <w:sz w:val="20"/>
                <w:szCs w:val="20"/>
                <w:lang w:val="en-GB"/>
              </w:rPr>
            </w:pPr>
            <w:r w:rsidRPr="00610088">
              <w:rPr>
                <w:bCs/>
                <w:sz w:val="20"/>
                <w:szCs w:val="20"/>
                <w:lang w:val="en-GB"/>
              </w:rPr>
              <w:t>Support national multisectoral NCDI commission to:</w:t>
            </w:r>
          </w:p>
          <w:p w14:paraId="764DF75C" w14:textId="77777777" w:rsidR="00702C96" w:rsidRPr="00610088" w:rsidRDefault="00702C96" w:rsidP="00B82C13">
            <w:pPr>
              <w:pStyle w:val="ListParagraph"/>
              <w:numPr>
                <w:ilvl w:val="1"/>
                <w:numId w:val="3"/>
              </w:numPr>
              <w:rPr>
                <w:b/>
                <w:sz w:val="20"/>
                <w:szCs w:val="20"/>
                <w:lang w:val="en-GB"/>
              </w:rPr>
            </w:pPr>
            <w:r w:rsidRPr="00610088">
              <w:rPr>
                <w:bCs/>
                <w:sz w:val="20"/>
                <w:szCs w:val="20"/>
                <w:lang w:val="en-GB"/>
              </w:rPr>
              <w:t>hold quarterly meetings</w:t>
            </w:r>
          </w:p>
          <w:p w14:paraId="14A9EF19" w14:textId="6C440C73" w:rsidR="00702C96" w:rsidRPr="00610088" w:rsidRDefault="00702C96" w:rsidP="00B82C13">
            <w:pPr>
              <w:pStyle w:val="ListParagraph"/>
              <w:numPr>
                <w:ilvl w:val="1"/>
                <w:numId w:val="3"/>
              </w:numPr>
              <w:rPr>
                <w:bCs/>
                <w:sz w:val="20"/>
                <w:szCs w:val="20"/>
                <w:lang w:val="en-GB"/>
              </w:rPr>
            </w:pPr>
            <w:r w:rsidRPr="00610088">
              <w:rPr>
                <w:bCs/>
                <w:sz w:val="20"/>
                <w:szCs w:val="20"/>
                <w:lang w:val="en-GB"/>
              </w:rPr>
              <w:t xml:space="preserve">(advocate for) implementation of all relevant global strategies including the </w:t>
            </w:r>
            <w:r w:rsidRPr="00610088">
              <w:rPr>
                <w:sz w:val="20"/>
                <w:szCs w:val="20"/>
                <w:lang w:val="en-GB"/>
              </w:rPr>
              <w:t>global strategy on diet, physical activity and health</w:t>
            </w:r>
          </w:p>
        </w:tc>
        <w:tc>
          <w:tcPr>
            <w:tcW w:w="509" w:type="pct"/>
          </w:tcPr>
          <w:p w14:paraId="5646464E" w14:textId="77777777" w:rsidR="00702C96" w:rsidRPr="00610088" w:rsidRDefault="00702C96" w:rsidP="006B30FE">
            <w:pPr>
              <w:rPr>
                <w:bCs/>
                <w:sz w:val="20"/>
                <w:szCs w:val="20"/>
                <w:lang w:val="en-GB"/>
              </w:rPr>
            </w:pPr>
            <w:r w:rsidRPr="00610088">
              <w:rPr>
                <w:bCs/>
                <w:sz w:val="20"/>
                <w:szCs w:val="20"/>
                <w:lang w:val="en-GB"/>
              </w:rPr>
              <w:t>x</w:t>
            </w:r>
          </w:p>
        </w:tc>
        <w:tc>
          <w:tcPr>
            <w:tcW w:w="457" w:type="pct"/>
          </w:tcPr>
          <w:p w14:paraId="61040F53"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73CCE00E"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05211638" w14:textId="77777777" w:rsidTr="00A8191E">
        <w:tc>
          <w:tcPr>
            <w:tcW w:w="1065" w:type="pct"/>
            <w:vMerge/>
          </w:tcPr>
          <w:p w14:paraId="79580B48" w14:textId="77777777" w:rsidR="00702C96" w:rsidRPr="00610088" w:rsidRDefault="00702C96" w:rsidP="006B30FE">
            <w:pPr>
              <w:rPr>
                <w:bCs/>
                <w:sz w:val="20"/>
                <w:szCs w:val="20"/>
                <w:lang w:val="en-GB"/>
              </w:rPr>
            </w:pPr>
          </w:p>
        </w:tc>
        <w:tc>
          <w:tcPr>
            <w:tcW w:w="2591" w:type="pct"/>
          </w:tcPr>
          <w:p w14:paraId="41B5BB33" w14:textId="707AD8EF" w:rsidR="00702C96" w:rsidRPr="00610088" w:rsidRDefault="00702C96" w:rsidP="006B30FE">
            <w:pPr>
              <w:rPr>
                <w:bCs/>
                <w:sz w:val="20"/>
                <w:szCs w:val="20"/>
                <w:lang w:val="en-GB"/>
              </w:rPr>
            </w:pPr>
            <w:r w:rsidRPr="00610088">
              <w:rPr>
                <w:bCs/>
                <w:sz w:val="20"/>
                <w:szCs w:val="20"/>
                <w:lang w:val="en-GB"/>
              </w:rPr>
              <w:t>Support development</w:t>
            </w:r>
            <w:r w:rsidR="00953AF9" w:rsidRPr="00610088">
              <w:rPr>
                <w:bCs/>
                <w:sz w:val="20"/>
                <w:szCs w:val="20"/>
                <w:lang w:val="en-GB"/>
              </w:rPr>
              <w:t xml:space="preserve"> and implementation</w:t>
            </w:r>
            <w:r w:rsidRPr="00610088">
              <w:rPr>
                <w:bCs/>
                <w:sz w:val="20"/>
                <w:szCs w:val="20"/>
                <w:lang w:val="en-GB"/>
              </w:rPr>
              <w:t xml:space="preserve"> of a multisectoral plan to address NCDs</w:t>
            </w:r>
          </w:p>
        </w:tc>
        <w:tc>
          <w:tcPr>
            <w:tcW w:w="509" w:type="pct"/>
          </w:tcPr>
          <w:p w14:paraId="73DB58AF" w14:textId="0BCDEF5E" w:rsidR="00702C96" w:rsidRPr="00610088" w:rsidRDefault="00953AF9" w:rsidP="006B30FE">
            <w:pPr>
              <w:rPr>
                <w:bCs/>
                <w:sz w:val="20"/>
                <w:szCs w:val="20"/>
                <w:lang w:val="en-GB"/>
              </w:rPr>
            </w:pPr>
            <w:r w:rsidRPr="00610088">
              <w:rPr>
                <w:bCs/>
                <w:color w:val="000000" w:themeColor="text1"/>
                <w:sz w:val="20"/>
                <w:szCs w:val="20"/>
                <w:lang w:val="en-GB"/>
              </w:rPr>
              <w:t>x</w:t>
            </w:r>
          </w:p>
        </w:tc>
        <w:tc>
          <w:tcPr>
            <w:tcW w:w="457" w:type="pct"/>
          </w:tcPr>
          <w:p w14:paraId="40E62484"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5813A801"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0C29DC40" w14:textId="77777777" w:rsidTr="00A8191E">
        <w:tc>
          <w:tcPr>
            <w:tcW w:w="1065" w:type="pct"/>
            <w:vMerge/>
          </w:tcPr>
          <w:p w14:paraId="615E0C60" w14:textId="77777777" w:rsidR="00702C96" w:rsidRPr="00610088" w:rsidRDefault="00702C96" w:rsidP="006B30FE">
            <w:pPr>
              <w:rPr>
                <w:b/>
                <w:sz w:val="20"/>
                <w:szCs w:val="20"/>
                <w:lang w:val="en-GB"/>
              </w:rPr>
            </w:pPr>
          </w:p>
        </w:tc>
        <w:tc>
          <w:tcPr>
            <w:tcW w:w="2591" w:type="pct"/>
          </w:tcPr>
          <w:p w14:paraId="700DBB41" w14:textId="77C17CB8" w:rsidR="00702C96" w:rsidRPr="00610088" w:rsidRDefault="00702C96" w:rsidP="006B30FE">
            <w:pPr>
              <w:rPr>
                <w:bCs/>
                <w:color w:val="000000" w:themeColor="text1"/>
                <w:sz w:val="20"/>
                <w:szCs w:val="20"/>
                <w:lang w:val="en-GB"/>
              </w:rPr>
            </w:pPr>
            <w:r w:rsidRPr="00610088">
              <w:rPr>
                <w:bCs/>
                <w:color w:val="000000" w:themeColor="text1"/>
                <w:sz w:val="20"/>
                <w:szCs w:val="20"/>
                <w:lang w:val="en-GB"/>
              </w:rPr>
              <w:t xml:space="preserve">Establish and support national TWGs under the NCDI commission and hold monthly meetings </w:t>
            </w:r>
          </w:p>
        </w:tc>
        <w:tc>
          <w:tcPr>
            <w:tcW w:w="509" w:type="pct"/>
          </w:tcPr>
          <w:p w14:paraId="59D59A88" w14:textId="3E3AC880" w:rsidR="00702C96" w:rsidRPr="00610088" w:rsidRDefault="00F94101" w:rsidP="006B30FE">
            <w:pPr>
              <w:rPr>
                <w:bCs/>
                <w:sz w:val="20"/>
                <w:szCs w:val="20"/>
                <w:lang w:val="en-GB"/>
              </w:rPr>
            </w:pPr>
            <w:r>
              <w:rPr>
                <w:bCs/>
                <w:sz w:val="20"/>
                <w:szCs w:val="20"/>
                <w:lang w:val="en-GB"/>
              </w:rPr>
              <w:t>x</w:t>
            </w:r>
          </w:p>
        </w:tc>
        <w:tc>
          <w:tcPr>
            <w:tcW w:w="457" w:type="pct"/>
          </w:tcPr>
          <w:p w14:paraId="72963F3A"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09047C86"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6873E061" w14:textId="77777777" w:rsidTr="00A8191E">
        <w:tc>
          <w:tcPr>
            <w:tcW w:w="1065" w:type="pct"/>
            <w:vMerge/>
          </w:tcPr>
          <w:p w14:paraId="3CF3463D" w14:textId="77777777" w:rsidR="00702C96" w:rsidRPr="00610088" w:rsidRDefault="00702C96" w:rsidP="006B30FE">
            <w:pPr>
              <w:rPr>
                <w:b/>
                <w:sz w:val="20"/>
                <w:szCs w:val="20"/>
                <w:lang w:val="en-GB"/>
              </w:rPr>
            </w:pPr>
          </w:p>
        </w:tc>
        <w:tc>
          <w:tcPr>
            <w:tcW w:w="2591" w:type="pct"/>
          </w:tcPr>
          <w:p w14:paraId="61E77647" w14:textId="54DAA3B1" w:rsidR="00702C96" w:rsidRPr="00610088" w:rsidRDefault="00702C96" w:rsidP="00C009EA">
            <w:pPr>
              <w:rPr>
                <w:b/>
                <w:sz w:val="20"/>
                <w:szCs w:val="20"/>
                <w:lang w:val="en-GB"/>
              </w:rPr>
            </w:pPr>
            <w:r w:rsidRPr="00610088">
              <w:rPr>
                <w:bCs/>
                <w:sz w:val="20"/>
                <w:szCs w:val="20"/>
                <w:lang w:val="en-GB"/>
              </w:rPr>
              <w:t xml:space="preserve">Establish and support District NCD committees </w:t>
            </w:r>
            <w:r w:rsidRPr="00610088">
              <w:rPr>
                <w:bCs/>
                <w:color w:val="000000" w:themeColor="text1"/>
                <w:sz w:val="20"/>
                <w:szCs w:val="20"/>
                <w:lang w:val="en-GB"/>
              </w:rPr>
              <w:t>and hold monthly meetings</w:t>
            </w:r>
          </w:p>
        </w:tc>
        <w:tc>
          <w:tcPr>
            <w:tcW w:w="509" w:type="pct"/>
          </w:tcPr>
          <w:p w14:paraId="07B17736" w14:textId="2DB96DF0" w:rsidR="00702C96" w:rsidRPr="00610088" w:rsidRDefault="00F94101" w:rsidP="006B30FE">
            <w:pPr>
              <w:rPr>
                <w:bCs/>
                <w:sz w:val="20"/>
                <w:szCs w:val="20"/>
                <w:lang w:val="en-GB"/>
              </w:rPr>
            </w:pPr>
            <w:r>
              <w:rPr>
                <w:bCs/>
                <w:sz w:val="20"/>
                <w:szCs w:val="20"/>
                <w:lang w:val="en-GB"/>
              </w:rPr>
              <w:t>x</w:t>
            </w:r>
          </w:p>
        </w:tc>
        <w:tc>
          <w:tcPr>
            <w:tcW w:w="457" w:type="pct"/>
          </w:tcPr>
          <w:p w14:paraId="3E36F7EF"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5DD250D5"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058C31BB" w14:textId="77777777" w:rsidTr="00A8191E">
        <w:tc>
          <w:tcPr>
            <w:tcW w:w="1065" w:type="pct"/>
            <w:vMerge/>
          </w:tcPr>
          <w:p w14:paraId="4073E3BF" w14:textId="77777777" w:rsidR="00702C96" w:rsidRPr="00610088" w:rsidRDefault="00702C96" w:rsidP="006B30FE">
            <w:pPr>
              <w:rPr>
                <w:b/>
                <w:sz w:val="20"/>
                <w:szCs w:val="20"/>
                <w:lang w:val="en-GB"/>
              </w:rPr>
            </w:pPr>
          </w:p>
        </w:tc>
        <w:tc>
          <w:tcPr>
            <w:tcW w:w="2591" w:type="pct"/>
          </w:tcPr>
          <w:p w14:paraId="38F4EF8D" w14:textId="77777777" w:rsidR="00702C96" w:rsidRPr="00610088" w:rsidRDefault="00702C96" w:rsidP="006B30FE">
            <w:pPr>
              <w:autoSpaceDE w:val="0"/>
              <w:autoSpaceDN w:val="0"/>
              <w:adjustRightInd w:val="0"/>
              <w:rPr>
                <w:b/>
                <w:sz w:val="20"/>
                <w:szCs w:val="20"/>
                <w:lang w:val="en-GB"/>
              </w:rPr>
            </w:pPr>
            <w:r w:rsidRPr="00610088">
              <w:rPr>
                <w:bCs/>
                <w:sz w:val="20"/>
                <w:szCs w:val="20"/>
                <w:lang w:val="en-GB"/>
              </w:rPr>
              <w:t xml:space="preserve">Conduct stakeholder’s orientation meetings on NCDs prevention and control </w:t>
            </w:r>
          </w:p>
        </w:tc>
        <w:tc>
          <w:tcPr>
            <w:tcW w:w="509" w:type="pct"/>
          </w:tcPr>
          <w:p w14:paraId="2796D3E8" w14:textId="589D6EB3" w:rsidR="00702C96" w:rsidRPr="00610088" w:rsidRDefault="00F94101" w:rsidP="006B30FE">
            <w:pPr>
              <w:rPr>
                <w:bCs/>
                <w:sz w:val="20"/>
                <w:szCs w:val="20"/>
                <w:lang w:val="en-GB"/>
              </w:rPr>
            </w:pPr>
            <w:r>
              <w:rPr>
                <w:bCs/>
                <w:sz w:val="20"/>
                <w:szCs w:val="20"/>
                <w:lang w:val="en-GB"/>
              </w:rPr>
              <w:t>x</w:t>
            </w:r>
          </w:p>
        </w:tc>
        <w:tc>
          <w:tcPr>
            <w:tcW w:w="457" w:type="pct"/>
          </w:tcPr>
          <w:p w14:paraId="604C4365"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68C26AE8"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7D886E14" w14:textId="77777777" w:rsidTr="00A8191E">
        <w:tc>
          <w:tcPr>
            <w:tcW w:w="1065" w:type="pct"/>
            <w:vMerge w:val="restart"/>
          </w:tcPr>
          <w:p w14:paraId="6E5C988A" w14:textId="77777777" w:rsidR="00702C96" w:rsidRPr="00610088" w:rsidRDefault="00702C96" w:rsidP="006B30FE">
            <w:pPr>
              <w:rPr>
                <w:b/>
                <w:sz w:val="20"/>
                <w:szCs w:val="20"/>
                <w:lang w:val="en-GB"/>
              </w:rPr>
            </w:pPr>
            <w:r w:rsidRPr="00610088">
              <w:rPr>
                <w:bCs/>
                <w:sz w:val="20"/>
                <w:szCs w:val="20"/>
                <w:lang w:val="en-GB"/>
              </w:rPr>
              <w:t>Ensure community level participation in all relevant NCD activities</w:t>
            </w:r>
          </w:p>
        </w:tc>
        <w:tc>
          <w:tcPr>
            <w:tcW w:w="2591" w:type="pct"/>
          </w:tcPr>
          <w:p w14:paraId="5F9CB3DB" w14:textId="23D74E0A" w:rsidR="00702C96" w:rsidRPr="00610088" w:rsidRDefault="00702C96" w:rsidP="00C009EA">
            <w:pPr>
              <w:autoSpaceDE w:val="0"/>
              <w:autoSpaceDN w:val="0"/>
              <w:adjustRightInd w:val="0"/>
              <w:rPr>
                <w:sz w:val="20"/>
                <w:szCs w:val="20"/>
                <w:lang w:val="en-GB"/>
              </w:rPr>
            </w:pPr>
            <w:r w:rsidRPr="00610088">
              <w:rPr>
                <w:sz w:val="20"/>
                <w:szCs w:val="20"/>
                <w:lang w:val="en-GB"/>
              </w:rPr>
              <w:t>Through the DPHC and DHMTs involve CHWs in community level health promotion and mobilization for NCD clinic days and other NCD activities (</w:t>
            </w:r>
            <w:r w:rsidRPr="00610088">
              <w:rPr>
                <w:b/>
                <w:bCs/>
                <w:i/>
                <w:iCs/>
                <w:sz w:val="20"/>
                <w:szCs w:val="20"/>
                <w:lang w:val="en-GB"/>
              </w:rPr>
              <w:t>see also SO4</w:t>
            </w:r>
            <w:r w:rsidRPr="00610088">
              <w:rPr>
                <w:sz w:val="20"/>
                <w:szCs w:val="20"/>
                <w:lang w:val="en-GB"/>
              </w:rPr>
              <w:t>)</w:t>
            </w:r>
          </w:p>
        </w:tc>
        <w:tc>
          <w:tcPr>
            <w:tcW w:w="509" w:type="pct"/>
          </w:tcPr>
          <w:p w14:paraId="19ACB4CC" w14:textId="3C0DAF07" w:rsidR="00702C96" w:rsidRPr="00610088" w:rsidRDefault="00F94101" w:rsidP="006B30FE">
            <w:pPr>
              <w:rPr>
                <w:bCs/>
                <w:sz w:val="20"/>
                <w:szCs w:val="20"/>
                <w:lang w:val="en-GB"/>
              </w:rPr>
            </w:pPr>
            <w:r>
              <w:rPr>
                <w:bCs/>
                <w:sz w:val="20"/>
                <w:szCs w:val="20"/>
                <w:lang w:val="en-GB"/>
              </w:rPr>
              <w:t>x</w:t>
            </w:r>
          </w:p>
        </w:tc>
        <w:tc>
          <w:tcPr>
            <w:tcW w:w="457" w:type="pct"/>
          </w:tcPr>
          <w:p w14:paraId="11A0C097"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5F092976"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5DD18325" w14:textId="77777777" w:rsidTr="00A8191E">
        <w:tc>
          <w:tcPr>
            <w:tcW w:w="1065" w:type="pct"/>
            <w:vMerge/>
          </w:tcPr>
          <w:p w14:paraId="75F3E9C7" w14:textId="77777777" w:rsidR="00702C96" w:rsidRPr="00610088" w:rsidRDefault="00702C96" w:rsidP="006B30FE">
            <w:pPr>
              <w:rPr>
                <w:b/>
                <w:sz w:val="20"/>
                <w:szCs w:val="20"/>
                <w:lang w:val="en-GB"/>
              </w:rPr>
            </w:pPr>
          </w:p>
        </w:tc>
        <w:tc>
          <w:tcPr>
            <w:tcW w:w="2591" w:type="pct"/>
          </w:tcPr>
          <w:p w14:paraId="295C6284" w14:textId="1448A665" w:rsidR="00702C96" w:rsidRPr="00610088" w:rsidRDefault="00702C96" w:rsidP="006B30FE">
            <w:pPr>
              <w:autoSpaceDE w:val="0"/>
              <w:autoSpaceDN w:val="0"/>
              <w:adjustRightInd w:val="0"/>
              <w:rPr>
                <w:sz w:val="20"/>
                <w:szCs w:val="20"/>
                <w:lang w:val="en-GB"/>
              </w:rPr>
            </w:pPr>
            <w:r w:rsidRPr="00610088">
              <w:rPr>
                <w:sz w:val="20"/>
                <w:szCs w:val="20"/>
                <w:lang w:val="en-GB"/>
              </w:rPr>
              <w:t xml:space="preserve">Engagement of community leaders and </w:t>
            </w:r>
            <w:r w:rsidR="00284317" w:rsidRPr="00610088">
              <w:rPr>
                <w:sz w:val="20"/>
                <w:szCs w:val="20"/>
                <w:lang w:val="en-GB"/>
              </w:rPr>
              <w:t xml:space="preserve">community </w:t>
            </w:r>
            <w:r w:rsidRPr="00610088">
              <w:rPr>
                <w:sz w:val="20"/>
                <w:szCs w:val="20"/>
                <w:lang w:val="en-GB"/>
              </w:rPr>
              <w:t xml:space="preserve">members in NCD activities (including health promotion) through orientation of </w:t>
            </w:r>
            <w:r w:rsidR="00F94101" w:rsidRPr="00610088">
              <w:rPr>
                <w:sz w:val="20"/>
                <w:szCs w:val="20"/>
                <w:lang w:val="en-GB"/>
              </w:rPr>
              <w:t>H/FMCs</w:t>
            </w:r>
            <w:r w:rsidR="00F94101">
              <w:rPr>
                <w:sz w:val="20"/>
                <w:szCs w:val="20"/>
                <w:lang w:val="en-GB"/>
              </w:rPr>
              <w:t xml:space="preserve"> (Health and Facility Management Committees)</w:t>
            </w:r>
            <w:r w:rsidR="00F94101" w:rsidRPr="00610088">
              <w:rPr>
                <w:sz w:val="20"/>
                <w:szCs w:val="20"/>
                <w:lang w:val="en-GB"/>
              </w:rPr>
              <w:t xml:space="preserve"> and VDCs</w:t>
            </w:r>
            <w:r w:rsidR="00F94101">
              <w:rPr>
                <w:sz w:val="20"/>
                <w:szCs w:val="20"/>
                <w:lang w:val="en-GB"/>
              </w:rPr>
              <w:t xml:space="preserve"> (Village Development Committees)</w:t>
            </w:r>
            <w:r w:rsidR="00F94101" w:rsidRPr="00610088">
              <w:rPr>
                <w:sz w:val="20"/>
                <w:szCs w:val="20"/>
                <w:lang w:val="en-GB"/>
              </w:rPr>
              <w:t xml:space="preserve"> </w:t>
            </w:r>
            <w:r w:rsidRPr="00610088">
              <w:rPr>
                <w:sz w:val="20"/>
                <w:szCs w:val="20"/>
                <w:lang w:val="en-GB"/>
              </w:rPr>
              <w:t xml:space="preserve">on NCDs and their risk factors. </w:t>
            </w:r>
          </w:p>
          <w:p w14:paraId="583C3918" w14:textId="7CAAB8F8" w:rsidR="00702C96" w:rsidRPr="00610088" w:rsidRDefault="00702C96" w:rsidP="00B82C13">
            <w:pPr>
              <w:pStyle w:val="ListParagraph"/>
              <w:numPr>
                <w:ilvl w:val="1"/>
                <w:numId w:val="3"/>
              </w:numPr>
              <w:autoSpaceDE w:val="0"/>
              <w:autoSpaceDN w:val="0"/>
              <w:adjustRightInd w:val="0"/>
              <w:rPr>
                <w:sz w:val="20"/>
                <w:szCs w:val="20"/>
                <w:lang w:val="en-GB"/>
              </w:rPr>
            </w:pPr>
            <w:r w:rsidRPr="00610088">
              <w:rPr>
                <w:sz w:val="20"/>
                <w:szCs w:val="20"/>
                <w:lang w:val="en-GB"/>
              </w:rPr>
              <w:t>Work with H/FMCs and VDCs on health promotion and establishing bylaws related to NCDs</w:t>
            </w:r>
            <w:r w:rsidR="001D4688" w:rsidRPr="00610088">
              <w:rPr>
                <w:sz w:val="20"/>
                <w:szCs w:val="20"/>
                <w:lang w:val="en-GB"/>
              </w:rPr>
              <w:t xml:space="preserve"> and their risk factors</w:t>
            </w:r>
          </w:p>
        </w:tc>
        <w:tc>
          <w:tcPr>
            <w:tcW w:w="509" w:type="pct"/>
          </w:tcPr>
          <w:p w14:paraId="19673114" w14:textId="77777777" w:rsidR="00702C96" w:rsidRPr="00610088" w:rsidRDefault="00702C96" w:rsidP="006B30FE">
            <w:pPr>
              <w:rPr>
                <w:bCs/>
                <w:sz w:val="20"/>
                <w:szCs w:val="20"/>
                <w:lang w:val="en-GB"/>
              </w:rPr>
            </w:pPr>
          </w:p>
        </w:tc>
        <w:tc>
          <w:tcPr>
            <w:tcW w:w="457" w:type="pct"/>
          </w:tcPr>
          <w:p w14:paraId="26D27A33"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73A6B743"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1CCF40C9" w14:textId="77777777" w:rsidTr="00A46540">
        <w:trPr>
          <w:trHeight w:val="397"/>
        </w:trPr>
        <w:tc>
          <w:tcPr>
            <w:tcW w:w="1065" w:type="pct"/>
            <w:vMerge w:val="restart"/>
          </w:tcPr>
          <w:p w14:paraId="49A0FB62" w14:textId="69222A13" w:rsidR="00702C96" w:rsidRPr="00610088" w:rsidRDefault="00702C96" w:rsidP="006B30FE">
            <w:pPr>
              <w:rPr>
                <w:b/>
                <w:sz w:val="20"/>
                <w:szCs w:val="20"/>
                <w:lang w:val="en-GB"/>
              </w:rPr>
            </w:pPr>
            <w:r w:rsidRPr="00610088">
              <w:rPr>
                <w:bCs/>
                <w:sz w:val="20"/>
                <w:szCs w:val="20"/>
                <w:lang w:val="en-GB"/>
              </w:rPr>
              <w:t xml:space="preserve">Participation of all relevant NCD implementers / stakeholders/ partners/ donors in coordination </w:t>
            </w:r>
            <w:r w:rsidR="00C009EA" w:rsidRPr="00610088">
              <w:rPr>
                <w:bCs/>
                <w:sz w:val="20"/>
                <w:szCs w:val="20"/>
                <w:lang w:val="en-GB"/>
              </w:rPr>
              <w:t xml:space="preserve">structures </w:t>
            </w:r>
            <w:r w:rsidRPr="00610088">
              <w:rPr>
                <w:bCs/>
                <w:sz w:val="20"/>
                <w:szCs w:val="20"/>
                <w:lang w:val="en-GB"/>
              </w:rPr>
              <w:t>and partnership structures</w:t>
            </w:r>
          </w:p>
        </w:tc>
        <w:tc>
          <w:tcPr>
            <w:tcW w:w="2591" w:type="pct"/>
          </w:tcPr>
          <w:p w14:paraId="3FD8A961" w14:textId="77777777" w:rsidR="00702C96" w:rsidRPr="00610088" w:rsidRDefault="00702C96" w:rsidP="006B30FE">
            <w:pPr>
              <w:rPr>
                <w:b/>
                <w:sz w:val="20"/>
                <w:szCs w:val="20"/>
                <w:lang w:val="en-GB"/>
              </w:rPr>
            </w:pPr>
            <w:r w:rsidRPr="00610088">
              <w:rPr>
                <w:bCs/>
                <w:sz w:val="20"/>
                <w:szCs w:val="20"/>
                <w:lang w:val="en-GB"/>
              </w:rPr>
              <w:t xml:space="preserve">Develop and regularly update NCD partners database (implementers, stakeholders, partners, donors) </w:t>
            </w:r>
          </w:p>
        </w:tc>
        <w:tc>
          <w:tcPr>
            <w:tcW w:w="509" w:type="pct"/>
          </w:tcPr>
          <w:p w14:paraId="75E6D2B7" w14:textId="77777777" w:rsidR="00702C96" w:rsidRPr="00610088" w:rsidRDefault="00702C96" w:rsidP="006B30FE">
            <w:pPr>
              <w:rPr>
                <w:bCs/>
                <w:sz w:val="20"/>
                <w:szCs w:val="20"/>
                <w:lang w:val="en-GB"/>
              </w:rPr>
            </w:pPr>
            <w:r w:rsidRPr="00610088">
              <w:rPr>
                <w:bCs/>
                <w:sz w:val="20"/>
                <w:szCs w:val="20"/>
                <w:lang w:val="en-GB"/>
              </w:rPr>
              <w:t>x</w:t>
            </w:r>
          </w:p>
        </w:tc>
        <w:tc>
          <w:tcPr>
            <w:tcW w:w="457" w:type="pct"/>
          </w:tcPr>
          <w:p w14:paraId="332EA693"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1FB9250E"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1E91B5EA" w14:textId="77777777" w:rsidTr="00A8191E">
        <w:tc>
          <w:tcPr>
            <w:tcW w:w="1065" w:type="pct"/>
            <w:vMerge/>
          </w:tcPr>
          <w:p w14:paraId="55F5296C" w14:textId="77777777" w:rsidR="00702C96" w:rsidRPr="00610088" w:rsidRDefault="00702C96" w:rsidP="006B30FE">
            <w:pPr>
              <w:rPr>
                <w:bCs/>
                <w:sz w:val="20"/>
                <w:szCs w:val="20"/>
                <w:lang w:val="en-GB"/>
              </w:rPr>
            </w:pPr>
          </w:p>
        </w:tc>
        <w:tc>
          <w:tcPr>
            <w:tcW w:w="2591" w:type="pct"/>
          </w:tcPr>
          <w:p w14:paraId="3942FC3C" w14:textId="5A621734" w:rsidR="00702C96" w:rsidRPr="00610088" w:rsidRDefault="00702C96" w:rsidP="006B30FE">
            <w:pPr>
              <w:rPr>
                <w:bCs/>
                <w:sz w:val="20"/>
                <w:szCs w:val="20"/>
                <w:lang w:val="en-GB"/>
              </w:rPr>
            </w:pPr>
            <w:r w:rsidRPr="00610088">
              <w:rPr>
                <w:bCs/>
                <w:sz w:val="20"/>
                <w:szCs w:val="20"/>
                <w:lang w:val="en-GB"/>
              </w:rPr>
              <w:t xml:space="preserve">Encourage all partners to be part of </w:t>
            </w:r>
            <w:r w:rsidR="00C009EA" w:rsidRPr="00610088">
              <w:rPr>
                <w:bCs/>
                <w:sz w:val="20"/>
                <w:szCs w:val="20"/>
                <w:lang w:val="en-GB"/>
              </w:rPr>
              <w:t xml:space="preserve">the </w:t>
            </w:r>
            <w:r w:rsidRPr="00610088">
              <w:rPr>
                <w:bCs/>
                <w:sz w:val="20"/>
                <w:szCs w:val="20"/>
                <w:lang w:val="en-GB"/>
              </w:rPr>
              <w:t>relevant coordination and partnership structures at national and/or district level</w:t>
            </w:r>
          </w:p>
          <w:p w14:paraId="59D36821" w14:textId="77777777" w:rsidR="00702C96" w:rsidRPr="00610088" w:rsidRDefault="00702C96" w:rsidP="006B30FE">
            <w:pPr>
              <w:rPr>
                <w:bCs/>
                <w:sz w:val="20"/>
                <w:szCs w:val="20"/>
                <w:lang w:val="en-GB"/>
              </w:rPr>
            </w:pPr>
          </w:p>
        </w:tc>
        <w:tc>
          <w:tcPr>
            <w:tcW w:w="509" w:type="pct"/>
          </w:tcPr>
          <w:p w14:paraId="1E4EAE21" w14:textId="77777777" w:rsidR="00702C96" w:rsidRPr="00610088" w:rsidRDefault="00702C96" w:rsidP="006B30FE">
            <w:pPr>
              <w:rPr>
                <w:bCs/>
                <w:sz w:val="20"/>
                <w:szCs w:val="20"/>
                <w:lang w:val="en-GB"/>
              </w:rPr>
            </w:pPr>
            <w:r w:rsidRPr="00610088">
              <w:rPr>
                <w:bCs/>
                <w:sz w:val="20"/>
                <w:szCs w:val="20"/>
                <w:lang w:val="en-GB"/>
              </w:rPr>
              <w:t>x</w:t>
            </w:r>
          </w:p>
        </w:tc>
        <w:tc>
          <w:tcPr>
            <w:tcW w:w="457" w:type="pct"/>
          </w:tcPr>
          <w:p w14:paraId="4B7AF04B"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466151F3" w14:textId="77777777" w:rsidR="00702C96" w:rsidRPr="00610088" w:rsidRDefault="00702C96" w:rsidP="006B30FE">
            <w:pPr>
              <w:rPr>
                <w:bCs/>
                <w:sz w:val="20"/>
                <w:szCs w:val="20"/>
                <w:lang w:val="en-GB"/>
              </w:rPr>
            </w:pPr>
            <w:r w:rsidRPr="00610088">
              <w:rPr>
                <w:bCs/>
                <w:sz w:val="20"/>
                <w:szCs w:val="20"/>
                <w:lang w:val="en-GB"/>
              </w:rPr>
              <w:t>x</w:t>
            </w:r>
          </w:p>
        </w:tc>
      </w:tr>
      <w:tr w:rsidR="00702C96" w:rsidRPr="00610088" w14:paraId="39BE9DEF" w14:textId="77777777" w:rsidTr="00A8191E">
        <w:tc>
          <w:tcPr>
            <w:tcW w:w="1065" w:type="pct"/>
          </w:tcPr>
          <w:p w14:paraId="56FC954B" w14:textId="6D53E836" w:rsidR="00702C96" w:rsidRPr="00610088" w:rsidRDefault="00702C96" w:rsidP="006B30FE">
            <w:pPr>
              <w:rPr>
                <w:b/>
                <w:sz w:val="20"/>
                <w:szCs w:val="20"/>
                <w:lang w:val="en-GB"/>
              </w:rPr>
            </w:pPr>
            <w:r w:rsidRPr="00610088">
              <w:rPr>
                <w:bCs/>
                <w:sz w:val="20"/>
                <w:szCs w:val="20"/>
                <w:lang w:val="en-GB"/>
              </w:rPr>
              <w:t xml:space="preserve">Alignment of all NCD implementers to NCD Directorate/ </w:t>
            </w:r>
            <w:proofErr w:type="spellStart"/>
            <w:r w:rsidR="00156C15">
              <w:rPr>
                <w:bCs/>
                <w:sz w:val="20"/>
                <w:szCs w:val="20"/>
                <w:lang w:val="en-GB"/>
              </w:rPr>
              <w:t>MoHS</w:t>
            </w:r>
            <w:proofErr w:type="spellEnd"/>
            <w:r w:rsidRPr="00610088">
              <w:rPr>
                <w:bCs/>
                <w:sz w:val="20"/>
                <w:szCs w:val="20"/>
                <w:lang w:val="en-GB"/>
              </w:rPr>
              <w:t xml:space="preserve"> NCD guidelines / programs</w:t>
            </w:r>
          </w:p>
        </w:tc>
        <w:tc>
          <w:tcPr>
            <w:tcW w:w="2591" w:type="pct"/>
          </w:tcPr>
          <w:p w14:paraId="32F83C6F" w14:textId="77777777" w:rsidR="00702C96" w:rsidRPr="00610088" w:rsidRDefault="00702C96" w:rsidP="006B30FE">
            <w:pPr>
              <w:rPr>
                <w:b/>
                <w:sz w:val="20"/>
                <w:szCs w:val="20"/>
                <w:lang w:val="en-GB"/>
              </w:rPr>
            </w:pPr>
            <w:r w:rsidRPr="00610088">
              <w:rPr>
                <w:bCs/>
                <w:sz w:val="20"/>
                <w:szCs w:val="20"/>
                <w:lang w:val="en-GB"/>
              </w:rPr>
              <w:t>Agree on NCD prevention and control programs at national and district level coordination structures (see also NCDI commission and its TWGs above)</w:t>
            </w:r>
            <w:r w:rsidRPr="00610088">
              <w:rPr>
                <w:b/>
                <w:sz w:val="20"/>
                <w:szCs w:val="20"/>
                <w:lang w:val="en-GB"/>
              </w:rPr>
              <w:t xml:space="preserve"> </w:t>
            </w:r>
          </w:p>
        </w:tc>
        <w:tc>
          <w:tcPr>
            <w:tcW w:w="509" w:type="pct"/>
          </w:tcPr>
          <w:p w14:paraId="78332E29" w14:textId="77777777" w:rsidR="00702C96" w:rsidRPr="00610088" w:rsidRDefault="00702C96" w:rsidP="006B30FE">
            <w:pPr>
              <w:rPr>
                <w:bCs/>
                <w:sz w:val="20"/>
                <w:szCs w:val="20"/>
                <w:lang w:val="en-GB"/>
              </w:rPr>
            </w:pPr>
            <w:r w:rsidRPr="00610088">
              <w:rPr>
                <w:bCs/>
                <w:sz w:val="20"/>
                <w:szCs w:val="20"/>
                <w:lang w:val="en-GB"/>
              </w:rPr>
              <w:t>x</w:t>
            </w:r>
          </w:p>
        </w:tc>
        <w:tc>
          <w:tcPr>
            <w:tcW w:w="457" w:type="pct"/>
          </w:tcPr>
          <w:p w14:paraId="5E7ED1CE" w14:textId="77777777" w:rsidR="00702C96" w:rsidRPr="00610088" w:rsidRDefault="00702C96" w:rsidP="006B30FE">
            <w:pPr>
              <w:rPr>
                <w:bCs/>
                <w:sz w:val="20"/>
                <w:szCs w:val="20"/>
                <w:lang w:val="en-GB"/>
              </w:rPr>
            </w:pPr>
            <w:r w:rsidRPr="00610088">
              <w:rPr>
                <w:bCs/>
                <w:sz w:val="20"/>
                <w:szCs w:val="20"/>
                <w:lang w:val="en-GB"/>
              </w:rPr>
              <w:t>x</w:t>
            </w:r>
          </w:p>
        </w:tc>
        <w:tc>
          <w:tcPr>
            <w:tcW w:w="378" w:type="pct"/>
          </w:tcPr>
          <w:p w14:paraId="4243AFDE" w14:textId="77777777" w:rsidR="00702C96" w:rsidRPr="00610088" w:rsidRDefault="00702C96" w:rsidP="006B30FE">
            <w:pPr>
              <w:rPr>
                <w:bCs/>
                <w:sz w:val="20"/>
                <w:szCs w:val="20"/>
                <w:lang w:val="en-GB"/>
              </w:rPr>
            </w:pPr>
            <w:r w:rsidRPr="00610088">
              <w:rPr>
                <w:bCs/>
                <w:sz w:val="20"/>
                <w:szCs w:val="20"/>
                <w:lang w:val="en-GB"/>
              </w:rPr>
              <w:t>x</w:t>
            </w:r>
          </w:p>
        </w:tc>
      </w:tr>
    </w:tbl>
    <w:p w14:paraId="7831C511" w14:textId="77777777" w:rsidR="00702C96" w:rsidRPr="00610088" w:rsidRDefault="00702C96" w:rsidP="00DE208E">
      <w:pPr>
        <w:rPr>
          <w:lang w:val="en-GB"/>
        </w:rPr>
      </w:pPr>
    </w:p>
    <w:p w14:paraId="7C9A3825" w14:textId="53CDA4FC" w:rsidR="00C57B3E" w:rsidRPr="00610088" w:rsidRDefault="00C57B3E" w:rsidP="00C009EA">
      <w:pPr>
        <w:pStyle w:val="Heading2"/>
        <w:rPr>
          <w:lang w:val="en-GB"/>
        </w:rPr>
      </w:pPr>
      <w:bookmarkStart w:id="110" w:name="_Toc41370570"/>
      <w:r w:rsidRPr="00610088">
        <w:rPr>
          <w:lang w:val="en-GB"/>
        </w:rPr>
        <w:lastRenderedPageBreak/>
        <w:t>SO</w:t>
      </w:r>
      <w:r w:rsidR="00604264" w:rsidRPr="00610088">
        <w:rPr>
          <w:lang w:val="en-GB"/>
        </w:rPr>
        <w:t>6</w:t>
      </w:r>
      <w:r w:rsidRPr="00610088">
        <w:rPr>
          <w:lang w:val="en-GB"/>
        </w:rPr>
        <w:t>: To establish systems for monitoring and evaluation (including research and surveillance) to provide evidence for decision making and to assess effectiveness of promotion, prevention and control measures for NCDs at all levels of the healthcare system</w:t>
      </w:r>
      <w:bookmarkEnd w:id="110"/>
      <w:r w:rsidRPr="00610088">
        <w:rPr>
          <w:lang w:val="en-GB"/>
        </w:rPr>
        <w:t xml:space="preserve"> </w:t>
      </w:r>
    </w:p>
    <w:p w14:paraId="063697CE" w14:textId="77777777" w:rsidR="001B16D1" w:rsidRDefault="001B16D1" w:rsidP="004C2636">
      <w:pPr>
        <w:rPr>
          <w:lang w:val="en-GB"/>
        </w:rPr>
      </w:pPr>
    </w:p>
    <w:p w14:paraId="7C7BA8EF" w14:textId="0FDF57C3" w:rsidR="004C2636" w:rsidRPr="00610088" w:rsidRDefault="00272161" w:rsidP="001B16D1">
      <w:pPr>
        <w:rPr>
          <w:lang w:val="en-GB"/>
        </w:rPr>
      </w:pPr>
      <w:r w:rsidRPr="00610088">
        <w:rPr>
          <w:lang w:val="en-GB"/>
        </w:rPr>
        <w:t>The table below contains the key strategies and broad activities under SO6.</w:t>
      </w:r>
    </w:p>
    <w:p w14:paraId="1CE5388B" w14:textId="77777777" w:rsidR="00272161" w:rsidRPr="00610088" w:rsidRDefault="00272161" w:rsidP="004C2636">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931"/>
        <w:gridCol w:w="1138"/>
        <w:gridCol w:w="1272"/>
        <w:gridCol w:w="1055"/>
      </w:tblGrid>
      <w:tr w:rsidR="004C2636" w:rsidRPr="00610088" w14:paraId="2473319A" w14:textId="77777777" w:rsidTr="00A46540">
        <w:trPr>
          <w:cantSplit/>
          <w:tblHeader/>
        </w:trPr>
        <w:tc>
          <w:tcPr>
            <w:tcW w:w="557" w:type="pct"/>
          </w:tcPr>
          <w:p w14:paraId="1438B2B3" w14:textId="77777777" w:rsidR="004C2636" w:rsidRPr="00610088" w:rsidRDefault="004C2636" w:rsidP="006B30FE">
            <w:pPr>
              <w:rPr>
                <w:b/>
                <w:sz w:val="20"/>
                <w:szCs w:val="20"/>
                <w:lang w:val="en-GB"/>
              </w:rPr>
            </w:pPr>
            <w:r w:rsidRPr="00610088">
              <w:rPr>
                <w:b/>
                <w:sz w:val="20"/>
                <w:szCs w:val="20"/>
                <w:lang w:val="en-GB"/>
              </w:rPr>
              <w:t>Strategy</w:t>
            </w:r>
          </w:p>
        </w:tc>
        <w:tc>
          <w:tcPr>
            <w:tcW w:w="3201" w:type="pct"/>
          </w:tcPr>
          <w:p w14:paraId="5E2C3F84" w14:textId="77777777" w:rsidR="004C2636" w:rsidRPr="00610088" w:rsidRDefault="004C2636" w:rsidP="006B30FE">
            <w:pPr>
              <w:rPr>
                <w:b/>
                <w:sz w:val="20"/>
                <w:szCs w:val="20"/>
                <w:lang w:val="en-GB"/>
              </w:rPr>
            </w:pPr>
            <w:r w:rsidRPr="00610088">
              <w:rPr>
                <w:b/>
                <w:sz w:val="20"/>
                <w:szCs w:val="20"/>
                <w:lang w:val="en-GB"/>
              </w:rPr>
              <w:t xml:space="preserve">Broad activity </w:t>
            </w:r>
          </w:p>
        </w:tc>
        <w:tc>
          <w:tcPr>
            <w:tcW w:w="408" w:type="pct"/>
          </w:tcPr>
          <w:p w14:paraId="628D90A1" w14:textId="77777777" w:rsidR="004C2636" w:rsidRPr="00610088" w:rsidRDefault="004C2636" w:rsidP="006B30FE">
            <w:pPr>
              <w:rPr>
                <w:b/>
                <w:sz w:val="20"/>
                <w:szCs w:val="20"/>
                <w:lang w:val="en-GB"/>
              </w:rPr>
            </w:pPr>
            <w:r w:rsidRPr="00610088">
              <w:rPr>
                <w:b/>
                <w:sz w:val="20"/>
                <w:szCs w:val="20"/>
                <w:lang w:val="en-GB"/>
              </w:rPr>
              <w:t>Short term (1-2 years)</w:t>
            </w:r>
          </w:p>
        </w:tc>
        <w:tc>
          <w:tcPr>
            <w:tcW w:w="456" w:type="pct"/>
          </w:tcPr>
          <w:p w14:paraId="6BF25CFB" w14:textId="77777777" w:rsidR="004C2636" w:rsidRPr="00610088" w:rsidRDefault="004C2636" w:rsidP="006B30FE">
            <w:pPr>
              <w:rPr>
                <w:b/>
                <w:sz w:val="20"/>
                <w:szCs w:val="20"/>
                <w:lang w:val="en-GB"/>
              </w:rPr>
            </w:pPr>
            <w:r w:rsidRPr="00610088">
              <w:rPr>
                <w:b/>
                <w:sz w:val="20"/>
                <w:szCs w:val="20"/>
                <w:lang w:val="en-GB"/>
              </w:rPr>
              <w:t xml:space="preserve">Medium term </w:t>
            </w:r>
          </w:p>
          <w:p w14:paraId="4BE609FC" w14:textId="77777777" w:rsidR="004C2636" w:rsidRPr="00610088" w:rsidRDefault="004C2636" w:rsidP="006B30FE">
            <w:pPr>
              <w:rPr>
                <w:b/>
                <w:sz w:val="20"/>
                <w:szCs w:val="20"/>
                <w:lang w:val="en-GB"/>
              </w:rPr>
            </w:pPr>
            <w:r w:rsidRPr="00610088">
              <w:rPr>
                <w:b/>
                <w:sz w:val="20"/>
                <w:szCs w:val="20"/>
                <w:lang w:val="en-GB"/>
              </w:rPr>
              <w:t>(3-5 years)</w:t>
            </w:r>
          </w:p>
        </w:tc>
        <w:tc>
          <w:tcPr>
            <w:tcW w:w="378" w:type="pct"/>
          </w:tcPr>
          <w:p w14:paraId="5319EBAD" w14:textId="77777777" w:rsidR="004C2636" w:rsidRPr="00610088" w:rsidRDefault="004C2636" w:rsidP="006B30FE">
            <w:pPr>
              <w:rPr>
                <w:b/>
                <w:sz w:val="20"/>
                <w:szCs w:val="20"/>
                <w:lang w:val="en-GB"/>
              </w:rPr>
            </w:pPr>
            <w:r w:rsidRPr="00610088">
              <w:rPr>
                <w:b/>
                <w:sz w:val="20"/>
                <w:szCs w:val="20"/>
                <w:lang w:val="en-GB"/>
              </w:rPr>
              <w:t>Long term (&gt; 5 years)</w:t>
            </w:r>
          </w:p>
        </w:tc>
      </w:tr>
      <w:tr w:rsidR="004C2636" w:rsidRPr="00610088" w14:paraId="1376874B" w14:textId="77777777" w:rsidTr="00A46540">
        <w:tc>
          <w:tcPr>
            <w:tcW w:w="557" w:type="pct"/>
            <w:vMerge w:val="restart"/>
          </w:tcPr>
          <w:p w14:paraId="7766D07A" w14:textId="77777777" w:rsidR="004C2636" w:rsidRPr="00610088" w:rsidRDefault="004C2636" w:rsidP="004C2636">
            <w:pPr>
              <w:rPr>
                <w:sz w:val="20"/>
                <w:szCs w:val="20"/>
                <w:lang w:val="en-GB"/>
              </w:rPr>
            </w:pPr>
            <w:r w:rsidRPr="00610088">
              <w:rPr>
                <w:bCs/>
                <w:sz w:val="20"/>
                <w:szCs w:val="20"/>
                <w:lang w:val="en-GB"/>
              </w:rPr>
              <w:t>Obtain data for action and advocacy</w:t>
            </w:r>
          </w:p>
          <w:p w14:paraId="7242AE0B" w14:textId="77777777" w:rsidR="004C2636" w:rsidRPr="00610088" w:rsidRDefault="004C2636" w:rsidP="004C2636">
            <w:pPr>
              <w:rPr>
                <w:b/>
                <w:sz w:val="20"/>
                <w:szCs w:val="20"/>
                <w:lang w:val="en-GB"/>
              </w:rPr>
            </w:pPr>
          </w:p>
        </w:tc>
        <w:tc>
          <w:tcPr>
            <w:tcW w:w="3201" w:type="pct"/>
          </w:tcPr>
          <w:p w14:paraId="031BD8AE" w14:textId="25595BC1" w:rsidR="004C2636" w:rsidRPr="00610088" w:rsidRDefault="004C2636" w:rsidP="004C2636">
            <w:pPr>
              <w:rPr>
                <w:b/>
                <w:sz w:val="20"/>
                <w:szCs w:val="20"/>
                <w:lang w:val="en-GB"/>
              </w:rPr>
            </w:pPr>
            <w:r w:rsidRPr="00610088">
              <w:rPr>
                <w:bCs/>
                <w:sz w:val="20"/>
                <w:szCs w:val="20"/>
                <w:lang w:val="en-GB"/>
              </w:rPr>
              <w:t xml:space="preserve">Conduct a STEPS survey </w:t>
            </w:r>
          </w:p>
        </w:tc>
        <w:tc>
          <w:tcPr>
            <w:tcW w:w="408" w:type="pct"/>
          </w:tcPr>
          <w:p w14:paraId="5E544847" w14:textId="7021D15A" w:rsidR="004C2636" w:rsidRPr="00610088" w:rsidRDefault="004C2636" w:rsidP="004C2636">
            <w:pPr>
              <w:rPr>
                <w:b/>
                <w:sz w:val="20"/>
                <w:szCs w:val="20"/>
                <w:lang w:val="en-GB"/>
              </w:rPr>
            </w:pPr>
            <w:r w:rsidRPr="00610088">
              <w:rPr>
                <w:bCs/>
                <w:sz w:val="20"/>
                <w:szCs w:val="20"/>
                <w:lang w:val="en-GB"/>
              </w:rPr>
              <w:t>x</w:t>
            </w:r>
          </w:p>
        </w:tc>
        <w:tc>
          <w:tcPr>
            <w:tcW w:w="456" w:type="pct"/>
          </w:tcPr>
          <w:p w14:paraId="6265A70E" w14:textId="77777777" w:rsidR="004C2636" w:rsidRPr="00610088" w:rsidRDefault="004C2636" w:rsidP="004C2636">
            <w:pPr>
              <w:rPr>
                <w:b/>
                <w:sz w:val="20"/>
                <w:szCs w:val="20"/>
                <w:lang w:val="en-GB"/>
              </w:rPr>
            </w:pPr>
          </w:p>
        </w:tc>
        <w:tc>
          <w:tcPr>
            <w:tcW w:w="378" w:type="pct"/>
          </w:tcPr>
          <w:p w14:paraId="70C6BE11" w14:textId="5C696C85" w:rsidR="004C2636" w:rsidRPr="00610088" w:rsidRDefault="004C2636" w:rsidP="004C2636">
            <w:pPr>
              <w:rPr>
                <w:b/>
                <w:sz w:val="20"/>
                <w:szCs w:val="20"/>
                <w:lang w:val="en-GB"/>
              </w:rPr>
            </w:pPr>
            <w:r w:rsidRPr="00610088">
              <w:rPr>
                <w:bCs/>
                <w:sz w:val="20"/>
                <w:szCs w:val="20"/>
                <w:lang w:val="en-GB"/>
              </w:rPr>
              <w:t>x</w:t>
            </w:r>
          </w:p>
        </w:tc>
      </w:tr>
      <w:tr w:rsidR="004C2636" w:rsidRPr="00610088" w14:paraId="6594C836" w14:textId="77777777" w:rsidTr="00A46540">
        <w:tc>
          <w:tcPr>
            <w:tcW w:w="557" w:type="pct"/>
            <w:vMerge/>
          </w:tcPr>
          <w:p w14:paraId="4530F820" w14:textId="77777777" w:rsidR="004C2636" w:rsidRPr="00610088" w:rsidRDefault="004C2636" w:rsidP="004C2636">
            <w:pPr>
              <w:rPr>
                <w:b/>
                <w:sz w:val="20"/>
                <w:szCs w:val="20"/>
                <w:lang w:val="en-GB"/>
              </w:rPr>
            </w:pPr>
          </w:p>
        </w:tc>
        <w:tc>
          <w:tcPr>
            <w:tcW w:w="3201" w:type="pct"/>
          </w:tcPr>
          <w:p w14:paraId="02ABC017" w14:textId="3503A693" w:rsidR="004C2636" w:rsidRPr="00610088" w:rsidRDefault="004C2636" w:rsidP="004C2636">
            <w:pPr>
              <w:rPr>
                <w:b/>
                <w:sz w:val="20"/>
                <w:szCs w:val="20"/>
                <w:lang w:val="en-GB"/>
              </w:rPr>
            </w:pPr>
            <w:r w:rsidRPr="00610088">
              <w:rPr>
                <w:bCs/>
                <w:sz w:val="20"/>
                <w:szCs w:val="20"/>
                <w:lang w:val="en-GB"/>
              </w:rPr>
              <w:t>Advocate to all national surveys to include NCDs R</w:t>
            </w:r>
            <w:r w:rsidR="00F94101">
              <w:rPr>
                <w:bCs/>
                <w:sz w:val="20"/>
                <w:szCs w:val="20"/>
                <w:lang w:val="en-GB"/>
              </w:rPr>
              <w:t>isk Factors</w:t>
            </w:r>
            <w:r w:rsidRPr="00610088">
              <w:rPr>
                <w:bCs/>
                <w:sz w:val="20"/>
                <w:szCs w:val="20"/>
                <w:lang w:val="en-GB"/>
              </w:rPr>
              <w:t xml:space="preserve"> and conditions</w:t>
            </w:r>
          </w:p>
        </w:tc>
        <w:tc>
          <w:tcPr>
            <w:tcW w:w="408" w:type="pct"/>
          </w:tcPr>
          <w:p w14:paraId="11F4EB61" w14:textId="4C07BA60" w:rsidR="004C2636" w:rsidRPr="00610088" w:rsidRDefault="004C2636" w:rsidP="004C2636">
            <w:pPr>
              <w:rPr>
                <w:bCs/>
                <w:sz w:val="20"/>
                <w:szCs w:val="20"/>
                <w:lang w:val="en-GB"/>
              </w:rPr>
            </w:pPr>
            <w:r w:rsidRPr="00610088">
              <w:rPr>
                <w:bCs/>
                <w:sz w:val="20"/>
                <w:szCs w:val="20"/>
                <w:lang w:val="en-GB"/>
              </w:rPr>
              <w:t>x</w:t>
            </w:r>
          </w:p>
        </w:tc>
        <w:tc>
          <w:tcPr>
            <w:tcW w:w="456" w:type="pct"/>
          </w:tcPr>
          <w:p w14:paraId="7BF6A47B" w14:textId="5F85C7F8" w:rsidR="004C2636" w:rsidRPr="00610088" w:rsidRDefault="004C2636" w:rsidP="004C2636">
            <w:pPr>
              <w:rPr>
                <w:bCs/>
                <w:sz w:val="20"/>
                <w:szCs w:val="20"/>
                <w:lang w:val="en-GB"/>
              </w:rPr>
            </w:pPr>
            <w:r w:rsidRPr="00610088">
              <w:rPr>
                <w:bCs/>
                <w:sz w:val="20"/>
                <w:szCs w:val="20"/>
                <w:lang w:val="en-GB"/>
              </w:rPr>
              <w:t>x</w:t>
            </w:r>
          </w:p>
        </w:tc>
        <w:tc>
          <w:tcPr>
            <w:tcW w:w="378" w:type="pct"/>
          </w:tcPr>
          <w:p w14:paraId="4010F506" w14:textId="2A555FCB" w:rsidR="004C2636" w:rsidRPr="00610088" w:rsidRDefault="004C2636" w:rsidP="004C2636">
            <w:pPr>
              <w:rPr>
                <w:bCs/>
                <w:sz w:val="20"/>
                <w:szCs w:val="20"/>
                <w:lang w:val="en-GB"/>
              </w:rPr>
            </w:pPr>
            <w:r w:rsidRPr="00610088">
              <w:rPr>
                <w:bCs/>
                <w:sz w:val="20"/>
                <w:szCs w:val="20"/>
                <w:lang w:val="en-GB"/>
              </w:rPr>
              <w:t>x</w:t>
            </w:r>
          </w:p>
        </w:tc>
      </w:tr>
      <w:tr w:rsidR="004C2636" w:rsidRPr="00610088" w14:paraId="5F8F00B6" w14:textId="77777777" w:rsidTr="00A46540">
        <w:tc>
          <w:tcPr>
            <w:tcW w:w="557" w:type="pct"/>
            <w:vMerge/>
          </w:tcPr>
          <w:p w14:paraId="17D1A213" w14:textId="77777777" w:rsidR="004C2636" w:rsidRPr="00610088" w:rsidRDefault="004C2636" w:rsidP="004C2636">
            <w:pPr>
              <w:rPr>
                <w:b/>
                <w:sz w:val="20"/>
                <w:szCs w:val="20"/>
                <w:lang w:val="en-GB"/>
              </w:rPr>
            </w:pPr>
          </w:p>
        </w:tc>
        <w:tc>
          <w:tcPr>
            <w:tcW w:w="3201" w:type="pct"/>
          </w:tcPr>
          <w:p w14:paraId="6043804D" w14:textId="2848BB66" w:rsidR="004C2636" w:rsidRPr="00610088" w:rsidRDefault="004C2636" w:rsidP="004C2636">
            <w:pPr>
              <w:rPr>
                <w:sz w:val="20"/>
                <w:szCs w:val="20"/>
                <w:lang w:val="en-GB"/>
              </w:rPr>
            </w:pPr>
            <w:r w:rsidRPr="00610088">
              <w:rPr>
                <w:bCs/>
                <w:sz w:val="20"/>
                <w:szCs w:val="20"/>
                <w:lang w:val="en-GB"/>
              </w:rPr>
              <w:t>Improve NCD inclusion in DHIS / HMIS through input on data tool reviews</w:t>
            </w:r>
          </w:p>
        </w:tc>
        <w:tc>
          <w:tcPr>
            <w:tcW w:w="408" w:type="pct"/>
          </w:tcPr>
          <w:p w14:paraId="189DFC2B" w14:textId="094A0AEE" w:rsidR="004C2636" w:rsidRPr="00610088" w:rsidRDefault="004C2636" w:rsidP="004C2636">
            <w:pPr>
              <w:rPr>
                <w:bCs/>
                <w:sz w:val="20"/>
                <w:szCs w:val="20"/>
                <w:lang w:val="en-GB"/>
              </w:rPr>
            </w:pPr>
            <w:r w:rsidRPr="00610088">
              <w:rPr>
                <w:bCs/>
                <w:sz w:val="20"/>
                <w:szCs w:val="20"/>
                <w:lang w:val="en-GB"/>
              </w:rPr>
              <w:t>x</w:t>
            </w:r>
          </w:p>
        </w:tc>
        <w:tc>
          <w:tcPr>
            <w:tcW w:w="456" w:type="pct"/>
          </w:tcPr>
          <w:p w14:paraId="7FDFAA33" w14:textId="7891FBE3" w:rsidR="004C2636" w:rsidRPr="00610088" w:rsidRDefault="004C2636" w:rsidP="004C2636">
            <w:pPr>
              <w:rPr>
                <w:bCs/>
                <w:sz w:val="20"/>
                <w:szCs w:val="20"/>
                <w:lang w:val="en-GB"/>
              </w:rPr>
            </w:pPr>
            <w:r w:rsidRPr="00610088">
              <w:rPr>
                <w:bCs/>
                <w:sz w:val="20"/>
                <w:szCs w:val="20"/>
                <w:lang w:val="en-GB"/>
              </w:rPr>
              <w:t>x</w:t>
            </w:r>
          </w:p>
        </w:tc>
        <w:tc>
          <w:tcPr>
            <w:tcW w:w="378" w:type="pct"/>
          </w:tcPr>
          <w:p w14:paraId="429169A7" w14:textId="137932D9" w:rsidR="004C2636" w:rsidRPr="00610088" w:rsidRDefault="004C2636" w:rsidP="004C2636">
            <w:pPr>
              <w:rPr>
                <w:bCs/>
                <w:sz w:val="20"/>
                <w:szCs w:val="20"/>
                <w:lang w:val="en-GB"/>
              </w:rPr>
            </w:pPr>
            <w:r w:rsidRPr="00610088">
              <w:rPr>
                <w:bCs/>
                <w:sz w:val="20"/>
                <w:szCs w:val="20"/>
                <w:lang w:val="en-GB"/>
              </w:rPr>
              <w:t>x</w:t>
            </w:r>
          </w:p>
        </w:tc>
      </w:tr>
      <w:tr w:rsidR="004C2636" w:rsidRPr="00610088" w14:paraId="649E280E" w14:textId="77777777" w:rsidTr="00A46540">
        <w:tc>
          <w:tcPr>
            <w:tcW w:w="557" w:type="pct"/>
            <w:vMerge/>
          </w:tcPr>
          <w:p w14:paraId="0C1B262E" w14:textId="77777777" w:rsidR="004C2636" w:rsidRPr="00610088" w:rsidRDefault="004C2636" w:rsidP="004C2636">
            <w:pPr>
              <w:rPr>
                <w:b/>
                <w:sz w:val="20"/>
                <w:szCs w:val="20"/>
                <w:lang w:val="en-GB"/>
              </w:rPr>
            </w:pPr>
          </w:p>
        </w:tc>
        <w:tc>
          <w:tcPr>
            <w:tcW w:w="3201" w:type="pct"/>
          </w:tcPr>
          <w:p w14:paraId="089460F2" w14:textId="2BA05A38" w:rsidR="004C2636" w:rsidRPr="00610088" w:rsidRDefault="004C2636" w:rsidP="004C2636">
            <w:pPr>
              <w:rPr>
                <w:b/>
                <w:sz w:val="20"/>
                <w:szCs w:val="20"/>
                <w:lang w:val="en-GB"/>
              </w:rPr>
            </w:pPr>
            <w:r w:rsidRPr="00610088">
              <w:rPr>
                <w:bCs/>
                <w:sz w:val="20"/>
                <w:szCs w:val="20"/>
                <w:lang w:val="en-GB"/>
              </w:rPr>
              <w:t>Quarterly extraction and analysis of NCD data from DHIS</w:t>
            </w:r>
          </w:p>
        </w:tc>
        <w:tc>
          <w:tcPr>
            <w:tcW w:w="408" w:type="pct"/>
          </w:tcPr>
          <w:p w14:paraId="3F57DA2A" w14:textId="41B1D057" w:rsidR="004C2636" w:rsidRPr="00610088" w:rsidRDefault="004C2636" w:rsidP="004C2636">
            <w:pPr>
              <w:rPr>
                <w:bCs/>
                <w:sz w:val="20"/>
                <w:szCs w:val="20"/>
                <w:lang w:val="en-GB"/>
              </w:rPr>
            </w:pPr>
            <w:r w:rsidRPr="00610088">
              <w:rPr>
                <w:bCs/>
                <w:sz w:val="20"/>
                <w:szCs w:val="20"/>
                <w:lang w:val="en-GB"/>
              </w:rPr>
              <w:t>x</w:t>
            </w:r>
          </w:p>
        </w:tc>
        <w:tc>
          <w:tcPr>
            <w:tcW w:w="456" w:type="pct"/>
          </w:tcPr>
          <w:p w14:paraId="28594437" w14:textId="5D9263B5" w:rsidR="004C2636" w:rsidRPr="00610088" w:rsidRDefault="004C2636" w:rsidP="004C2636">
            <w:pPr>
              <w:rPr>
                <w:bCs/>
                <w:sz w:val="20"/>
                <w:szCs w:val="20"/>
                <w:lang w:val="en-GB"/>
              </w:rPr>
            </w:pPr>
            <w:r w:rsidRPr="00610088">
              <w:rPr>
                <w:bCs/>
                <w:sz w:val="20"/>
                <w:szCs w:val="20"/>
                <w:lang w:val="en-GB"/>
              </w:rPr>
              <w:t>x</w:t>
            </w:r>
          </w:p>
        </w:tc>
        <w:tc>
          <w:tcPr>
            <w:tcW w:w="378" w:type="pct"/>
          </w:tcPr>
          <w:p w14:paraId="039ACC59" w14:textId="5408093E" w:rsidR="004C2636" w:rsidRPr="00610088" w:rsidRDefault="004C2636" w:rsidP="004C2636">
            <w:pPr>
              <w:rPr>
                <w:bCs/>
                <w:sz w:val="20"/>
                <w:szCs w:val="20"/>
                <w:lang w:val="en-GB"/>
              </w:rPr>
            </w:pPr>
            <w:r w:rsidRPr="00610088">
              <w:rPr>
                <w:bCs/>
                <w:sz w:val="20"/>
                <w:szCs w:val="20"/>
                <w:lang w:val="en-GB"/>
              </w:rPr>
              <w:t>x</w:t>
            </w:r>
          </w:p>
        </w:tc>
      </w:tr>
      <w:tr w:rsidR="004C2636" w:rsidRPr="00610088" w14:paraId="02F66E19" w14:textId="77777777" w:rsidTr="00A46540">
        <w:tc>
          <w:tcPr>
            <w:tcW w:w="557" w:type="pct"/>
            <w:vMerge/>
          </w:tcPr>
          <w:p w14:paraId="227383FE" w14:textId="77777777" w:rsidR="004C2636" w:rsidRPr="00610088" w:rsidRDefault="004C2636" w:rsidP="004C2636">
            <w:pPr>
              <w:rPr>
                <w:b/>
                <w:sz w:val="20"/>
                <w:szCs w:val="20"/>
                <w:lang w:val="en-GB"/>
              </w:rPr>
            </w:pPr>
          </w:p>
        </w:tc>
        <w:tc>
          <w:tcPr>
            <w:tcW w:w="3201" w:type="pct"/>
          </w:tcPr>
          <w:p w14:paraId="449B781F" w14:textId="53577E57" w:rsidR="004C2636" w:rsidRPr="00610088" w:rsidRDefault="004C2636" w:rsidP="004C2636">
            <w:pPr>
              <w:rPr>
                <w:b/>
                <w:sz w:val="20"/>
                <w:szCs w:val="20"/>
                <w:lang w:val="en-GB"/>
              </w:rPr>
            </w:pPr>
            <w:r w:rsidRPr="00610088">
              <w:rPr>
                <w:bCs/>
                <w:sz w:val="20"/>
                <w:szCs w:val="20"/>
                <w:lang w:val="en-GB"/>
              </w:rPr>
              <w:t xml:space="preserve">Publication of NCD newsletters and reports </w:t>
            </w:r>
          </w:p>
        </w:tc>
        <w:tc>
          <w:tcPr>
            <w:tcW w:w="408" w:type="pct"/>
          </w:tcPr>
          <w:p w14:paraId="1B5C16BB" w14:textId="5E96C23F" w:rsidR="004C2636" w:rsidRPr="00610088" w:rsidRDefault="004C2636" w:rsidP="004C2636">
            <w:pPr>
              <w:rPr>
                <w:bCs/>
                <w:sz w:val="20"/>
                <w:szCs w:val="20"/>
                <w:lang w:val="en-GB"/>
              </w:rPr>
            </w:pPr>
            <w:r w:rsidRPr="00610088">
              <w:rPr>
                <w:bCs/>
                <w:sz w:val="20"/>
                <w:szCs w:val="20"/>
                <w:lang w:val="en-GB"/>
              </w:rPr>
              <w:t>x</w:t>
            </w:r>
          </w:p>
        </w:tc>
        <w:tc>
          <w:tcPr>
            <w:tcW w:w="456" w:type="pct"/>
          </w:tcPr>
          <w:p w14:paraId="36E0B2C4" w14:textId="58A6C147" w:rsidR="004C2636" w:rsidRPr="00610088" w:rsidRDefault="004C2636" w:rsidP="004C2636">
            <w:pPr>
              <w:rPr>
                <w:bCs/>
                <w:sz w:val="20"/>
                <w:szCs w:val="20"/>
                <w:lang w:val="en-GB"/>
              </w:rPr>
            </w:pPr>
            <w:r w:rsidRPr="00610088">
              <w:rPr>
                <w:bCs/>
                <w:sz w:val="20"/>
                <w:szCs w:val="20"/>
                <w:lang w:val="en-GB"/>
              </w:rPr>
              <w:t>x</w:t>
            </w:r>
          </w:p>
        </w:tc>
        <w:tc>
          <w:tcPr>
            <w:tcW w:w="378" w:type="pct"/>
          </w:tcPr>
          <w:p w14:paraId="6536D0D5" w14:textId="1051AB32" w:rsidR="004C2636" w:rsidRPr="00610088" w:rsidRDefault="004C2636" w:rsidP="004C2636">
            <w:pPr>
              <w:rPr>
                <w:bCs/>
                <w:sz w:val="20"/>
                <w:szCs w:val="20"/>
                <w:lang w:val="en-GB"/>
              </w:rPr>
            </w:pPr>
            <w:r w:rsidRPr="00610088">
              <w:rPr>
                <w:bCs/>
                <w:sz w:val="20"/>
                <w:szCs w:val="20"/>
                <w:lang w:val="en-GB"/>
              </w:rPr>
              <w:t>x</w:t>
            </w:r>
          </w:p>
        </w:tc>
      </w:tr>
      <w:tr w:rsidR="004C2636" w:rsidRPr="00610088" w14:paraId="14A9FBFD" w14:textId="77777777" w:rsidTr="00A46540">
        <w:tc>
          <w:tcPr>
            <w:tcW w:w="557" w:type="pct"/>
            <w:vMerge w:val="restart"/>
          </w:tcPr>
          <w:p w14:paraId="42EA6C14" w14:textId="4A343E12" w:rsidR="004C2636" w:rsidRPr="00610088" w:rsidRDefault="004C2636" w:rsidP="004C2636">
            <w:pPr>
              <w:rPr>
                <w:b/>
                <w:sz w:val="20"/>
                <w:szCs w:val="20"/>
                <w:lang w:val="en-GB"/>
              </w:rPr>
            </w:pPr>
            <w:r w:rsidRPr="00610088">
              <w:rPr>
                <w:bCs/>
                <w:sz w:val="20"/>
                <w:szCs w:val="20"/>
                <w:lang w:val="en-GB"/>
              </w:rPr>
              <w:t>Establish M&amp;E system including surveillance</w:t>
            </w:r>
          </w:p>
        </w:tc>
        <w:tc>
          <w:tcPr>
            <w:tcW w:w="3201" w:type="pct"/>
          </w:tcPr>
          <w:p w14:paraId="3641218C" w14:textId="1E26E0CF" w:rsidR="004C2636" w:rsidRPr="00610088" w:rsidRDefault="004C2636" w:rsidP="004C2636">
            <w:pPr>
              <w:rPr>
                <w:b/>
                <w:sz w:val="20"/>
                <w:szCs w:val="20"/>
                <w:lang w:val="en-GB"/>
              </w:rPr>
            </w:pPr>
            <w:r w:rsidRPr="00610088">
              <w:rPr>
                <w:bCs/>
                <w:sz w:val="20"/>
                <w:szCs w:val="20"/>
                <w:lang w:val="en-GB"/>
              </w:rPr>
              <w:t xml:space="preserve">Develop, implement and regularly </w:t>
            </w:r>
            <w:r w:rsidR="00C009EA" w:rsidRPr="00610088">
              <w:rPr>
                <w:bCs/>
                <w:sz w:val="20"/>
                <w:szCs w:val="20"/>
                <w:lang w:val="en-GB"/>
              </w:rPr>
              <w:t xml:space="preserve">review </w:t>
            </w:r>
            <w:r w:rsidRPr="00610088">
              <w:rPr>
                <w:bCs/>
                <w:sz w:val="20"/>
                <w:szCs w:val="20"/>
                <w:lang w:val="en-GB"/>
              </w:rPr>
              <w:t>NCD M&amp;E and Surveillance Framework</w:t>
            </w:r>
          </w:p>
        </w:tc>
        <w:tc>
          <w:tcPr>
            <w:tcW w:w="408" w:type="pct"/>
          </w:tcPr>
          <w:p w14:paraId="7BB0C003" w14:textId="60FFF674" w:rsidR="004C2636" w:rsidRPr="00610088" w:rsidRDefault="004C2636" w:rsidP="004C2636">
            <w:pPr>
              <w:rPr>
                <w:bCs/>
                <w:sz w:val="20"/>
                <w:szCs w:val="20"/>
                <w:lang w:val="en-GB"/>
              </w:rPr>
            </w:pPr>
            <w:r w:rsidRPr="00610088">
              <w:rPr>
                <w:bCs/>
                <w:sz w:val="20"/>
                <w:szCs w:val="20"/>
                <w:lang w:val="en-GB"/>
              </w:rPr>
              <w:t>x</w:t>
            </w:r>
          </w:p>
        </w:tc>
        <w:tc>
          <w:tcPr>
            <w:tcW w:w="456" w:type="pct"/>
          </w:tcPr>
          <w:p w14:paraId="46C33038" w14:textId="3AEE5D56" w:rsidR="004C2636" w:rsidRPr="00610088" w:rsidRDefault="004C2636" w:rsidP="004C2636">
            <w:pPr>
              <w:rPr>
                <w:bCs/>
                <w:sz w:val="20"/>
                <w:szCs w:val="20"/>
                <w:lang w:val="en-GB"/>
              </w:rPr>
            </w:pPr>
          </w:p>
        </w:tc>
        <w:tc>
          <w:tcPr>
            <w:tcW w:w="378" w:type="pct"/>
          </w:tcPr>
          <w:p w14:paraId="491DBB5F" w14:textId="569EB2B4" w:rsidR="004C2636" w:rsidRPr="00610088" w:rsidRDefault="004C2636" w:rsidP="004C2636">
            <w:pPr>
              <w:rPr>
                <w:bCs/>
                <w:sz w:val="20"/>
                <w:szCs w:val="20"/>
                <w:lang w:val="en-GB"/>
              </w:rPr>
            </w:pPr>
            <w:r w:rsidRPr="00610088">
              <w:rPr>
                <w:bCs/>
                <w:sz w:val="20"/>
                <w:szCs w:val="20"/>
                <w:lang w:val="en-GB"/>
              </w:rPr>
              <w:t>x</w:t>
            </w:r>
          </w:p>
        </w:tc>
      </w:tr>
      <w:tr w:rsidR="004C2636" w:rsidRPr="00610088" w14:paraId="0636A768" w14:textId="77777777" w:rsidTr="00A46540">
        <w:tc>
          <w:tcPr>
            <w:tcW w:w="557" w:type="pct"/>
            <w:vMerge/>
          </w:tcPr>
          <w:p w14:paraId="7734046B" w14:textId="77777777" w:rsidR="004C2636" w:rsidRPr="00610088" w:rsidRDefault="004C2636" w:rsidP="004C2636">
            <w:pPr>
              <w:rPr>
                <w:b/>
                <w:sz w:val="20"/>
                <w:szCs w:val="20"/>
                <w:lang w:val="en-GB"/>
              </w:rPr>
            </w:pPr>
          </w:p>
        </w:tc>
        <w:tc>
          <w:tcPr>
            <w:tcW w:w="3201" w:type="pct"/>
          </w:tcPr>
          <w:p w14:paraId="219A6852" w14:textId="23694D18" w:rsidR="004C2636" w:rsidRPr="00610088" w:rsidRDefault="004C2636" w:rsidP="004C2636">
            <w:pPr>
              <w:rPr>
                <w:b/>
                <w:sz w:val="20"/>
                <w:szCs w:val="20"/>
                <w:lang w:val="en-GB"/>
              </w:rPr>
            </w:pPr>
            <w:r w:rsidRPr="00610088">
              <w:rPr>
                <w:bCs/>
                <w:sz w:val="20"/>
                <w:szCs w:val="20"/>
                <w:lang w:val="en-GB"/>
              </w:rPr>
              <w:t>Annual review meetings to discuss amongst others the epidemiological trends</w:t>
            </w:r>
            <w:r w:rsidR="00814A40" w:rsidRPr="00610088">
              <w:rPr>
                <w:bCs/>
                <w:sz w:val="20"/>
                <w:szCs w:val="20"/>
                <w:lang w:val="en-GB"/>
              </w:rPr>
              <w:t xml:space="preserve"> </w:t>
            </w:r>
            <w:r w:rsidRPr="00610088">
              <w:rPr>
                <w:bCs/>
                <w:sz w:val="20"/>
                <w:szCs w:val="20"/>
                <w:lang w:val="en-GB"/>
              </w:rPr>
              <w:t>of NCDs and their determinants</w:t>
            </w:r>
            <w:r w:rsidR="00814A40" w:rsidRPr="00610088">
              <w:rPr>
                <w:bCs/>
                <w:sz w:val="20"/>
                <w:szCs w:val="20"/>
                <w:lang w:val="en-GB"/>
              </w:rPr>
              <w:t>, and the impact (health, socioeconomic etc.) of NCDs</w:t>
            </w:r>
          </w:p>
        </w:tc>
        <w:tc>
          <w:tcPr>
            <w:tcW w:w="408" w:type="pct"/>
          </w:tcPr>
          <w:p w14:paraId="3BA0D78C" w14:textId="2D505CA3" w:rsidR="004C2636" w:rsidRPr="00610088" w:rsidRDefault="004C2636" w:rsidP="004C2636">
            <w:pPr>
              <w:rPr>
                <w:bCs/>
                <w:sz w:val="20"/>
                <w:szCs w:val="20"/>
                <w:lang w:val="en-GB"/>
              </w:rPr>
            </w:pPr>
            <w:r w:rsidRPr="00610088">
              <w:rPr>
                <w:bCs/>
                <w:sz w:val="20"/>
                <w:szCs w:val="20"/>
                <w:lang w:val="en-GB"/>
              </w:rPr>
              <w:t>x</w:t>
            </w:r>
          </w:p>
        </w:tc>
        <w:tc>
          <w:tcPr>
            <w:tcW w:w="456" w:type="pct"/>
          </w:tcPr>
          <w:p w14:paraId="2479F3D2" w14:textId="7EFE9754" w:rsidR="004C2636" w:rsidRPr="00610088" w:rsidRDefault="004C2636" w:rsidP="004C2636">
            <w:pPr>
              <w:rPr>
                <w:bCs/>
                <w:sz w:val="20"/>
                <w:szCs w:val="20"/>
                <w:lang w:val="en-GB"/>
              </w:rPr>
            </w:pPr>
            <w:r w:rsidRPr="00610088">
              <w:rPr>
                <w:bCs/>
                <w:sz w:val="20"/>
                <w:szCs w:val="20"/>
                <w:lang w:val="en-GB"/>
              </w:rPr>
              <w:t>x</w:t>
            </w:r>
          </w:p>
        </w:tc>
        <w:tc>
          <w:tcPr>
            <w:tcW w:w="378" w:type="pct"/>
          </w:tcPr>
          <w:p w14:paraId="758B9095" w14:textId="0800789D" w:rsidR="004C2636" w:rsidRPr="00610088" w:rsidRDefault="004C2636" w:rsidP="004C2636">
            <w:pPr>
              <w:rPr>
                <w:bCs/>
                <w:sz w:val="20"/>
                <w:szCs w:val="20"/>
                <w:lang w:val="en-GB"/>
              </w:rPr>
            </w:pPr>
            <w:r w:rsidRPr="00610088">
              <w:rPr>
                <w:bCs/>
                <w:sz w:val="20"/>
                <w:szCs w:val="20"/>
                <w:lang w:val="en-GB"/>
              </w:rPr>
              <w:t>x</w:t>
            </w:r>
          </w:p>
        </w:tc>
      </w:tr>
      <w:tr w:rsidR="004C2636" w:rsidRPr="00610088" w14:paraId="7408F553" w14:textId="77777777" w:rsidTr="00A46540">
        <w:tc>
          <w:tcPr>
            <w:tcW w:w="557" w:type="pct"/>
            <w:vMerge/>
          </w:tcPr>
          <w:p w14:paraId="79C0FD3F" w14:textId="77777777" w:rsidR="004C2636" w:rsidRPr="00610088" w:rsidRDefault="004C2636" w:rsidP="004C2636">
            <w:pPr>
              <w:rPr>
                <w:b/>
                <w:sz w:val="20"/>
                <w:szCs w:val="20"/>
                <w:lang w:val="en-GB"/>
              </w:rPr>
            </w:pPr>
          </w:p>
        </w:tc>
        <w:tc>
          <w:tcPr>
            <w:tcW w:w="3201" w:type="pct"/>
          </w:tcPr>
          <w:p w14:paraId="7BC04A20" w14:textId="4F81D787" w:rsidR="004C2636" w:rsidRPr="00610088" w:rsidRDefault="004C2636" w:rsidP="004C2636">
            <w:pPr>
              <w:rPr>
                <w:bCs/>
                <w:sz w:val="20"/>
                <w:szCs w:val="20"/>
                <w:lang w:val="en-GB"/>
              </w:rPr>
            </w:pPr>
            <w:r w:rsidRPr="00610088">
              <w:rPr>
                <w:bCs/>
                <w:sz w:val="20"/>
                <w:szCs w:val="20"/>
                <w:lang w:val="en-GB"/>
              </w:rPr>
              <w:t>Pro</w:t>
            </w:r>
            <w:r w:rsidR="00BC49DC" w:rsidRPr="00610088">
              <w:rPr>
                <w:bCs/>
                <w:sz w:val="20"/>
                <w:szCs w:val="20"/>
                <w:lang w:val="en-GB"/>
              </w:rPr>
              <w:t xml:space="preserve">vision of adequate logistics for M&amp;E (vehicles for Directorate, motorbikes for NCD district focal persons etc.) </w:t>
            </w:r>
          </w:p>
        </w:tc>
        <w:tc>
          <w:tcPr>
            <w:tcW w:w="408" w:type="pct"/>
          </w:tcPr>
          <w:p w14:paraId="1AE8B1BA" w14:textId="593541F7" w:rsidR="004C2636" w:rsidRPr="00610088" w:rsidRDefault="004C2636" w:rsidP="004C2636">
            <w:pPr>
              <w:rPr>
                <w:bCs/>
                <w:sz w:val="20"/>
                <w:szCs w:val="20"/>
                <w:lang w:val="en-GB"/>
              </w:rPr>
            </w:pPr>
            <w:r w:rsidRPr="00610088">
              <w:rPr>
                <w:bCs/>
                <w:sz w:val="20"/>
                <w:szCs w:val="20"/>
                <w:lang w:val="en-GB"/>
              </w:rPr>
              <w:t>x</w:t>
            </w:r>
          </w:p>
        </w:tc>
        <w:tc>
          <w:tcPr>
            <w:tcW w:w="456" w:type="pct"/>
          </w:tcPr>
          <w:p w14:paraId="6BF6E909" w14:textId="77777777" w:rsidR="004C2636" w:rsidRPr="00610088" w:rsidRDefault="004C2636" w:rsidP="004C2636">
            <w:pPr>
              <w:rPr>
                <w:bCs/>
                <w:sz w:val="20"/>
                <w:szCs w:val="20"/>
                <w:lang w:val="en-GB"/>
              </w:rPr>
            </w:pPr>
          </w:p>
        </w:tc>
        <w:tc>
          <w:tcPr>
            <w:tcW w:w="378" w:type="pct"/>
          </w:tcPr>
          <w:p w14:paraId="7A56EE82" w14:textId="77777777" w:rsidR="004C2636" w:rsidRPr="00610088" w:rsidRDefault="004C2636" w:rsidP="004C2636">
            <w:pPr>
              <w:rPr>
                <w:bCs/>
                <w:sz w:val="20"/>
                <w:szCs w:val="20"/>
                <w:lang w:val="en-GB"/>
              </w:rPr>
            </w:pPr>
          </w:p>
        </w:tc>
      </w:tr>
      <w:tr w:rsidR="004C2636" w:rsidRPr="00610088" w14:paraId="2A401E4C" w14:textId="77777777" w:rsidTr="00A46540">
        <w:tc>
          <w:tcPr>
            <w:tcW w:w="557" w:type="pct"/>
            <w:vMerge/>
          </w:tcPr>
          <w:p w14:paraId="16B853FC" w14:textId="77777777" w:rsidR="004C2636" w:rsidRPr="00610088" w:rsidRDefault="004C2636" w:rsidP="004C2636">
            <w:pPr>
              <w:rPr>
                <w:b/>
                <w:sz w:val="20"/>
                <w:szCs w:val="20"/>
                <w:lang w:val="en-GB"/>
              </w:rPr>
            </w:pPr>
          </w:p>
        </w:tc>
        <w:tc>
          <w:tcPr>
            <w:tcW w:w="3201" w:type="pct"/>
          </w:tcPr>
          <w:p w14:paraId="387AB480" w14:textId="4F4CEAF0" w:rsidR="004C2636" w:rsidRPr="00610088" w:rsidRDefault="004C2636" w:rsidP="004C2636">
            <w:pPr>
              <w:rPr>
                <w:b/>
                <w:sz w:val="20"/>
                <w:szCs w:val="20"/>
                <w:lang w:val="en-GB"/>
              </w:rPr>
            </w:pPr>
            <w:r w:rsidRPr="00610088">
              <w:rPr>
                <w:bCs/>
                <w:sz w:val="20"/>
                <w:szCs w:val="20"/>
                <w:lang w:val="en-GB"/>
              </w:rPr>
              <w:t>Integrate as much as possible into / with existing structures, for example at DPPI (HMIS, DHIS, I</w:t>
            </w:r>
            <w:r w:rsidR="00F94101">
              <w:rPr>
                <w:bCs/>
                <w:sz w:val="20"/>
                <w:szCs w:val="20"/>
                <w:lang w:val="en-GB"/>
              </w:rPr>
              <w:t>C</w:t>
            </w:r>
            <w:r w:rsidRPr="00610088">
              <w:rPr>
                <w:bCs/>
                <w:sz w:val="20"/>
                <w:szCs w:val="20"/>
                <w:lang w:val="en-GB"/>
              </w:rPr>
              <w:t xml:space="preserve">T) </w:t>
            </w:r>
          </w:p>
        </w:tc>
        <w:tc>
          <w:tcPr>
            <w:tcW w:w="408" w:type="pct"/>
          </w:tcPr>
          <w:p w14:paraId="566B770D" w14:textId="29175CD9" w:rsidR="004C2636" w:rsidRPr="00610088" w:rsidRDefault="004C2636" w:rsidP="004C2636">
            <w:pPr>
              <w:rPr>
                <w:bCs/>
                <w:sz w:val="20"/>
                <w:szCs w:val="20"/>
                <w:lang w:val="en-GB"/>
              </w:rPr>
            </w:pPr>
            <w:r w:rsidRPr="00610088">
              <w:rPr>
                <w:bCs/>
                <w:sz w:val="20"/>
                <w:szCs w:val="20"/>
                <w:lang w:val="en-GB"/>
              </w:rPr>
              <w:t>x</w:t>
            </w:r>
          </w:p>
        </w:tc>
        <w:tc>
          <w:tcPr>
            <w:tcW w:w="456" w:type="pct"/>
          </w:tcPr>
          <w:p w14:paraId="73C324C8" w14:textId="5A85F4ED" w:rsidR="004C2636" w:rsidRPr="00610088" w:rsidRDefault="004C2636" w:rsidP="004C2636">
            <w:pPr>
              <w:rPr>
                <w:bCs/>
                <w:sz w:val="20"/>
                <w:szCs w:val="20"/>
                <w:lang w:val="en-GB"/>
              </w:rPr>
            </w:pPr>
            <w:r w:rsidRPr="00610088">
              <w:rPr>
                <w:bCs/>
                <w:sz w:val="20"/>
                <w:szCs w:val="20"/>
                <w:lang w:val="en-GB"/>
              </w:rPr>
              <w:t>x</w:t>
            </w:r>
          </w:p>
        </w:tc>
        <w:tc>
          <w:tcPr>
            <w:tcW w:w="378" w:type="pct"/>
          </w:tcPr>
          <w:p w14:paraId="2066FE8D" w14:textId="2F2BC560" w:rsidR="004C2636" w:rsidRPr="00610088" w:rsidRDefault="004C2636" w:rsidP="004C2636">
            <w:pPr>
              <w:rPr>
                <w:bCs/>
                <w:sz w:val="20"/>
                <w:szCs w:val="20"/>
                <w:lang w:val="en-GB"/>
              </w:rPr>
            </w:pPr>
            <w:r w:rsidRPr="00610088">
              <w:rPr>
                <w:bCs/>
                <w:sz w:val="20"/>
                <w:szCs w:val="20"/>
                <w:lang w:val="en-GB"/>
              </w:rPr>
              <w:t>x</w:t>
            </w:r>
          </w:p>
        </w:tc>
      </w:tr>
      <w:tr w:rsidR="004C2636" w:rsidRPr="00610088" w14:paraId="6A3CD53B" w14:textId="77777777" w:rsidTr="00A46540">
        <w:tc>
          <w:tcPr>
            <w:tcW w:w="557" w:type="pct"/>
            <w:vMerge/>
          </w:tcPr>
          <w:p w14:paraId="78D7107D" w14:textId="77777777" w:rsidR="004C2636" w:rsidRPr="00610088" w:rsidRDefault="004C2636" w:rsidP="004C2636">
            <w:pPr>
              <w:rPr>
                <w:b/>
                <w:sz w:val="20"/>
                <w:szCs w:val="20"/>
                <w:lang w:val="en-GB"/>
              </w:rPr>
            </w:pPr>
          </w:p>
        </w:tc>
        <w:tc>
          <w:tcPr>
            <w:tcW w:w="3201" w:type="pct"/>
          </w:tcPr>
          <w:p w14:paraId="6DA0852B" w14:textId="0AC56201" w:rsidR="004C2636" w:rsidRPr="00610088" w:rsidRDefault="004C2636" w:rsidP="00C009EA">
            <w:pPr>
              <w:rPr>
                <w:bCs/>
                <w:sz w:val="20"/>
                <w:szCs w:val="20"/>
                <w:lang w:val="en-GB"/>
              </w:rPr>
            </w:pPr>
            <w:r w:rsidRPr="00610088">
              <w:rPr>
                <w:bCs/>
                <w:sz w:val="20"/>
                <w:szCs w:val="20"/>
                <w:lang w:val="en-GB"/>
              </w:rPr>
              <w:t xml:space="preserve">Develop/adapt training modules on NCDs M&amp;E and surveillance. </w:t>
            </w:r>
          </w:p>
        </w:tc>
        <w:tc>
          <w:tcPr>
            <w:tcW w:w="408" w:type="pct"/>
          </w:tcPr>
          <w:p w14:paraId="4221A2E7" w14:textId="77777777" w:rsidR="004C2636" w:rsidRPr="00610088" w:rsidRDefault="004C2636" w:rsidP="004C2636">
            <w:pPr>
              <w:rPr>
                <w:bCs/>
                <w:sz w:val="20"/>
                <w:szCs w:val="20"/>
                <w:lang w:val="en-GB"/>
              </w:rPr>
            </w:pPr>
          </w:p>
        </w:tc>
        <w:tc>
          <w:tcPr>
            <w:tcW w:w="456" w:type="pct"/>
          </w:tcPr>
          <w:p w14:paraId="1F73617F" w14:textId="50F2379D" w:rsidR="004C2636" w:rsidRPr="00610088" w:rsidRDefault="004C2636" w:rsidP="004C2636">
            <w:pPr>
              <w:rPr>
                <w:bCs/>
                <w:sz w:val="20"/>
                <w:szCs w:val="20"/>
                <w:lang w:val="en-GB"/>
              </w:rPr>
            </w:pPr>
            <w:r w:rsidRPr="00610088">
              <w:rPr>
                <w:bCs/>
                <w:sz w:val="20"/>
                <w:szCs w:val="20"/>
                <w:lang w:val="en-GB"/>
              </w:rPr>
              <w:t>x</w:t>
            </w:r>
          </w:p>
        </w:tc>
        <w:tc>
          <w:tcPr>
            <w:tcW w:w="378" w:type="pct"/>
          </w:tcPr>
          <w:p w14:paraId="286FF5FE" w14:textId="47259548" w:rsidR="004C2636" w:rsidRPr="00610088" w:rsidRDefault="004C2636" w:rsidP="004C2636">
            <w:pPr>
              <w:rPr>
                <w:bCs/>
                <w:sz w:val="20"/>
                <w:szCs w:val="20"/>
                <w:lang w:val="en-GB"/>
              </w:rPr>
            </w:pPr>
            <w:r w:rsidRPr="00610088">
              <w:rPr>
                <w:bCs/>
                <w:sz w:val="20"/>
                <w:szCs w:val="20"/>
                <w:lang w:val="en-GB"/>
              </w:rPr>
              <w:t>x</w:t>
            </w:r>
          </w:p>
        </w:tc>
      </w:tr>
      <w:tr w:rsidR="004C2636" w:rsidRPr="00610088" w14:paraId="69336120" w14:textId="77777777" w:rsidTr="00A46540">
        <w:tc>
          <w:tcPr>
            <w:tcW w:w="557" w:type="pct"/>
            <w:vMerge/>
          </w:tcPr>
          <w:p w14:paraId="3ACD2EF9" w14:textId="77777777" w:rsidR="004C2636" w:rsidRPr="00610088" w:rsidRDefault="004C2636" w:rsidP="004C2636">
            <w:pPr>
              <w:rPr>
                <w:b/>
                <w:sz w:val="20"/>
                <w:szCs w:val="20"/>
                <w:lang w:val="en-GB"/>
              </w:rPr>
            </w:pPr>
          </w:p>
        </w:tc>
        <w:tc>
          <w:tcPr>
            <w:tcW w:w="3201" w:type="pct"/>
          </w:tcPr>
          <w:p w14:paraId="6C8FC791" w14:textId="514D6E98" w:rsidR="004C2636" w:rsidRPr="00610088" w:rsidRDefault="004C2636" w:rsidP="00C009EA">
            <w:pPr>
              <w:rPr>
                <w:bCs/>
                <w:sz w:val="20"/>
                <w:szCs w:val="20"/>
                <w:lang w:val="en-GB"/>
              </w:rPr>
            </w:pPr>
            <w:r w:rsidRPr="00610088">
              <w:rPr>
                <w:bCs/>
                <w:sz w:val="20"/>
                <w:szCs w:val="20"/>
                <w:lang w:val="en-GB"/>
              </w:rPr>
              <w:t xml:space="preserve">Training of health care workers on NCDs M&amp;E and surveillance </w:t>
            </w:r>
          </w:p>
        </w:tc>
        <w:tc>
          <w:tcPr>
            <w:tcW w:w="408" w:type="pct"/>
          </w:tcPr>
          <w:p w14:paraId="62E7FFF5" w14:textId="77777777" w:rsidR="004C2636" w:rsidRPr="00610088" w:rsidRDefault="004C2636" w:rsidP="004C2636">
            <w:pPr>
              <w:rPr>
                <w:bCs/>
                <w:sz w:val="20"/>
                <w:szCs w:val="20"/>
                <w:lang w:val="en-GB"/>
              </w:rPr>
            </w:pPr>
          </w:p>
        </w:tc>
        <w:tc>
          <w:tcPr>
            <w:tcW w:w="456" w:type="pct"/>
          </w:tcPr>
          <w:p w14:paraId="795344A0" w14:textId="39A111C7" w:rsidR="004C2636" w:rsidRPr="00610088" w:rsidRDefault="004C2636" w:rsidP="004C2636">
            <w:pPr>
              <w:rPr>
                <w:bCs/>
                <w:sz w:val="20"/>
                <w:szCs w:val="20"/>
                <w:lang w:val="en-GB"/>
              </w:rPr>
            </w:pPr>
            <w:r w:rsidRPr="00610088">
              <w:rPr>
                <w:bCs/>
                <w:sz w:val="20"/>
                <w:szCs w:val="20"/>
                <w:lang w:val="en-GB"/>
              </w:rPr>
              <w:t>x</w:t>
            </w:r>
          </w:p>
        </w:tc>
        <w:tc>
          <w:tcPr>
            <w:tcW w:w="378" w:type="pct"/>
          </w:tcPr>
          <w:p w14:paraId="0A7C9A2D" w14:textId="26154AEC" w:rsidR="004C2636" w:rsidRPr="00610088" w:rsidRDefault="004C2636" w:rsidP="004C2636">
            <w:pPr>
              <w:rPr>
                <w:bCs/>
                <w:sz w:val="20"/>
                <w:szCs w:val="20"/>
                <w:lang w:val="en-GB"/>
              </w:rPr>
            </w:pPr>
            <w:r w:rsidRPr="00610088">
              <w:rPr>
                <w:bCs/>
                <w:sz w:val="20"/>
                <w:szCs w:val="20"/>
                <w:lang w:val="en-GB"/>
              </w:rPr>
              <w:t>x</w:t>
            </w:r>
          </w:p>
        </w:tc>
      </w:tr>
      <w:tr w:rsidR="004C2636" w:rsidRPr="00610088" w14:paraId="7DEFB47A" w14:textId="77777777" w:rsidTr="00A46540">
        <w:tc>
          <w:tcPr>
            <w:tcW w:w="557" w:type="pct"/>
            <w:vMerge w:val="restart"/>
          </w:tcPr>
          <w:p w14:paraId="5472C412" w14:textId="7CA55B1B" w:rsidR="004C2636" w:rsidRPr="00610088" w:rsidRDefault="004C2636" w:rsidP="004C2636">
            <w:pPr>
              <w:rPr>
                <w:b/>
                <w:sz w:val="20"/>
                <w:szCs w:val="20"/>
                <w:lang w:val="en-GB"/>
              </w:rPr>
            </w:pPr>
            <w:r w:rsidRPr="00610088">
              <w:rPr>
                <w:bCs/>
                <w:sz w:val="20"/>
                <w:szCs w:val="20"/>
                <w:lang w:val="en-GB"/>
              </w:rPr>
              <w:t>Support and expand existing cancer registry</w:t>
            </w:r>
          </w:p>
        </w:tc>
        <w:tc>
          <w:tcPr>
            <w:tcW w:w="3201" w:type="pct"/>
          </w:tcPr>
          <w:p w14:paraId="51D8BA9C" w14:textId="766BE6B2" w:rsidR="004C2636" w:rsidRPr="00610088" w:rsidRDefault="004C2636" w:rsidP="00C009EA">
            <w:pPr>
              <w:rPr>
                <w:bCs/>
                <w:sz w:val="20"/>
                <w:szCs w:val="20"/>
                <w:lang w:val="en-GB"/>
              </w:rPr>
            </w:pPr>
            <w:r w:rsidRPr="00610088">
              <w:rPr>
                <w:bCs/>
                <w:sz w:val="20"/>
                <w:szCs w:val="20"/>
                <w:lang w:val="en-GB"/>
              </w:rPr>
              <w:t>Support Freetown cancer registry</w:t>
            </w:r>
          </w:p>
        </w:tc>
        <w:tc>
          <w:tcPr>
            <w:tcW w:w="408" w:type="pct"/>
          </w:tcPr>
          <w:p w14:paraId="027BC4DF" w14:textId="7771F659" w:rsidR="004C2636" w:rsidRPr="00610088" w:rsidRDefault="004C2636" w:rsidP="004C2636">
            <w:pPr>
              <w:rPr>
                <w:bCs/>
                <w:sz w:val="20"/>
                <w:szCs w:val="20"/>
                <w:lang w:val="en-GB"/>
              </w:rPr>
            </w:pPr>
            <w:r w:rsidRPr="00610088">
              <w:rPr>
                <w:bCs/>
                <w:sz w:val="20"/>
                <w:szCs w:val="20"/>
                <w:lang w:val="en-GB"/>
              </w:rPr>
              <w:t>x</w:t>
            </w:r>
          </w:p>
        </w:tc>
        <w:tc>
          <w:tcPr>
            <w:tcW w:w="456" w:type="pct"/>
          </w:tcPr>
          <w:p w14:paraId="613C5C74" w14:textId="50C58692" w:rsidR="004C2636" w:rsidRPr="00610088" w:rsidRDefault="004C2636" w:rsidP="004C2636">
            <w:pPr>
              <w:rPr>
                <w:bCs/>
                <w:sz w:val="20"/>
                <w:szCs w:val="20"/>
                <w:lang w:val="en-GB"/>
              </w:rPr>
            </w:pPr>
            <w:r w:rsidRPr="00610088">
              <w:rPr>
                <w:bCs/>
                <w:sz w:val="20"/>
                <w:szCs w:val="20"/>
                <w:lang w:val="en-GB"/>
              </w:rPr>
              <w:t>x</w:t>
            </w:r>
          </w:p>
        </w:tc>
        <w:tc>
          <w:tcPr>
            <w:tcW w:w="378" w:type="pct"/>
          </w:tcPr>
          <w:p w14:paraId="63B3A5E2" w14:textId="44C85CF7" w:rsidR="004C2636" w:rsidRPr="00610088" w:rsidRDefault="004C2636" w:rsidP="004C2636">
            <w:pPr>
              <w:rPr>
                <w:bCs/>
                <w:sz w:val="20"/>
                <w:szCs w:val="20"/>
                <w:lang w:val="en-GB"/>
              </w:rPr>
            </w:pPr>
            <w:r w:rsidRPr="00610088">
              <w:rPr>
                <w:bCs/>
                <w:sz w:val="20"/>
                <w:szCs w:val="20"/>
                <w:lang w:val="en-GB"/>
              </w:rPr>
              <w:t>x</w:t>
            </w:r>
          </w:p>
        </w:tc>
      </w:tr>
      <w:tr w:rsidR="004C2636" w:rsidRPr="00610088" w14:paraId="755161D6" w14:textId="77777777" w:rsidTr="00A46540">
        <w:tc>
          <w:tcPr>
            <w:tcW w:w="557" w:type="pct"/>
            <w:vMerge/>
          </w:tcPr>
          <w:p w14:paraId="107B3FC6" w14:textId="77777777" w:rsidR="004C2636" w:rsidRPr="00610088" w:rsidRDefault="004C2636" w:rsidP="004C2636">
            <w:pPr>
              <w:rPr>
                <w:b/>
                <w:sz w:val="20"/>
                <w:szCs w:val="20"/>
                <w:lang w:val="en-GB"/>
              </w:rPr>
            </w:pPr>
          </w:p>
        </w:tc>
        <w:tc>
          <w:tcPr>
            <w:tcW w:w="3201" w:type="pct"/>
          </w:tcPr>
          <w:p w14:paraId="634A45B3" w14:textId="06ED0E5E" w:rsidR="004C2636" w:rsidRPr="00610088" w:rsidRDefault="004C2636" w:rsidP="00C009EA">
            <w:pPr>
              <w:rPr>
                <w:bCs/>
                <w:sz w:val="20"/>
                <w:szCs w:val="20"/>
                <w:lang w:val="en-GB"/>
              </w:rPr>
            </w:pPr>
            <w:r w:rsidRPr="00610088">
              <w:rPr>
                <w:bCs/>
                <w:sz w:val="20"/>
                <w:szCs w:val="20"/>
                <w:lang w:val="en-GB"/>
              </w:rPr>
              <w:t xml:space="preserve">Establishment of population-based cancer registry in </w:t>
            </w:r>
            <w:r w:rsidR="00F94101">
              <w:rPr>
                <w:bCs/>
                <w:sz w:val="20"/>
                <w:szCs w:val="20"/>
                <w:lang w:val="en-GB"/>
              </w:rPr>
              <w:t>W</w:t>
            </w:r>
            <w:r w:rsidRPr="00610088">
              <w:rPr>
                <w:bCs/>
                <w:sz w:val="20"/>
                <w:szCs w:val="20"/>
                <w:lang w:val="en-GB"/>
              </w:rPr>
              <w:t xml:space="preserve">estern </w:t>
            </w:r>
            <w:r w:rsidR="00F94101">
              <w:rPr>
                <w:bCs/>
                <w:sz w:val="20"/>
                <w:szCs w:val="20"/>
                <w:lang w:val="en-GB"/>
              </w:rPr>
              <w:t>A</w:t>
            </w:r>
            <w:r w:rsidRPr="00610088">
              <w:rPr>
                <w:bCs/>
                <w:sz w:val="20"/>
                <w:szCs w:val="20"/>
                <w:lang w:val="en-GB"/>
              </w:rPr>
              <w:t>rea and regional headquarter towns</w:t>
            </w:r>
          </w:p>
        </w:tc>
        <w:tc>
          <w:tcPr>
            <w:tcW w:w="408" w:type="pct"/>
          </w:tcPr>
          <w:p w14:paraId="3360DBC4" w14:textId="77777777" w:rsidR="004C2636" w:rsidRPr="00610088" w:rsidRDefault="004C2636" w:rsidP="004C2636">
            <w:pPr>
              <w:rPr>
                <w:b/>
                <w:sz w:val="20"/>
                <w:szCs w:val="20"/>
                <w:lang w:val="en-GB"/>
              </w:rPr>
            </w:pPr>
          </w:p>
        </w:tc>
        <w:tc>
          <w:tcPr>
            <w:tcW w:w="456" w:type="pct"/>
          </w:tcPr>
          <w:p w14:paraId="25DBABB9" w14:textId="7EF30C4C" w:rsidR="004C2636" w:rsidRPr="00610088" w:rsidRDefault="004C2636" w:rsidP="004C2636">
            <w:pPr>
              <w:rPr>
                <w:bCs/>
                <w:sz w:val="20"/>
                <w:szCs w:val="20"/>
                <w:lang w:val="en-GB"/>
              </w:rPr>
            </w:pPr>
            <w:r w:rsidRPr="00610088">
              <w:rPr>
                <w:bCs/>
                <w:sz w:val="20"/>
                <w:szCs w:val="20"/>
                <w:lang w:val="en-GB"/>
              </w:rPr>
              <w:t>x</w:t>
            </w:r>
          </w:p>
        </w:tc>
        <w:tc>
          <w:tcPr>
            <w:tcW w:w="378" w:type="pct"/>
          </w:tcPr>
          <w:p w14:paraId="7757908D" w14:textId="4D2BBFE3" w:rsidR="004C2636" w:rsidRPr="00610088" w:rsidRDefault="004C2636" w:rsidP="004C2636">
            <w:pPr>
              <w:rPr>
                <w:bCs/>
                <w:sz w:val="20"/>
                <w:szCs w:val="20"/>
                <w:lang w:val="en-GB"/>
              </w:rPr>
            </w:pPr>
            <w:r w:rsidRPr="00610088">
              <w:rPr>
                <w:bCs/>
                <w:sz w:val="20"/>
                <w:szCs w:val="20"/>
                <w:lang w:val="en-GB"/>
              </w:rPr>
              <w:t>x</w:t>
            </w:r>
          </w:p>
        </w:tc>
      </w:tr>
      <w:tr w:rsidR="004C2636" w:rsidRPr="00610088" w14:paraId="0B679299" w14:textId="77777777" w:rsidTr="00A46540">
        <w:tc>
          <w:tcPr>
            <w:tcW w:w="557" w:type="pct"/>
            <w:vMerge/>
          </w:tcPr>
          <w:p w14:paraId="64BBA609" w14:textId="77777777" w:rsidR="004C2636" w:rsidRPr="00610088" w:rsidRDefault="004C2636" w:rsidP="004C2636">
            <w:pPr>
              <w:rPr>
                <w:b/>
                <w:sz w:val="20"/>
                <w:szCs w:val="20"/>
                <w:lang w:val="en-GB"/>
              </w:rPr>
            </w:pPr>
          </w:p>
        </w:tc>
        <w:tc>
          <w:tcPr>
            <w:tcW w:w="3201" w:type="pct"/>
          </w:tcPr>
          <w:p w14:paraId="0DDDA168" w14:textId="4B9245BD" w:rsidR="004C2636" w:rsidRPr="00610088" w:rsidRDefault="004C2636" w:rsidP="00C009EA">
            <w:pPr>
              <w:rPr>
                <w:bCs/>
                <w:sz w:val="20"/>
                <w:szCs w:val="20"/>
                <w:lang w:val="en-GB"/>
              </w:rPr>
            </w:pPr>
            <w:r w:rsidRPr="00610088">
              <w:rPr>
                <w:bCs/>
                <w:sz w:val="20"/>
                <w:szCs w:val="20"/>
                <w:lang w:val="en-GB"/>
              </w:rPr>
              <w:t>Advocate for inclusion of cancer registry in DHIS</w:t>
            </w:r>
            <w:r w:rsidR="00FF73E0" w:rsidRPr="00610088">
              <w:rPr>
                <w:bCs/>
                <w:sz w:val="20"/>
                <w:szCs w:val="20"/>
                <w:lang w:val="en-GB"/>
              </w:rPr>
              <w:t xml:space="preserve"> 2.0</w:t>
            </w:r>
          </w:p>
        </w:tc>
        <w:tc>
          <w:tcPr>
            <w:tcW w:w="408" w:type="pct"/>
          </w:tcPr>
          <w:p w14:paraId="0A85C91C" w14:textId="77777777" w:rsidR="004C2636" w:rsidRPr="00610088" w:rsidRDefault="004C2636" w:rsidP="004C2636">
            <w:pPr>
              <w:rPr>
                <w:b/>
                <w:sz w:val="20"/>
                <w:szCs w:val="20"/>
                <w:lang w:val="en-GB"/>
              </w:rPr>
            </w:pPr>
          </w:p>
        </w:tc>
        <w:tc>
          <w:tcPr>
            <w:tcW w:w="456" w:type="pct"/>
          </w:tcPr>
          <w:p w14:paraId="4980DEBC" w14:textId="226D401B" w:rsidR="004C2636" w:rsidRPr="00610088" w:rsidRDefault="004C2636" w:rsidP="004C2636">
            <w:pPr>
              <w:rPr>
                <w:bCs/>
                <w:sz w:val="20"/>
                <w:szCs w:val="20"/>
                <w:lang w:val="en-GB"/>
              </w:rPr>
            </w:pPr>
            <w:r w:rsidRPr="00610088">
              <w:rPr>
                <w:bCs/>
                <w:sz w:val="20"/>
                <w:szCs w:val="20"/>
                <w:lang w:val="en-GB"/>
              </w:rPr>
              <w:t>x</w:t>
            </w:r>
          </w:p>
        </w:tc>
        <w:tc>
          <w:tcPr>
            <w:tcW w:w="378" w:type="pct"/>
          </w:tcPr>
          <w:p w14:paraId="6FEDA889" w14:textId="54412113" w:rsidR="004C2636" w:rsidRPr="00610088" w:rsidRDefault="004C2636" w:rsidP="004C2636">
            <w:pPr>
              <w:rPr>
                <w:bCs/>
                <w:sz w:val="20"/>
                <w:szCs w:val="20"/>
                <w:lang w:val="en-GB"/>
              </w:rPr>
            </w:pPr>
            <w:r w:rsidRPr="00610088">
              <w:rPr>
                <w:bCs/>
                <w:sz w:val="20"/>
                <w:szCs w:val="20"/>
                <w:lang w:val="en-GB"/>
              </w:rPr>
              <w:t>x</w:t>
            </w:r>
          </w:p>
        </w:tc>
      </w:tr>
      <w:tr w:rsidR="004C2636" w:rsidRPr="00610088" w14:paraId="0AEA32C9" w14:textId="77777777" w:rsidTr="00A46540">
        <w:tc>
          <w:tcPr>
            <w:tcW w:w="557" w:type="pct"/>
            <w:vMerge w:val="restart"/>
          </w:tcPr>
          <w:p w14:paraId="1F6FB0C1" w14:textId="33119293" w:rsidR="004C2636" w:rsidRPr="00610088" w:rsidRDefault="004C2636" w:rsidP="004C2636">
            <w:pPr>
              <w:rPr>
                <w:b/>
                <w:sz w:val="20"/>
                <w:szCs w:val="20"/>
                <w:lang w:val="en-GB"/>
              </w:rPr>
            </w:pPr>
            <w:r w:rsidRPr="00610088">
              <w:rPr>
                <w:bCs/>
                <w:sz w:val="20"/>
                <w:szCs w:val="20"/>
                <w:lang w:val="en-GB"/>
              </w:rPr>
              <w:t>Establish NCD Research system</w:t>
            </w:r>
          </w:p>
        </w:tc>
        <w:tc>
          <w:tcPr>
            <w:tcW w:w="3201" w:type="pct"/>
          </w:tcPr>
          <w:p w14:paraId="1ADCA64B" w14:textId="1EC65B2B" w:rsidR="004C2636" w:rsidRPr="00610088" w:rsidRDefault="004C2636" w:rsidP="0078798B">
            <w:pPr>
              <w:autoSpaceDE w:val="0"/>
              <w:autoSpaceDN w:val="0"/>
              <w:adjustRightInd w:val="0"/>
              <w:rPr>
                <w:rFonts w:ascii="Helvetica" w:hAnsi="Helvetica" w:cs="Helvetica"/>
                <w:sz w:val="20"/>
                <w:szCs w:val="20"/>
                <w:lang w:val="en-GB"/>
              </w:rPr>
            </w:pPr>
            <w:r w:rsidRPr="00610088">
              <w:rPr>
                <w:bCs/>
                <w:sz w:val="20"/>
                <w:szCs w:val="20"/>
                <w:lang w:val="en-GB"/>
              </w:rPr>
              <w:t xml:space="preserve">Advocacy meetings for investment in NCD epidemiological, </w:t>
            </w:r>
            <w:r w:rsidR="00A46540" w:rsidRPr="00610088">
              <w:rPr>
                <w:bCs/>
                <w:sz w:val="20"/>
                <w:szCs w:val="20"/>
                <w:lang w:val="en-GB"/>
              </w:rPr>
              <w:t>behavioural</w:t>
            </w:r>
            <w:r w:rsidRPr="00610088">
              <w:rPr>
                <w:bCs/>
                <w:sz w:val="20"/>
                <w:szCs w:val="20"/>
                <w:lang w:val="en-GB"/>
              </w:rPr>
              <w:t xml:space="preserve"> and health system research</w:t>
            </w:r>
          </w:p>
        </w:tc>
        <w:tc>
          <w:tcPr>
            <w:tcW w:w="408" w:type="pct"/>
          </w:tcPr>
          <w:p w14:paraId="1DE45E58" w14:textId="2395B03B" w:rsidR="004C2636" w:rsidRPr="00610088" w:rsidRDefault="004C2636" w:rsidP="004C2636">
            <w:pPr>
              <w:rPr>
                <w:bCs/>
                <w:sz w:val="20"/>
                <w:szCs w:val="20"/>
                <w:lang w:val="en-GB"/>
              </w:rPr>
            </w:pPr>
            <w:r w:rsidRPr="00610088">
              <w:rPr>
                <w:bCs/>
                <w:sz w:val="20"/>
                <w:szCs w:val="20"/>
                <w:lang w:val="en-GB"/>
              </w:rPr>
              <w:t>x</w:t>
            </w:r>
          </w:p>
        </w:tc>
        <w:tc>
          <w:tcPr>
            <w:tcW w:w="456" w:type="pct"/>
          </w:tcPr>
          <w:p w14:paraId="5D041A4D" w14:textId="40968A6B" w:rsidR="004C2636" w:rsidRPr="00610088" w:rsidRDefault="004C2636" w:rsidP="004C2636">
            <w:pPr>
              <w:rPr>
                <w:bCs/>
                <w:sz w:val="20"/>
                <w:szCs w:val="20"/>
                <w:lang w:val="en-GB"/>
              </w:rPr>
            </w:pPr>
            <w:r w:rsidRPr="00610088">
              <w:rPr>
                <w:bCs/>
                <w:sz w:val="20"/>
                <w:szCs w:val="20"/>
                <w:lang w:val="en-GB"/>
              </w:rPr>
              <w:t>x</w:t>
            </w:r>
          </w:p>
        </w:tc>
        <w:tc>
          <w:tcPr>
            <w:tcW w:w="378" w:type="pct"/>
          </w:tcPr>
          <w:p w14:paraId="0171EEFE" w14:textId="6A49138B" w:rsidR="004C2636" w:rsidRPr="00610088" w:rsidRDefault="004C2636" w:rsidP="004C2636">
            <w:pPr>
              <w:rPr>
                <w:bCs/>
                <w:sz w:val="20"/>
                <w:szCs w:val="20"/>
                <w:lang w:val="en-GB"/>
              </w:rPr>
            </w:pPr>
            <w:r w:rsidRPr="00610088">
              <w:rPr>
                <w:bCs/>
                <w:sz w:val="20"/>
                <w:szCs w:val="20"/>
                <w:lang w:val="en-GB"/>
              </w:rPr>
              <w:t>x</w:t>
            </w:r>
          </w:p>
        </w:tc>
      </w:tr>
      <w:tr w:rsidR="004C2636" w:rsidRPr="00610088" w14:paraId="6C3609D3" w14:textId="77777777" w:rsidTr="00A46540">
        <w:tc>
          <w:tcPr>
            <w:tcW w:w="557" w:type="pct"/>
            <w:vMerge/>
          </w:tcPr>
          <w:p w14:paraId="0DA2B88B" w14:textId="77777777" w:rsidR="004C2636" w:rsidRPr="00610088" w:rsidRDefault="004C2636" w:rsidP="004C2636">
            <w:pPr>
              <w:rPr>
                <w:b/>
                <w:sz w:val="20"/>
                <w:szCs w:val="20"/>
                <w:lang w:val="en-GB"/>
              </w:rPr>
            </w:pPr>
          </w:p>
        </w:tc>
        <w:tc>
          <w:tcPr>
            <w:tcW w:w="3201" w:type="pct"/>
          </w:tcPr>
          <w:p w14:paraId="368E74A7" w14:textId="138BC07D" w:rsidR="004C2636" w:rsidRPr="00610088" w:rsidRDefault="004C2636" w:rsidP="0078798B">
            <w:pPr>
              <w:autoSpaceDE w:val="0"/>
              <w:autoSpaceDN w:val="0"/>
              <w:adjustRightInd w:val="0"/>
              <w:rPr>
                <w:rFonts w:ascii="Helvetica" w:hAnsi="Helvetica" w:cs="Helvetica"/>
                <w:sz w:val="20"/>
                <w:szCs w:val="20"/>
                <w:lang w:val="en-GB"/>
              </w:rPr>
            </w:pPr>
            <w:r w:rsidRPr="00610088">
              <w:rPr>
                <w:bCs/>
                <w:sz w:val="20"/>
                <w:szCs w:val="20"/>
                <w:lang w:val="en-GB"/>
              </w:rPr>
              <w:t xml:space="preserve">Develop jointly with partners such as academic &amp; research institutions a shared agenda for NCD research based on national priorities </w:t>
            </w:r>
          </w:p>
        </w:tc>
        <w:tc>
          <w:tcPr>
            <w:tcW w:w="408" w:type="pct"/>
          </w:tcPr>
          <w:p w14:paraId="121E0170" w14:textId="107FB230" w:rsidR="004C2636" w:rsidRPr="00610088" w:rsidRDefault="004C2636" w:rsidP="004C2636">
            <w:pPr>
              <w:rPr>
                <w:bCs/>
                <w:sz w:val="20"/>
                <w:szCs w:val="20"/>
                <w:lang w:val="en-GB"/>
              </w:rPr>
            </w:pPr>
            <w:r w:rsidRPr="00610088">
              <w:rPr>
                <w:bCs/>
                <w:sz w:val="20"/>
                <w:szCs w:val="20"/>
                <w:lang w:val="en-GB"/>
              </w:rPr>
              <w:t>x</w:t>
            </w:r>
          </w:p>
        </w:tc>
        <w:tc>
          <w:tcPr>
            <w:tcW w:w="456" w:type="pct"/>
          </w:tcPr>
          <w:p w14:paraId="2429E634" w14:textId="0DE38420" w:rsidR="004C2636" w:rsidRPr="00610088" w:rsidRDefault="004C2636" w:rsidP="004C2636">
            <w:pPr>
              <w:rPr>
                <w:bCs/>
                <w:sz w:val="20"/>
                <w:szCs w:val="20"/>
                <w:lang w:val="en-GB"/>
              </w:rPr>
            </w:pPr>
            <w:r w:rsidRPr="00610088">
              <w:rPr>
                <w:bCs/>
                <w:sz w:val="20"/>
                <w:szCs w:val="20"/>
                <w:lang w:val="en-GB"/>
              </w:rPr>
              <w:t>x</w:t>
            </w:r>
          </w:p>
        </w:tc>
        <w:tc>
          <w:tcPr>
            <w:tcW w:w="378" w:type="pct"/>
          </w:tcPr>
          <w:p w14:paraId="76711B6D" w14:textId="6C508B4D" w:rsidR="004C2636" w:rsidRPr="00610088" w:rsidRDefault="004C2636" w:rsidP="004C2636">
            <w:pPr>
              <w:rPr>
                <w:bCs/>
                <w:sz w:val="20"/>
                <w:szCs w:val="20"/>
                <w:lang w:val="en-GB"/>
              </w:rPr>
            </w:pPr>
            <w:r w:rsidRPr="00610088">
              <w:rPr>
                <w:bCs/>
                <w:sz w:val="20"/>
                <w:szCs w:val="20"/>
                <w:lang w:val="en-GB"/>
              </w:rPr>
              <w:t>x</w:t>
            </w:r>
          </w:p>
        </w:tc>
      </w:tr>
      <w:tr w:rsidR="004C2636" w:rsidRPr="00610088" w14:paraId="72AF22E1" w14:textId="77777777" w:rsidTr="00A46540">
        <w:trPr>
          <w:cantSplit/>
          <w:tblHeader/>
        </w:trPr>
        <w:tc>
          <w:tcPr>
            <w:tcW w:w="557" w:type="pct"/>
            <w:vMerge/>
          </w:tcPr>
          <w:p w14:paraId="7023CCC6" w14:textId="77777777" w:rsidR="004C2636" w:rsidRPr="00610088" w:rsidRDefault="004C2636" w:rsidP="004C2636">
            <w:pPr>
              <w:rPr>
                <w:b/>
                <w:sz w:val="20"/>
                <w:szCs w:val="20"/>
                <w:lang w:val="en-GB"/>
              </w:rPr>
            </w:pPr>
          </w:p>
        </w:tc>
        <w:tc>
          <w:tcPr>
            <w:tcW w:w="3201" w:type="pct"/>
          </w:tcPr>
          <w:p w14:paraId="2873C224" w14:textId="448E3CAF" w:rsidR="004C2636" w:rsidRPr="00610088" w:rsidRDefault="004C2636" w:rsidP="004C2636">
            <w:pPr>
              <w:autoSpaceDE w:val="0"/>
              <w:autoSpaceDN w:val="0"/>
              <w:adjustRightInd w:val="0"/>
              <w:rPr>
                <w:rFonts w:ascii="Helvetica" w:hAnsi="Helvetica" w:cs="Helvetica"/>
                <w:sz w:val="20"/>
                <w:szCs w:val="20"/>
                <w:lang w:val="en-GB"/>
              </w:rPr>
            </w:pPr>
            <w:r w:rsidRPr="00610088">
              <w:rPr>
                <w:bCs/>
                <w:sz w:val="20"/>
                <w:szCs w:val="20"/>
                <w:lang w:val="en-GB"/>
              </w:rPr>
              <w:t xml:space="preserve">Support Annual meeting/forum to present NCD research and identify NCD research agenda, </w:t>
            </w:r>
            <w:proofErr w:type="gramStart"/>
            <w:r w:rsidRPr="00610088">
              <w:rPr>
                <w:bCs/>
                <w:sz w:val="20"/>
                <w:szCs w:val="20"/>
                <w:lang w:val="en-GB"/>
              </w:rPr>
              <w:t>e.g.</w:t>
            </w:r>
            <w:proofErr w:type="gramEnd"/>
            <w:r w:rsidRPr="00610088">
              <w:rPr>
                <w:bCs/>
                <w:sz w:val="20"/>
                <w:szCs w:val="20"/>
                <w:lang w:val="en-GB"/>
              </w:rPr>
              <w:t xml:space="preserve"> on the National NCD day. </w:t>
            </w:r>
          </w:p>
        </w:tc>
        <w:tc>
          <w:tcPr>
            <w:tcW w:w="408" w:type="pct"/>
          </w:tcPr>
          <w:p w14:paraId="7BEB9C71" w14:textId="17C7E301" w:rsidR="004C2636" w:rsidRPr="00610088" w:rsidRDefault="004C2636" w:rsidP="004C2636">
            <w:pPr>
              <w:rPr>
                <w:bCs/>
                <w:sz w:val="20"/>
                <w:szCs w:val="20"/>
                <w:lang w:val="en-GB"/>
              </w:rPr>
            </w:pPr>
            <w:r w:rsidRPr="00610088">
              <w:rPr>
                <w:bCs/>
                <w:sz w:val="20"/>
                <w:szCs w:val="20"/>
                <w:lang w:val="en-GB"/>
              </w:rPr>
              <w:t>x</w:t>
            </w:r>
          </w:p>
        </w:tc>
        <w:tc>
          <w:tcPr>
            <w:tcW w:w="456" w:type="pct"/>
          </w:tcPr>
          <w:p w14:paraId="18DD9231" w14:textId="6A5C570E" w:rsidR="004C2636" w:rsidRPr="00610088" w:rsidRDefault="004C2636" w:rsidP="004C2636">
            <w:pPr>
              <w:rPr>
                <w:bCs/>
                <w:sz w:val="20"/>
                <w:szCs w:val="20"/>
                <w:lang w:val="en-GB"/>
              </w:rPr>
            </w:pPr>
            <w:r w:rsidRPr="00610088">
              <w:rPr>
                <w:bCs/>
                <w:sz w:val="20"/>
                <w:szCs w:val="20"/>
                <w:lang w:val="en-GB"/>
              </w:rPr>
              <w:t>x</w:t>
            </w:r>
          </w:p>
        </w:tc>
        <w:tc>
          <w:tcPr>
            <w:tcW w:w="378" w:type="pct"/>
          </w:tcPr>
          <w:p w14:paraId="073E0E16" w14:textId="7384AF0A" w:rsidR="004C2636" w:rsidRPr="00610088" w:rsidRDefault="004C2636" w:rsidP="004C2636">
            <w:pPr>
              <w:rPr>
                <w:bCs/>
                <w:sz w:val="20"/>
                <w:szCs w:val="20"/>
                <w:lang w:val="en-GB"/>
              </w:rPr>
            </w:pPr>
            <w:r w:rsidRPr="00610088">
              <w:rPr>
                <w:bCs/>
                <w:sz w:val="20"/>
                <w:szCs w:val="20"/>
                <w:lang w:val="en-GB"/>
              </w:rPr>
              <w:t>x</w:t>
            </w:r>
          </w:p>
        </w:tc>
      </w:tr>
      <w:tr w:rsidR="004C2636" w:rsidRPr="00610088" w14:paraId="2D4DD3CB" w14:textId="77777777" w:rsidTr="00A46540">
        <w:trPr>
          <w:cantSplit/>
          <w:tblHeader/>
        </w:trPr>
        <w:tc>
          <w:tcPr>
            <w:tcW w:w="557" w:type="pct"/>
            <w:vMerge/>
          </w:tcPr>
          <w:p w14:paraId="6F6C188C" w14:textId="77777777" w:rsidR="004C2636" w:rsidRPr="00610088" w:rsidRDefault="004C2636" w:rsidP="004C2636">
            <w:pPr>
              <w:rPr>
                <w:b/>
                <w:sz w:val="20"/>
                <w:szCs w:val="20"/>
                <w:lang w:val="en-GB"/>
              </w:rPr>
            </w:pPr>
          </w:p>
        </w:tc>
        <w:tc>
          <w:tcPr>
            <w:tcW w:w="3201" w:type="pct"/>
          </w:tcPr>
          <w:p w14:paraId="20F695FE" w14:textId="5F61C34D" w:rsidR="004C2636" w:rsidRPr="00610088" w:rsidRDefault="004C2636" w:rsidP="004C2636">
            <w:pPr>
              <w:autoSpaceDE w:val="0"/>
              <w:autoSpaceDN w:val="0"/>
              <w:adjustRightInd w:val="0"/>
              <w:rPr>
                <w:rFonts w:ascii="Helvetica" w:hAnsi="Helvetica" w:cs="Helvetica"/>
                <w:sz w:val="20"/>
                <w:szCs w:val="20"/>
                <w:lang w:val="en-GB"/>
              </w:rPr>
            </w:pPr>
            <w:r w:rsidRPr="00610088">
              <w:rPr>
                <w:bCs/>
                <w:sz w:val="20"/>
                <w:szCs w:val="20"/>
                <w:lang w:val="en-GB"/>
              </w:rPr>
              <w:t>Ensure NCD Directorate is aware of all planned and ongoing NCD research (</w:t>
            </w:r>
            <w:proofErr w:type="gramStart"/>
            <w:r w:rsidRPr="00610088">
              <w:rPr>
                <w:bCs/>
                <w:sz w:val="20"/>
                <w:szCs w:val="20"/>
                <w:lang w:val="en-GB"/>
              </w:rPr>
              <w:t>e.g.</w:t>
            </w:r>
            <w:proofErr w:type="gramEnd"/>
            <w:r w:rsidRPr="00610088">
              <w:rPr>
                <w:bCs/>
                <w:sz w:val="20"/>
                <w:szCs w:val="20"/>
                <w:lang w:val="en-GB"/>
              </w:rPr>
              <w:t xml:space="preserve"> through SLESRC contact)</w:t>
            </w:r>
          </w:p>
        </w:tc>
        <w:tc>
          <w:tcPr>
            <w:tcW w:w="408" w:type="pct"/>
          </w:tcPr>
          <w:p w14:paraId="2EE4F0BD" w14:textId="443C159C" w:rsidR="004C2636" w:rsidRPr="00610088" w:rsidRDefault="004C2636" w:rsidP="004C2636">
            <w:pPr>
              <w:rPr>
                <w:bCs/>
                <w:sz w:val="20"/>
                <w:szCs w:val="20"/>
                <w:lang w:val="en-GB"/>
              </w:rPr>
            </w:pPr>
            <w:r w:rsidRPr="00610088">
              <w:rPr>
                <w:bCs/>
                <w:sz w:val="20"/>
                <w:szCs w:val="20"/>
                <w:lang w:val="en-GB"/>
              </w:rPr>
              <w:t>x</w:t>
            </w:r>
          </w:p>
        </w:tc>
        <w:tc>
          <w:tcPr>
            <w:tcW w:w="456" w:type="pct"/>
          </w:tcPr>
          <w:p w14:paraId="1FF456BB" w14:textId="5015C8A1" w:rsidR="004C2636" w:rsidRPr="00610088" w:rsidRDefault="004C2636" w:rsidP="004C2636">
            <w:pPr>
              <w:rPr>
                <w:bCs/>
                <w:sz w:val="20"/>
                <w:szCs w:val="20"/>
                <w:lang w:val="en-GB"/>
              </w:rPr>
            </w:pPr>
            <w:r w:rsidRPr="00610088">
              <w:rPr>
                <w:bCs/>
                <w:sz w:val="20"/>
                <w:szCs w:val="20"/>
                <w:lang w:val="en-GB"/>
              </w:rPr>
              <w:t>x</w:t>
            </w:r>
          </w:p>
        </w:tc>
        <w:tc>
          <w:tcPr>
            <w:tcW w:w="378" w:type="pct"/>
          </w:tcPr>
          <w:p w14:paraId="7BB01620" w14:textId="6EBEA2D9" w:rsidR="004C2636" w:rsidRPr="00610088" w:rsidRDefault="004C2636" w:rsidP="004C2636">
            <w:pPr>
              <w:rPr>
                <w:bCs/>
                <w:sz w:val="20"/>
                <w:szCs w:val="20"/>
                <w:lang w:val="en-GB"/>
              </w:rPr>
            </w:pPr>
            <w:r w:rsidRPr="00610088">
              <w:rPr>
                <w:bCs/>
                <w:sz w:val="20"/>
                <w:szCs w:val="20"/>
                <w:lang w:val="en-GB"/>
              </w:rPr>
              <w:t>x</w:t>
            </w:r>
          </w:p>
        </w:tc>
      </w:tr>
      <w:tr w:rsidR="004C2636" w:rsidRPr="00610088" w14:paraId="0953D27F" w14:textId="77777777" w:rsidTr="00A46540">
        <w:trPr>
          <w:cantSplit/>
          <w:tblHeader/>
        </w:trPr>
        <w:tc>
          <w:tcPr>
            <w:tcW w:w="557" w:type="pct"/>
            <w:vMerge/>
          </w:tcPr>
          <w:p w14:paraId="1DC2EA7D" w14:textId="77777777" w:rsidR="004C2636" w:rsidRPr="00610088" w:rsidRDefault="004C2636" w:rsidP="004C2636">
            <w:pPr>
              <w:rPr>
                <w:b/>
                <w:sz w:val="20"/>
                <w:szCs w:val="20"/>
                <w:lang w:val="en-GB"/>
              </w:rPr>
            </w:pPr>
          </w:p>
        </w:tc>
        <w:tc>
          <w:tcPr>
            <w:tcW w:w="3201" w:type="pct"/>
          </w:tcPr>
          <w:p w14:paraId="59AA8BC9" w14:textId="33F7BACD" w:rsidR="004C2636" w:rsidRPr="00610088" w:rsidRDefault="004C2636" w:rsidP="004C2636">
            <w:pPr>
              <w:autoSpaceDE w:val="0"/>
              <w:autoSpaceDN w:val="0"/>
              <w:adjustRightInd w:val="0"/>
              <w:rPr>
                <w:rFonts w:ascii="Helvetica" w:hAnsi="Helvetica" w:cs="Helvetica"/>
                <w:sz w:val="20"/>
                <w:szCs w:val="20"/>
                <w:lang w:val="en-GB"/>
              </w:rPr>
            </w:pPr>
            <w:r w:rsidRPr="00610088">
              <w:rPr>
                <w:bCs/>
                <w:sz w:val="20"/>
                <w:szCs w:val="20"/>
                <w:lang w:val="en-GB"/>
              </w:rPr>
              <w:t xml:space="preserve">Engage academia/ health worker training schools to interest final year students do NCD research </w:t>
            </w:r>
          </w:p>
        </w:tc>
        <w:tc>
          <w:tcPr>
            <w:tcW w:w="408" w:type="pct"/>
          </w:tcPr>
          <w:p w14:paraId="7EC177B5" w14:textId="77777777" w:rsidR="004C2636" w:rsidRPr="00610088" w:rsidRDefault="004C2636" w:rsidP="004C2636">
            <w:pPr>
              <w:rPr>
                <w:b/>
                <w:sz w:val="20"/>
                <w:szCs w:val="20"/>
                <w:lang w:val="en-GB"/>
              </w:rPr>
            </w:pPr>
          </w:p>
        </w:tc>
        <w:tc>
          <w:tcPr>
            <w:tcW w:w="456" w:type="pct"/>
          </w:tcPr>
          <w:p w14:paraId="5F1A44DA" w14:textId="2DB8C3FE" w:rsidR="004C2636" w:rsidRPr="00610088" w:rsidRDefault="004C2636" w:rsidP="004C2636">
            <w:pPr>
              <w:rPr>
                <w:bCs/>
                <w:sz w:val="20"/>
                <w:szCs w:val="20"/>
                <w:lang w:val="en-GB"/>
              </w:rPr>
            </w:pPr>
            <w:r w:rsidRPr="00610088">
              <w:rPr>
                <w:bCs/>
                <w:sz w:val="20"/>
                <w:szCs w:val="20"/>
                <w:lang w:val="en-GB"/>
              </w:rPr>
              <w:t>x</w:t>
            </w:r>
          </w:p>
        </w:tc>
        <w:tc>
          <w:tcPr>
            <w:tcW w:w="378" w:type="pct"/>
          </w:tcPr>
          <w:p w14:paraId="0DD040D5" w14:textId="2443BBF2" w:rsidR="004C2636" w:rsidRPr="00610088" w:rsidRDefault="004C2636" w:rsidP="004C2636">
            <w:pPr>
              <w:rPr>
                <w:bCs/>
                <w:sz w:val="20"/>
                <w:szCs w:val="20"/>
                <w:lang w:val="en-GB"/>
              </w:rPr>
            </w:pPr>
            <w:r w:rsidRPr="00610088">
              <w:rPr>
                <w:bCs/>
                <w:sz w:val="20"/>
                <w:szCs w:val="20"/>
                <w:lang w:val="en-GB"/>
              </w:rPr>
              <w:t>x</w:t>
            </w:r>
          </w:p>
        </w:tc>
      </w:tr>
      <w:tr w:rsidR="004C2636" w:rsidRPr="00610088" w14:paraId="317CE226" w14:textId="77777777" w:rsidTr="00A46540">
        <w:trPr>
          <w:cantSplit/>
          <w:trHeight w:val="90"/>
          <w:tblHeader/>
        </w:trPr>
        <w:tc>
          <w:tcPr>
            <w:tcW w:w="557" w:type="pct"/>
            <w:vMerge/>
          </w:tcPr>
          <w:p w14:paraId="6FBEFE91" w14:textId="77777777" w:rsidR="004C2636" w:rsidRPr="00610088" w:rsidRDefault="004C2636" w:rsidP="004C2636">
            <w:pPr>
              <w:rPr>
                <w:b/>
                <w:sz w:val="20"/>
                <w:szCs w:val="20"/>
                <w:lang w:val="en-GB"/>
              </w:rPr>
            </w:pPr>
          </w:p>
        </w:tc>
        <w:tc>
          <w:tcPr>
            <w:tcW w:w="3201" w:type="pct"/>
          </w:tcPr>
          <w:p w14:paraId="0D38F5DE" w14:textId="4D46BCC4" w:rsidR="004C2636" w:rsidRPr="00610088" w:rsidRDefault="004C2636" w:rsidP="004C2636">
            <w:pPr>
              <w:rPr>
                <w:rFonts w:ascii="Helvetica" w:hAnsi="Helvetica" w:cs="Helvetica"/>
                <w:sz w:val="20"/>
                <w:szCs w:val="20"/>
                <w:lang w:val="en-GB"/>
              </w:rPr>
            </w:pPr>
            <w:r w:rsidRPr="00610088">
              <w:rPr>
                <w:bCs/>
                <w:sz w:val="20"/>
                <w:szCs w:val="20"/>
                <w:lang w:val="en-GB"/>
              </w:rPr>
              <w:t xml:space="preserve">Strengthen the knowledge base on the magnitude and nature of problems caused by harmful use of alcohol by operational research, improved monitoring and surveillance systems </w:t>
            </w:r>
          </w:p>
        </w:tc>
        <w:tc>
          <w:tcPr>
            <w:tcW w:w="408" w:type="pct"/>
          </w:tcPr>
          <w:p w14:paraId="5D3CFC6B" w14:textId="77777777" w:rsidR="004C2636" w:rsidRPr="00610088" w:rsidRDefault="004C2636" w:rsidP="004C2636">
            <w:pPr>
              <w:rPr>
                <w:b/>
                <w:sz w:val="20"/>
                <w:szCs w:val="20"/>
                <w:lang w:val="en-GB"/>
              </w:rPr>
            </w:pPr>
          </w:p>
        </w:tc>
        <w:tc>
          <w:tcPr>
            <w:tcW w:w="456" w:type="pct"/>
          </w:tcPr>
          <w:p w14:paraId="07AC8C9C" w14:textId="558DF021" w:rsidR="004C2636" w:rsidRPr="00610088" w:rsidRDefault="004C2636" w:rsidP="004C2636">
            <w:pPr>
              <w:rPr>
                <w:bCs/>
                <w:sz w:val="20"/>
                <w:szCs w:val="20"/>
                <w:lang w:val="en-GB"/>
              </w:rPr>
            </w:pPr>
            <w:r w:rsidRPr="00610088">
              <w:rPr>
                <w:bCs/>
                <w:sz w:val="20"/>
                <w:szCs w:val="20"/>
                <w:lang w:val="en-GB"/>
              </w:rPr>
              <w:t>x</w:t>
            </w:r>
          </w:p>
        </w:tc>
        <w:tc>
          <w:tcPr>
            <w:tcW w:w="378" w:type="pct"/>
          </w:tcPr>
          <w:p w14:paraId="019AFA31" w14:textId="41420B30" w:rsidR="004C2636" w:rsidRPr="00610088" w:rsidRDefault="004C2636" w:rsidP="004C2636">
            <w:pPr>
              <w:rPr>
                <w:bCs/>
                <w:sz w:val="20"/>
                <w:szCs w:val="20"/>
                <w:lang w:val="en-GB"/>
              </w:rPr>
            </w:pPr>
            <w:r w:rsidRPr="00610088">
              <w:rPr>
                <w:bCs/>
                <w:sz w:val="20"/>
                <w:szCs w:val="20"/>
                <w:lang w:val="en-GB"/>
              </w:rPr>
              <w:t>x</w:t>
            </w:r>
          </w:p>
        </w:tc>
      </w:tr>
      <w:tr w:rsidR="004C2636" w:rsidRPr="00610088" w14:paraId="7FE38A9D" w14:textId="77777777" w:rsidTr="00A46540">
        <w:trPr>
          <w:cantSplit/>
          <w:tblHeader/>
        </w:trPr>
        <w:tc>
          <w:tcPr>
            <w:tcW w:w="557" w:type="pct"/>
            <w:vMerge/>
          </w:tcPr>
          <w:p w14:paraId="6F8A764D" w14:textId="77777777" w:rsidR="004C2636" w:rsidRPr="00610088" w:rsidRDefault="004C2636" w:rsidP="004C2636">
            <w:pPr>
              <w:rPr>
                <w:b/>
                <w:sz w:val="20"/>
                <w:szCs w:val="20"/>
                <w:lang w:val="en-GB"/>
              </w:rPr>
            </w:pPr>
          </w:p>
        </w:tc>
        <w:tc>
          <w:tcPr>
            <w:tcW w:w="3201" w:type="pct"/>
          </w:tcPr>
          <w:p w14:paraId="2DE96B79" w14:textId="05EAFBB1" w:rsidR="004C2636" w:rsidRPr="00610088" w:rsidRDefault="004C2636" w:rsidP="004C2636">
            <w:pPr>
              <w:rPr>
                <w:rFonts w:ascii="Helvetica" w:hAnsi="Helvetica" w:cs="Helvetica"/>
                <w:sz w:val="20"/>
                <w:szCs w:val="20"/>
                <w:lang w:val="en-GB"/>
              </w:rPr>
            </w:pPr>
            <w:r w:rsidRPr="00610088">
              <w:rPr>
                <w:bCs/>
                <w:sz w:val="20"/>
                <w:szCs w:val="20"/>
                <w:lang w:val="en-GB"/>
              </w:rPr>
              <w:t>Conduct research of local relevance on tobacco and alcohol, tax policies, marketing</w:t>
            </w:r>
            <w:r w:rsidR="00814A40" w:rsidRPr="00610088">
              <w:rPr>
                <w:bCs/>
                <w:sz w:val="20"/>
                <w:szCs w:val="20"/>
                <w:lang w:val="en-GB"/>
              </w:rPr>
              <w:t>, advertising</w:t>
            </w:r>
            <w:r w:rsidRPr="00610088">
              <w:rPr>
                <w:bCs/>
                <w:sz w:val="20"/>
                <w:szCs w:val="20"/>
                <w:lang w:val="en-GB"/>
              </w:rPr>
              <w:t xml:space="preserve"> and </w:t>
            </w:r>
            <w:r w:rsidR="00814A40" w:rsidRPr="00610088">
              <w:rPr>
                <w:bCs/>
                <w:sz w:val="20"/>
                <w:szCs w:val="20"/>
                <w:lang w:val="en-GB"/>
              </w:rPr>
              <w:t>other restrictive strategies, harm to others including women and children, and impact of tobacco and alcohol interventions.</w:t>
            </w:r>
          </w:p>
        </w:tc>
        <w:tc>
          <w:tcPr>
            <w:tcW w:w="408" w:type="pct"/>
          </w:tcPr>
          <w:p w14:paraId="6ECCD267" w14:textId="77777777" w:rsidR="004C2636" w:rsidRPr="00610088" w:rsidRDefault="004C2636" w:rsidP="004C2636">
            <w:pPr>
              <w:rPr>
                <w:b/>
                <w:sz w:val="20"/>
                <w:szCs w:val="20"/>
                <w:lang w:val="en-GB"/>
              </w:rPr>
            </w:pPr>
          </w:p>
        </w:tc>
        <w:tc>
          <w:tcPr>
            <w:tcW w:w="456" w:type="pct"/>
          </w:tcPr>
          <w:p w14:paraId="42B0A444" w14:textId="1DB40B2E" w:rsidR="004C2636" w:rsidRPr="00610088" w:rsidRDefault="004C2636" w:rsidP="004C2636">
            <w:pPr>
              <w:rPr>
                <w:bCs/>
                <w:sz w:val="20"/>
                <w:szCs w:val="20"/>
                <w:lang w:val="en-GB"/>
              </w:rPr>
            </w:pPr>
            <w:r w:rsidRPr="00610088">
              <w:rPr>
                <w:bCs/>
                <w:sz w:val="20"/>
                <w:szCs w:val="20"/>
                <w:lang w:val="en-GB"/>
              </w:rPr>
              <w:t>x</w:t>
            </w:r>
          </w:p>
        </w:tc>
        <w:tc>
          <w:tcPr>
            <w:tcW w:w="378" w:type="pct"/>
          </w:tcPr>
          <w:p w14:paraId="0D9A9F72" w14:textId="1F1D95EA" w:rsidR="004C2636" w:rsidRPr="00610088" w:rsidRDefault="004C2636" w:rsidP="004C2636">
            <w:pPr>
              <w:rPr>
                <w:bCs/>
                <w:sz w:val="20"/>
                <w:szCs w:val="20"/>
                <w:lang w:val="en-GB"/>
              </w:rPr>
            </w:pPr>
            <w:r w:rsidRPr="00610088">
              <w:rPr>
                <w:bCs/>
                <w:sz w:val="20"/>
                <w:szCs w:val="20"/>
                <w:lang w:val="en-GB"/>
              </w:rPr>
              <w:t>x</w:t>
            </w:r>
          </w:p>
        </w:tc>
      </w:tr>
    </w:tbl>
    <w:p w14:paraId="0F720600" w14:textId="6D66A476" w:rsidR="001E671F" w:rsidRPr="00610088" w:rsidRDefault="001E671F">
      <w:pPr>
        <w:rPr>
          <w:lang w:val="en-GB"/>
        </w:rPr>
        <w:sectPr w:rsidR="001E671F" w:rsidRPr="00610088" w:rsidSect="00107685">
          <w:pgSz w:w="16840" w:h="11900" w:orient="landscape"/>
          <w:pgMar w:top="1440" w:right="1440" w:bottom="1440" w:left="1440" w:header="708" w:footer="708" w:gutter="0"/>
          <w:cols w:space="708"/>
          <w:docGrid w:linePitch="360"/>
        </w:sectPr>
      </w:pPr>
    </w:p>
    <w:p w14:paraId="35A54B64" w14:textId="4AB150B5" w:rsidR="007A3E6E" w:rsidRPr="00610088" w:rsidRDefault="007A3E6E">
      <w:pPr>
        <w:rPr>
          <w:lang w:val="en-GB"/>
        </w:rPr>
      </w:pPr>
    </w:p>
    <w:p w14:paraId="30F2D19D" w14:textId="23D8C66B" w:rsidR="007A3E6E" w:rsidRPr="00610088" w:rsidRDefault="007A3E6E" w:rsidP="00B645C7">
      <w:pPr>
        <w:pStyle w:val="Heading1"/>
        <w:rPr>
          <w:lang w:val="en-GB"/>
        </w:rPr>
      </w:pPr>
      <w:bookmarkStart w:id="111" w:name="_Toc41370571"/>
      <w:r w:rsidRPr="00610088">
        <w:rPr>
          <w:lang w:val="en-GB"/>
        </w:rPr>
        <w:t>Indicative budget by Strategic Objective</w:t>
      </w:r>
      <w:bookmarkEnd w:id="111"/>
      <w:r w:rsidR="004D2F40" w:rsidRPr="00610088">
        <w:rPr>
          <w:lang w:val="en-GB"/>
        </w:rPr>
        <w:t xml:space="preserve"> </w:t>
      </w:r>
    </w:p>
    <w:p w14:paraId="477D986B" w14:textId="77777777" w:rsidR="001B16D1" w:rsidRDefault="001B16D1" w:rsidP="00DA0B2F">
      <w:pPr>
        <w:rPr>
          <w:lang w:val="en-GB"/>
        </w:rPr>
      </w:pPr>
    </w:p>
    <w:p w14:paraId="7A1EC6C4" w14:textId="776A63A5" w:rsidR="00DA0B2F" w:rsidRPr="00610088" w:rsidRDefault="00282C4D" w:rsidP="001B16D1">
      <w:pPr>
        <w:rPr>
          <w:lang w:val="en-GB"/>
        </w:rPr>
      </w:pPr>
      <w:r w:rsidRPr="00610088">
        <w:rPr>
          <w:lang w:val="en-GB"/>
        </w:rPr>
        <w:t xml:space="preserve">The table below contains a summary of the indicative costing done for each strategic objective. Detailed costing will be provided in the detailed implementation plans. The total indicative cost for the </w:t>
      </w:r>
      <w:proofErr w:type="gramStart"/>
      <w:r w:rsidRPr="00610088">
        <w:rPr>
          <w:lang w:val="en-GB"/>
        </w:rPr>
        <w:t>5 year</w:t>
      </w:r>
      <w:proofErr w:type="gramEnd"/>
      <w:r w:rsidRPr="00610088">
        <w:rPr>
          <w:lang w:val="en-GB"/>
        </w:rPr>
        <w:t xml:space="preserve"> strategy is</w:t>
      </w:r>
      <w:r w:rsidR="00E01313">
        <w:rPr>
          <w:lang w:val="en-GB"/>
        </w:rPr>
        <w:t xml:space="preserve"> United States Dollar (U</w:t>
      </w:r>
      <w:r w:rsidRPr="00610088">
        <w:rPr>
          <w:lang w:val="en-GB"/>
        </w:rPr>
        <w:t>SD</w:t>
      </w:r>
      <w:r w:rsidR="00E01313">
        <w:rPr>
          <w:lang w:val="en-GB"/>
        </w:rPr>
        <w:t>)</w:t>
      </w:r>
      <w:r w:rsidRPr="00610088">
        <w:rPr>
          <w:lang w:val="en-GB"/>
        </w:rPr>
        <w:t xml:space="preserve"> </w:t>
      </w:r>
      <w:r w:rsidR="00FC5D9B" w:rsidRPr="00610088">
        <w:rPr>
          <w:lang w:val="en-GB"/>
        </w:rPr>
        <w:t>9,175,800.</w:t>
      </w:r>
      <w:r w:rsidRPr="00610088">
        <w:rPr>
          <w:lang w:val="en-GB"/>
        </w:rPr>
        <w:t xml:space="preserve"> A separate Excel sheet is available with the details of the indicative costing. </w:t>
      </w:r>
    </w:p>
    <w:p w14:paraId="3BAEF731" w14:textId="424DEEBD" w:rsidR="007A3E6E" w:rsidRPr="00610088" w:rsidRDefault="007A3E6E" w:rsidP="007A3E6E">
      <w:pPr>
        <w:rPr>
          <w:lang w:val="en-GB"/>
        </w:rPr>
      </w:pPr>
    </w:p>
    <w:tbl>
      <w:tblPr>
        <w:tblStyle w:val="GridTable4-Accent1"/>
        <w:tblW w:w="0" w:type="auto"/>
        <w:tblLook w:val="04A0" w:firstRow="1" w:lastRow="0" w:firstColumn="1" w:lastColumn="0" w:noHBand="0" w:noVBand="1"/>
      </w:tblPr>
      <w:tblGrid>
        <w:gridCol w:w="6204"/>
        <w:gridCol w:w="2806"/>
      </w:tblGrid>
      <w:tr w:rsidR="00272161" w:rsidRPr="00610088" w14:paraId="2214CAC1" w14:textId="77777777" w:rsidTr="00282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17ED4CE4" w14:textId="34AF0645" w:rsidR="00272161" w:rsidRPr="00610088" w:rsidRDefault="00272161" w:rsidP="00272161">
            <w:pPr>
              <w:rPr>
                <w:b w:val="0"/>
                <w:bCs w:val="0"/>
                <w:sz w:val="20"/>
                <w:szCs w:val="20"/>
                <w:lang w:val="en-GB"/>
              </w:rPr>
            </w:pPr>
            <w:r w:rsidRPr="00610088">
              <w:rPr>
                <w:b w:val="0"/>
                <w:bCs w:val="0"/>
                <w:sz w:val="20"/>
                <w:szCs w:val="20"/>
                <w:lang w:val="en-GB"/>
              </w:rPr>
              <w:t>Strategic Objective</w:t>
            </w:r>
          </w:p>
        </w:tc>
        <w:tc>
          <w:tcPr>
            <w:tcW w:w="2806" w:type="dxa"/>
          </w:tcPr>
          <w:p w14:paraId="05AB9236" w14:textId="0FBDD5B7" w:rsidR="00272161" w:rsidRPr="00610088" w:rsidRDefault="00272161" w:rsidP="007A3E6E">
            <w:pPr>
              <w:cnfStyle w:val="100000000000" w:firstRow="1" w:lastRow="0" w:firstColumn="0" w:lastColumn="0" w:oddVBand="0" w:evenVBand="0" w:oddHBand="0" w:evenHBand="0" w:firstRowFirstColumn="0" w:firstRowLastColumn="0" w:lastRowFirstColumn="0" w:lastRowLastColumn="0"/>
              <w:rPr>
                <w:b w:val="0"/>
                <w:bCs w:val="0"/>
                <w:sz w:val="20"/>
                <w:szCs w:val="20"/>
                <w:highlight w:val="yellow"/>
                <w:lang w:val="en-GB"/>
              </w:rPr>
            </w:pPr>
            <w:r w:rsidRPr="00610088">
              <w:rPr>
                <w:b w:val="0"/>
                <w:bCs w:val="0"/>
                <w:sz w:val="20"/>
                <w:szCs w:val="20"/>
                <w:lang w:val="en-GB"/>
              </w:rPr>
              <w:t>Indicative cost</w:t>
            </w:r>
            <w:r w:rsidR="00282C4D" w:rsidRPr="00610088">
              <w:rPr>
                <w:b w:val="0"/>
                <w:bCs w:val="0"/>
                <w:sz w:val="20"/>
                <w:szCs w:val="20"/>
                <w:lang w:val="en-GB"/>
              </w:rPr>
              <w:t xml:space="preserve"> </w:t>
            </w:r>
            <w:r w:rsidRPr="00610088">
              <w:rPr>
                <w:b w:val="0"/>
                <w:bCs w:val="0"/>
                <w:sz w:val="20"/>
                <w:szCs w:val="20"/>
                <w:lang w:val="en-GB"/>
              </w:rPr>
              <w:t xml:space="preserve">in USD </w:t>
            </w:r>
          </w:p>
        </w:tc>
      </w:tr>
      <w:tr w:rsidR="003B6F50" w:rsidRPr="00610088" w14:paraId="3599B7C5" w14:textId="77777777" w:rsidTr="00282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771B7D39" w14:textId="5AE3B98B" w:rsidR="003B6F50" w:rsidRPr="00610088" w:rsidRDefault="003B6F50" w:rsidP="00272161">
            <w:pPr>
              <w:rPr>
                <w:sz w:val="20"/>
                <w:szCs w:val="20"/>
                <w:lang w:val="en-GB"/>
              </w:rPr>
            </w:pPr>
            <w:r w:rsidRPr="00610088">
              <w:rPr>
                <w:sz w:val="20"/>
                <w:szCs w:val="20"/>
                <w:lang w:val="en-GB"/>
              </w:rPr>
              <w:t>Leadership &amp; Governance</w:t>
            </w:r>
          </w:p>
        </w:tc>
        <w:tc>
          <w:tcPr>
            <w:tcW w:w="2806" w:type="dxa"/>
          </w:tcPr>
          <w:p w14:paraId="749FE825" w14:textId="4337F98C" w:rsidR="003B6F50" w:rsidRPr="00610088" w:rsidRDefault="006F3AA7" w:rsidP="007A3E6E">
            <w:pPr>
              <w:cnfStyle w:val="000000100000" w:firstRow="0" w:lastRow="0" w:firstColumn="0" w:lastColumn="0" w:oddVBand="0" w:evenVBand="0" w:oddHBand="1" w:evenHBand="0" w:firstRowFirstColumn="0" w:firstRowLastColumn="0" w:lastRowFirstColumn="0" w:lastRowLastColumn="0"/>
              <w:rPr>
                <w:b/>
                <w:bCs/>
                <w:sz w:val="20"/>
                <w:szCs w:val="20"/>
                <w:lang w:val="en-GB"/>
              </w:rPr>
            </w:pPr>
            <w:r w:rsidRPr="00610088">
              <w:rPr>
                <w:b/>
                <w:bCs/>
                <w:sz w:val="20"/>
                <w:szCs w:val="20"/>
                <w:lang w:val="en-GB"/>
              </w:rPr>
              <w:t>3,0</w:t>
            </w:r>
            <w:r w:rsidR="00F8718F" w:rsidRPr="00610088">
              <w:rPr>
                <w:b/>
                <w:bCs/>
                <w:sz w:val="20"/>
                <w:szCs w:val="20"/>
                <w:lang w:val="en-GB"/>
              </w:rPr>
              <w:t>4</w:t>
            </w:r>
            <w:r w:rsidRPr="00610088">
              <w:rPr>
                <w:b/>
                <w:bCs/>
                <w:sz w:val="20"/>
                <w:szCs w:val="20"/>
                <w:lang w:val="en-GB"/>
              </w:rPr>
              <w:t>8,800</w:t>
            </w:r>
          </w:p>
        </w:tc>
      </w:tr>
      <w:tr w:rsidR="007A3E6E" w:rsidRPr="00610088" w14:paraId="68C29E10" w14:textId="77777777" w:rsidTr="00282C4D">
        <w:tc>
          <w:tcPr>
            <w:cnfStyle w:val="001000000000" w:firstRow="0" w:lastRow="0" w:firstColumn="1" w:lastColumn="0" w:oddVBand="0" w:evenVBand="0" w:oddHBand="0" w:evenHBand="0" w:firstRowFirstColumn="0" w:firstRowLastColumn="0" w:lastRowFirstColumn="0" w:lastRowLastColumn="0"/>
            <w:tcW w:w="6204" w:type="dxa"/>
          </w:tcPr>
          <w:p w14:paraId="22121CB5" w14:textId="58A3E02A" w:rsidR="007A3E6E" w:rsidRPr="00610088" w:rsidRDefault="00C95727" w:rsidP="00282C4D">
            <w:pPr>
              <w:jc w:val="right"/>
              <w:rPr>
                <w:b w:val="0"/>
                <w:bCs w:val="0"/>
                <w:sz w:val="20"/>
                <w:szCs w:val="20"/>
                <w:lang w:val="en-GB"/>
              </w:rPr>
            </w:pPr>
            <w:r w:rsidRPr="00610088">
              <w:rPr>
                <w:b w:val="0"/>
                <w:bCs w:val="0"/>
                <w:sz w:val="20"/>
                <w:szCs w:val="20"/>
                <w:lang w:val="en-GB"/>
              </w:rPr>
              <w:t>SO1 To reinforce leadership and strengthen capacity of the health system for prevention and control of NCDs</w:t>
            </w:r>
          </w:p>
        </w:tc>
        <w:tc>
          <w:tcPr>
            <w:tcW w:w="2806" w:type="dxa"/>
          </w:tcPr>
          <w:p w14:paraId="2BE419E8" w14:textId="0D8873EB" w:rsidR="007A3E6E" w:rsidRPr="00610088" w:rsidRDefault="006F3AA7" w:rsidP="00282C4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10088">
              <w:rPr>
                <w:sz w:val="20"/>
                <w:szCs w:val="20"/>
                <w:lang w:val="en-GB"/>
              </w:rPr>
              <w:t>3</w:t>
            </w:r>
            <w:r w:rsidR="00F8718F" w:rsidRPr="00610088">
              <w:rPr>
                <w:sz w:val="20"/>
                <w:szCs w:val="20"/>
                <w:lang w:val="en-GB"/>
              </w:rPr>
              <w:t>5</w:t>
            </w:r>
            <w:r w:rsidRPr="00610088">
              <w:rPr>
                <w:sz w:val="20"/>
                <w:szCs w:val="20"/>
                <w:lang w:val="en-GB"/>
              </w:rPr>
              <w:t>3,600</w:t>
            </w:r>
          </w:p>
        </w:tc>
      </w:tr>
      <w:tr w:rsidR="007A3E6E" w:rsidRPr="00610088" w14:paraId="75B3EA3A" w14:textId="77777777" w:rsidTr="00282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0D36C247" w14:textId="14AB03D3" w:rsidR="007A3E6E" w:rsidRPr="00610088" w:rsidRDefault="00C95727" w:rsidP="00282C4D">
            <w:pPr>
              <w:jc w:val="right"/>
              <w:rPr>
                <w:b w:val="0"/>
                <w:bCs w:val="0"/>
                <w:sz w:val="20"/>
                <w:szCs w:val="20"/>
                <w:lang w:val="en-GB"/>
              </w:rPr>
            </w:pPr>
            <w:r w:rsidRPr="00610088">
              <w:rPr>
                <w:b w:val="0"/>
                <w:bCs w:val="0"/>
                <w:sz w:val="20"/>
                <w:szCs w:val="20"/>
                <w:lang w:val="en-GB"/>
              </w:rPr>
              <w:t>SO2 To mobilize sustainable funding for NCD activities at all levels</w:t>
            </w:r>
          </w:p>
        </w:tc>
        <w:tc>
          <w:tcPr>
            <w:tcW w:w="2806" w:type="dxa"/>
          </w:tcPr>
          <w:p w14:paraId="08C7D7F1" w14:textId="1A636B27" w:rsidR="007A3E6E" w:rsidRPr="00610088" w:rsidRDefault="006F3AA7" w:rsidP="00282C4D">
            <w:pPr>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610088">
              <w:rPr>
                <w:sz w:val="20"/>
                <w:szCs w:val="20"/>
                <w:lang w:val="en-GB"/>
              </w:rPr>
              <w:t>10,000</w:t>
            </w:r>
          </w:p>
        </w:tc>
      </w:tr>
      <w:tr w:rsidR="007A3E6E" w:rsidRPr="00610088" w14:paraId="41B98A9D" w14:textId="77777777" w:rsidTr="00282C4D">
        <w:tc>
          <w:tcPr>
            <w:cnfStyle w:val="001000000000" w:firstRow="0" w:lastRow="0" w:firstColumn="1" w:lastColumn="0" w:oddVBand="0" w:evenVBand="0" w:oddHBand="0" w:evenHBand="0" w:firstRowFirstColumn="0" w:firstRowLastColumn="0" w:lastRowFirstColumn="0" w:lastRowLastColumn="0"/>
            <w:tcW w:w="6204" w:type="dxa"/>
          </w:tcPr>
          <w:p w14:paraId="122D9D52" w14:textId="02709F0F" w:rsidR="007A3E6E" w:rsidRPr="00610088" w:rsidRDefault="003B6F50" w:rsidP="00282C4D">
            <w:pPr>
              <w:jc w:val="right"/>
              <w:rPr>
                <w:b w:val="0"/>
                <w:bCs w:val="0"/>
                <w:sz w:val="20"/>
                <w:szCs w:val="20"/>
                <w:lang w:val="en-GB"/>
              </w:rPr>
            </w:pPr>
            <w:r w:rsidRPr="00610088">
              <w:rPr>
                <w:b w:val="0"/>
                <w:bCs w:val="0"/>
                <w:sz w:val="20"/>
                <w:szCs w:val="20"/>
                <w:lang w:val="en-GB"/>
              </w:rPr>
              <w:t>SO5 To strengthen partnerships and establish a network of relevant stakeholders for surveillance, prevention, screening, diagnosis, management and care of NCDs.</w:t>
            </w:r>
          </w:p>
        </w:tc>
        <w:tc>
          <w:tcPr>
            <w:tcW w:w="2806" w:type="dxa"/>
          </w:tcPr>
          <w:p w14:paraId="7AF91C24" w14:textId="650058A3" w:rsidR="007A3E6E" w:rsidRPr="00610088" w:rsidRDefault="006F3AA7" w:rsidP="00282C4D">
            <w:pPr>
              <w:jc w:val="right"/>
              <w:cnfStyle w:val="000000000000" w:firstRow="0" w:lastRow="0" w:firstColumn="0" w:lastColumn="0" w:oddVBand="0" w:evenVBand="0" w:oddHBand="0" w:evenHBand="0" w:firstRowFirstColumn="0" w:firstRowLastColumn="0" w:lastRowFirstColumn="0" w:lastRowLastColumn="0"/>
              <w:rPr>
                <w:sz w:val="20"/>
                <w:szCs w:val="20"/>
                <w:lang w:val="en-GB"/>
              </w:rPr>
            </w:pPr>
            <w:r w:rsidRPr="00610088">
              <w:rPr>
                <w:sz w:val="20"/>
                <w:szCs w:val="20"/>
                <w:lang w:val="en-GB"/>
              </w:rPr>
              <w:t>786,200</w:t>
            </w:r>
          </w:p>
        </w:tc>
      </w:tr>
      <w:tr w:rsidR="007A3E6E" w:rsidRPr="00610088" w14:paraId="6DAA43BD" w14:textId="77777777" w:rsidTr="00282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0607747E" w14:textId="66AC8C77" w:rsidR="007A3E6E" w:rsidRPr="00610088" w:rsidRDefault="003B6F50" w:rsidP="00282C4D">
            <w:pPr>
              <w:jc w:val="right"/>
              <w:rPr>
                <w:b w:val="0"/>
                <w:bCs w:val="0"/>
                <w:sz w:val="20"/>
                <w:szCs w:val="20"/>
                <w:lang w:val="en-GB"/>
              </w:rPr>
            </w:pPr>
            <w:r w:rsidRPr="00610088">
              <w:rPr>
                <w:b w:val="0"/>
                <w:bCs w:val="0"/>
                <w:sz w:val="20"/>
                <w:szCs w:val="20"/>
                <w:lang w:val="en-GB"/>
              </w:rPr>
              <w:t>SO6 To establish systems for monitoring and evaluation (including research and surveillance) to provide evidence for decision making and to assess effectiveness of promotion, prevention and control measures for NCDs at all levels of the healthcare system</w:t>
            </w:r>
          </w:p>
        </w:tc>
        <w:tc>
          <w:tcPr>
            <w:tcW w:w="2806" w:type="dxa"/>
          </w:tcPr>
          <w:p w14:paraId="670CB5E0" w14:textId="25113083" w:rsidR="007A3E6E" w:rsidRPr="00610088" w:rsidRDefault="006F3AA7" w:rsidP="00282C4D">
            <w:pPr>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610088">
              <w:rPr>
                <w:sz w:val="20"/>
                <w:szCs w:val="20"/>
                <w:lang w:val="en-GB"/>
              </w:rPr>
              <w:t>1,899,000</w:t>
            </w:r>
          </w:p>
        </w:tc>
      </w:tr>
      <w:tr w:rsidR="007A3E6E" w:rsidRPr="00610088" w14:paraId="7DFA7057" w14:textId="77777777" w:rsidTr="00282C4D">
        <w:tc>
          <w:tcPr>
            <w:cnfStyle w:val="001000000000" w:firstRow="0" w:lastRow="0" w:firstColumn="1" w:lastColumn="0" w:oddVBand="0" w:evenVBand="0" w:oddHBand="0" w:evenHBand="0" w:firstRowFirstColumn="0" w:firstRowLastColumn="0" w:lastRowFirstColumn="0" w:lastRowLastColumn="0"/>
            <w:tcW w:w="6204" w:type="dxa"/>
          </w:tcPr>
          <w:p w14:paraId="37F5A30B" w14:textId="284280B0" w:rsidR="007A3E6E" w:rsidRPr="00610088" w:rsidRDefault="003B6F50" w:rsidP="00272161">
            <w:pPr>
              <w:rPr>
                <w:sz w:val="20"/>
                <w:szCs w:val="20"/>
                <w:lang w:val="en-GB"/>
              </w:rPr>
            </w:pPr>
            <w:r w:rsidRPr="00610088">
              <w:rPr>
                <w:sz w:val="20"/>
                <w:szCs w:val="20"/>
                <w:lang w:val="en-GB"/>
              </w:rPr>
              <w:t>Health Promotion</w:t>
            </w:r>
          </w:p>
        </w:tc>
        <w:tc>
          <w:tcPr>
            <w:tcW w:w="2806" w:type="dxa"/>
          </w:tcPr>
          <w:p w14:paraId="657CC0B9" w14:textId="6016601B" w:rsidR="007A3E6E" w:rsidRPr="00610088" w:rsidRDefault="006F3AA7" w:rsidP="007A3E6E">
            <w:pP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610088">
              <w:rPr>
                <w:b/>
                <w:bCs/>
                <w:sz w:val="20"/>
                <w:szCs w:val="20"/>
                <w:lang w:val="en-GB"/>
              </w:rPr>
              <w:t>1,716,000</w:t>
            </w:r>
          </w:p>
        </w:tc>
      </w:tr>
      <w:tr w:rsidR="003B6F50" w:rsidRPr="00610088" w14:paraId="1760F204" w14:textId="77777777" w:rsidTr="00282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3FB1709" w14:textId="44DC27E6" w:rsidR="003B6F50" w:rsidRPr="00610088" w:rsidRDefault="003B6F50" w:rsidP="00282C4D">
            <w:pPr>
              <w:jc w:val="right"/>
              <w:rPr>
                <w:b w:val="0"/>
                <w:bCs w:val="0"/>
                <w:sz w:val="20"/>
                <w:szCs w:val="20"/>
                <w:lang w:val="en-GB"/>
              </w:rPr>
            </w:pPr>
            <w:r w:rsidRPr="00610088">
              <w:rPr>
                <w:b w:val="0"/>
                <w:bCs w:val="0"/>
                <w:sz w:val="20"/>
                <w:szCs w:val="20"/>
                <w:lang w:val="en-GB"/>
              </w:rPr>
              <w:t>SO3 To promote healthy lifestyles and reduce risk factors using health promotion strategies.</w:t>
            </w:r>
          </w:p>
        </w:tc>
        <w:tc>
          <w:tcPr>
            <w:tcW w:w="2806" w:type="dxa"/>
          </w:tcPr>
          <w:p w14:paraId="32AFA530" w14:textId="099778F8" w:rsidR="003B6F50" w:rsidRPr="00610088" w:rsidRDefault="006F3AA7" w:rsidP="00282C4D">
            <w:pPr>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610088">
              <w:rPr>
                <w:sz w:val="20"/>
                <w:szCs w:val="20"/>
                <w:lang w:val="en-GB"/>
              </w:rPr>
              <w:t>1,716,000</w:t>
            </w:r>
          </w:p>
        </w:tc>
      </w:tr>
      <w:tr w:rsidR="00C95727" w:rsidRPr="00610088" w14:paraId="54402CC6" w14:textId="77777777" w:rsidTr="00282C4D">
        <w:tc>
          <w:tcPr>
            <w:cnfStyle w:val="001000000000" w:firstRow="0" w:lastRow="0" w:firstColumn="1" w:lastColumn="0" w:oddVBand="0" w:evenVBand="0" w:oddHBand="0" w:evenHBand="0" w:firstRowFirstColumn="0" w:firstRowLastColumn="0" w:lastRowFirstColumn="0" w:lastRowLastColumn="0"/>
            <w:tcW w:w="6204" w:type="dxa"/>
          </w:tcPr>
          <w:p w14:paraId="00226BD0" w14:textId="1AF1E61D" w:rsidR="00C95727" w:rsidRPr="00610088" w:rsidRDefault="003B6F50" w:rsidP="00272161">
            <w:pPr>
              <w:rPr>
                <w:sz w:val="20"/>
                <w:szCs w:val="20"/>
                <w:lang w:val="en-GB"/>
              </w:rPr>
            </w:pPr>
            <w:r w:rsidRPr="00610088">
              <w:rPr>
                <w:sz w:val="20"/>
                <w:szCs w:val="20"/>
                <w:lang w:val="en-GB"/>
              </w:rPr>
              <w:t>Services</w:t>
            </w:r>
          </w:p>
        </w:tc>
        <w:tc>
          <w:tcPr>
            <w:tcW w:w="2806" w:type="dxa"/>
          </w:tcPr>
          <w:p w14:paraId="438EB19A" w14:textId="2B78D41F" w:rsidR="00C95727" w:rsidRPr="00610088" w:rsidRDefault="006F3AA7" w:rsidP="007A3E6E">
            <w:pP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610088">
              <w:rPr>
                <w:b/>
                <w:bCs/>
                <w:sz w:val="20"/>
                <w:szCs w:val="20"/>
                <w:lang w:val="en-GB"/>
              </w:rPr>
              <w:t>4,</w:t>
            </w:r>
            <w:r w:rsidR="00B645C7" w:rsidRPr="00610088">
              <w:rPr>
                <w:b/>
                <w:bCs/>
                <w:sz w:val="20"/>
                <w:szCs w:val="20"/>
                <w:lang w:val="en-GB"/>
              </w:rPr>
              <w:t>4</w:t>
            </w:r>
            <w:r w:rsidR="00892220" w:rsidRPr="00610088">
              <w:rPr>
                <w:b/>
                <w:bCs/>
                <w:sz w:val="20"/>
                <w:szCs w:val="20"/>
                <w:lang w:val="en-GB"/>
              </w:rPr>
              <w:t>4</w:t>
            </w:r>
            <w:r w:rsidR="00B645C7" w:rsidRPr="00610088">
              <w:rPr>
                <w:b/>
                <w:bCs/>
                <w:sz w:val="20"/>
                <w:szCs w:val="20"/>
                <w:lang w:val="en-GB"/>
              </w:rPr>
              <w:t>1,000</w:t>
            </w:r>
          </w:p>
        </w:tc>
      </w:tr>
      <w:tr w:rsidR="003B6F50" w:rsidRPr="00610088" w14:paraId="3145C41A" w14:textId="77777777" w:rsidTr="00282C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06C59DF" w14:textId="23DA29FE" w:rsidR="003B6F50" w:rsidRPr="00610088" w:rsidRDefault="003B6F50" w:rsidP="00282C4D">
            <w:pPr>
              <w:jc w:val="right"/>
              <w:rPr>
                <w:b w:val="0"/>
                <w:bCs w:val="0"/>
                <w:sz w:val="20"/>
                <w:szCs w:val="20"/>
                <w:lang w:val="en-GB"/>
              </w:rPr>
            </w:pPr>
            <w:r w:rsidRPr="00610088">
              <w:rPr>
                <w:b w:val="0"/>
                <w:bCs w:val="0"/>
                <w:sz w:val="20"/>
                <w:szCs w:val="20"/>
                <w:lang w:val="en-GB"/>
              </w:rPr>
              <w:t>SO4 To strengthen NCD prevention, screening, diagnosis, management and care at all levels through implementation of practical, cost-effective and evidence-based interventions at all levels of care</w:t>
            </w:r>
          </w:p>
        </w:tc>
        <w:tc>
          <w:tcPr>
            <w:tcW w:w="2806" w:type="dxa"/>
          </w:tcPr>
          <w:p w14:paraId="77C08F48" w14:textId="53A0A0F3" w:rsidR="003B6F50" w:rsidRPr="00610088" w:rsidRDefault="006F3AA7" w:rsidP="00282C4D">
            <w:pPr>
              <w:jc w:val="right"/>
              <w:cnfStyle w:val="000000100000" w:firstRow="0" w:lastRow="0" w:firstColumn="0" w:lastColumn="0" w:oddVBand="0" w:evenVBand="0" w:oddHBand="1" w:evenHBand="0" w:firstRowFirstColumn="0" w:firstRowLastColumn="0" w:lastRowFirstColumn="0" w:lastRowLastColumn="0"/>
              <w:rPr>
                <w:sz w:val="20"/>
                <w:szCs w:val="20"/>
                <w:lang w:val="en-GB"/>
              </w:rPr>
            </w:pPr>
            <w:r w:rsidRPr="00610088">
              <w:rPr>
                <w:sz w:val="20"/>
                <w:szCs w:val="20"/>
                <w:lang w:val="en-GB"/>
              </w:rPr>
              <w:t>4,</w:t>
            </w:r>
            <w:r w:rsidR="00FF2960" w:rsidRPr="00610088">
              <w:rPr>
                <w:sz w:val="20"/>
                <w:szCs w:val="20"/>
                <w:lang w:val="en-GB"/>
              </w:rPr>
              <w:t>441,</w:t>
            </w:r>
            <w:r w:rsidRPr="00610088">
              <w:rPr>
                <w:sz w:val="20"/>
                <w:szCs w:val="20"/>
                <w:lang w:val="en-GB"/>
              </w:rPr>
              <w:t>000</w:t>
            </w:r>
          </w:p>
        </w:tc>
      </w:tr>
      <w:tr w:rsidR="003B6F50" w:rsidRPr="00610088" w14:paraId="42686A89" w14:textId="77777777" w:rsidTr="00282C4D">
        <w:tc>
          <w:tcPr>
            <w:cnfStyle w:val="001000000000" w:firstRow="0" w:lastRow="0" w:firstColumn="1" w:lastColumn="0" w:oddVBand="0" w:evenVBand="0" w:oddHBand="0" w:evenHBand="0" w:firstRowFirstColumn="0" w:firstRowLastColumn="0" w:lastRowFirstColumn="0" w:lastRowLastColumn="0"/>
            <w:tcW w:w="6204" w:type="dxa"/>
          </w:tcPr>
          <w:p w14:paraId="5C80F887" w14:textId="5954860D" w:rsidR="003B6F50" w:rsidRPr="00610088" w:rsidRDefault="003B6F50" w:rsidP="003B6F50">
            <w:pPr>
              <w:jc w:val="right"/>
              <w:rPr>
                <w:sz w:val="20"/>
                <w:szCs w:val="20"/>
                <w:lang w:val="en-GB"/>
              </w:rPr>
            </w:pPr>
            <w:r w:rsidRPr="00610088">
              <w:rPr>
                <w:sz w:val="20"/>
                <w:szCs w:val="20"/>
                <w:lang w:val="en-GB"/>
              </w:rPr>
              <w:t>Total</w:t>
            </w:r>
          </w:p>
        </w:tc>
        <w:tc>
          <w:tcPr>
            <w:tcW w:w="2806" w:type="dxa"/>
          </w:tcPr>
          <w:p w14:paraId="5ACB4023" w14:textId="273316B2" w:rsidR="003B6F50" w:rsidRPr="00610088" w:rsidRDefault="006F3AA7" w:rsidP="003B6F50">
            <w:pPr>
              <w:cnfStyle w:val="000000000000" w:firstRow="0" w:lastRow="0" w:firstColumn="0" w:lastColumn="0" w:oddVBand="0" w:evenVBand="0" w:oddHBand="0" w:evenHBand="0" w:firstRowFirstColumn="0" w:firstRowLastColumn="0" w:lastRowFirstColumn="0" w:lastRowLastColumn="0"/>
              <w:rPr>
                <w:b/>
                <w:bCs/>
                <w:sz w:val="20"/>
                <w:szCs w:val="20"/>
                <w:lang w:val="en-GB"/>
              </w:rPr>
            </w:pPr>
            <w:r w:rsidRPr="00610088">
              <w:rPr>
                <w:b/>
                <w:bCs/>
                <w:sz w:val="20"/>
                <w:szCs w:val="20"/>
                <w:lang w:val="en-GB"/>
              </w:rPr>
              <w:t>9,</w:t>
            </w:r>
            <w:r w:rsidR="00F8718F" w:rsidRPr="00610088">
              <w:rPr>
                <w:b/>
                <w:bCs/>
                <w:sz w:val="20"/>
                <w:szCs w:val="20"/>
                <w:lang w:val="en-GB"/>
              </w:rPr>
              <w:t>20</w:t>
            </w:r>
            <w:r w:rsidR="00B645C7" w:rsidRPr="00610088">
              <w:rPr>
                <w:b/>
                <w:bCs/>
                <w:sz w:val="20"/>
                <w:szCs w:val="20"/>
                <w:lang w:val="en-GB"/>
              </w:rPr>
              <w:t>5</w:t>
            </w:r>
            <w:r w:rsidRPr="00610088">
              <w:rPr>
                <w:b/>
                <w:bCs/>
                <w:sz w:val="20"/>
                <w:szCs w:val="20"/>
                <w:lang w:val="en-GB"/>
              </w:rPr>
              <w:t>,800</w:t>
            </w:r>
          </w:p>
        </w:tc>
      </w:tr>
    </w:tbl>
    <w:p w14:paraId="7DEA4727" w14:textId="41BF9F24" w:rsidR="007A3E6E" w:rsidRPr="00610088" w:rsidRDefault="00282C4D" w:rsidP="007A3E6E">
      <w:pPr>
        <w:pStyle w:val="Heading1"/>
        <w:rPr>
          <w:lang w:val="en-GB"/>
        </w:rPr>
      </w:pPr>
      <w:bookmarkStart w:id="112" w:name="_Toc41370572"/>
      <w:r w:rsidRPr="00610088">
        <w:rPr>
          <w:lang w:val="en-GB"/>
        </w:rPr>
        <w:t>Proposed M</w:t>
      </w:r>
      <w:r w:rsidR="007A3E6E" w:rsidRPr="00610088">
        <w:rPr>
          <w:lang w:val="en-GB"/>
        </w:rPr>
        <w:t>&amp;E Framework</w:t>
      </w:r>
      <w:bookmarkEnd w:id="112"/>
    </w:p>
    <w:p w14:paraId="6A453182" w14:textId="7B892E93" w:rsidR="009454AE" w:rsidRPr="00610088" w:rsidRDefault="009454AE" w:rsidP="009454AE">
      <w:pPr>
        <w:rPr>
          <w:lang w:val="en-GB"/>
        </w:rPr>
      </w:pPr>
    </w:p>
    <w:p w14:paraId="19A5A7FF" w14:textId="07D0B3A6" w:rsidR="009717C4" w:rsidRPr="00610088" w:rsidRDefault="009717C4" w:rsidP="001B16D1">
      <w:pPr>
        <w:rPr>
          <w:lang w:val="en-GB"/>
        </w:rPr>
      </w:pPr>
      <w:r w:rsidRPr="00610088">
        <w:rPr>
          <w:lang w:val="en-GB"/>
        </w:rPr>
        <w:t xml:space="preserve">M&amp;E will be implemented by the DNCD&amp;MH together with its partners including the national </w:t>
      </w:r>
      <w:r w:rsidR="00272161" w:rsidRPr="00610088">
        <w:rPr>
          <w:lang w:val="en-GB"/>
        </w:rPr>
        <w:t xml:space="preserve">NCDI </w:t>
      </w:r>
      <w:r w:rsidRPr="00610088">
        <w:rPr>
          <w:lang w:val="en-GB"/>
        </w:rPr>
        <w:t>commission and TWGs. Special elements of M&amp;E</w:t>
      </w:r>
      <w:r w:rsidR="008023B9" w:rsidRPr="00610088">
        <w:rPr>
          <w:lang w:val="en-GB"/>
        </w:rPr>
        <w:t xml:space="preserve"> </w:t>
      </w:r>
      <w:r w:rsidRPr="00610088">
        <w:rPr>
          <w:lang w:val="en-GB"/>
        </w:rPr>
        <w:t>include surveillance of NCDs and their risk factors – integrated in the existing HMIS – and research on NCDs</w:t>
      </w:r>
      <w:r w:rsidR="008023B9" w:rsidRPr="00610088">
        <w:rPr>
          <w:lang w:val="en-GB"/>
        </w:rPr>
        <w:t xml:space="preserve"> and</w:t>
      </w:r>
      <w:r w:rsidRPr="00610088">
        <w:rPr>
          <w:lang w:val="en-GB"/>
        </w:rPr>
        <w:t xml:space="preserve"> their risk factors to inform policy and planning.  </w:t>
      </w:r>
    </w:p>
    <w:p w14:paraId="6C888F77" w14:textId="4DF4AFDB" w:rsidR="008023B9" w:rsidRPr="00610088" w:rsidRDefault="008023B9" w:rsidP="001B16D1">
      <w:pPr>
        <w:rPr>
          <w:lang w:val="en-GB"/>
        </w:rPr>
      </w:pPr>
    </w:p>
    <w:p w14:paraId="2E9C12C3" w14:textId="7D7041C3" w:rsidR="008023B9" w:rsidRPr="00610088" w:rsidRDefault="008023B9" w:rsidP="001B16D1">
      <w:pPr>
        <w:rPr>
          <w:lang w:val="en-GB"/>
        </w:rPr>
      </w:pPr>
      <w:r w:rsidRPr="00610088">
        <w:rPr>
          <w:bCs/>
          <w:iCs/>
          <w:lang w:val="en-GB"/>
        </w:rPr>
        <w:t xml:space="preserve">The NCD Monitoring and Evaluation (M&amp;E) framework will be further developed </w:t>
      </w:r>
      <w:r w:rsidRPr="00610088">
        <w:rPr>
          <w:lang w:val="en-GB"/>
        </w:rPr>
        <w:t>based on the current 5-year NCD strategic plan (20</w:t>
      </w:r>
      <w:r w:rsidR="0059016A">
        <w:rPr>
          <w:lang w:val="en-GB"/>
        </w:rPr>
        <w:t>20</w:t>
      </w:r>
      <w:r w:rsidRPr="00610088">
        <w:rPr>
          <w:lang w:val="en-GB"/>
        </w:rPr>
        <w:t>-202</w:t>
      </w:r>
      <w:r w:rsidR="0059016A">
        <w:rPr>
          <w:lang w:val="en-GB"/>
        </w:rPr>
        <w:t>4</w:t>
      </w:r>
      <w:r w:rsidRPr="00610088">
        <w:rPr>
          <w:lang w:val="en-GB"/>
        </w:rPr>
        <w:t xml:space="preserve">) and the detailed implementation plans. </w:t>
      </w:r>
    </w:p>
    <w:p w14:paraId="4EAA7504" w14:textId="7C58097E" w:rsidR="00272161" w:rsidRPr="00610088" w:rsidRDefault="00272161" w:rsidP="001B16D1">
      <w:pPr>
        <w:rPr>
          <w:lang w:val="en-GB"/>
        </w:rPr>
      </w:pPr>
    </w:p>
    <w:p w14:paraId="34E3F7A1" w14:textId="4C41411C" w:rsidR="007A3E6E" w:rsidRPr="00610088" w:rsidRDefault="008023B9" w:rsidP="001B16D1">
      <w:pPr>
        <w:rPr>
          <w:lang w:val="en-GB"/>
        </w:rPr>
      </w:pPr>
      <w:r w:rsidRPr="00610088">
        <w:rPr>
          <w:lang w:val="en-GB"/>
        </w:rPr>
        <w:t xml:space="preserve">The table below shows the </w:t>
      </w:r>
      <w:r w:rsidR="00FF2960" w:rsidRPr="00610088">
        <w:rPr>
          <w:lang w:val="en-GB"/>
        </w:rPr>
        <w:t xml:space="preserve">proposed </w:t>
      </w:r>
      <w:r w:rsidRPr="00610088">
        <w:rPr>
          <w:lang w:val="en-GB"/>
        </w:rPr>
        <w:t>key indicators for the M&amp;E strategic plan</w:t>
      </w:r>
      <w:r w:rsidR="003B7251" w:rsidRPr="00610088">
        <w:rPr>
          <w:lang w:val="en-GB"/>
        </w:rPr>
        <w:t>. F</w:t>
      </w:r>
      <w:r w:rsidRPr="00610088">
        <w:rPr>
          <w:lang w:val="en-GB"/>
        </w:rPr>
        <w:t>urther detail</w:t>
      </w:r>
      <w:r w:rsidR="003B7251" w:rsidRPr="00610088">
        <w:rPr>
          <w:lang w:val="en-GB"/>
        </w:rPr>
        <w:t>s</w:t>
      </w:r>
      <w:r w:rsidRPr="00610088">
        <w:rPr>
          <w:lang w:val="en-GB"/>
        </w:rPr>
        <w:t xml:space="preserve"> will be provided in the M&amp;E framework, specifically in relation to the 3 separate implementation plans</w:t>
      </w:r>
      <w:r w:rsidR="006F3AA7" w:rsidRPr="00610088">
        <w:rPr>
          <w:lang w:val="en-GB"/>
        </w:rPr>
        <w:t>.</w:t>
      </w:r>
    </w:p>
    <w:p w14:paraId="03D79801" w14:textId="00EF222D" w:rsidR="00913259" w:rsidRPr="00610088" w:rsidRDefault="00913259" w:rsidP="001B16D1">
      <w:pPr>
        <w:rPr>
          <w:lang w:val="en-GB"/>
        </w:rPr>
      </w:pPr>
    </w:p>
    <w:p w14:paraId="4C980CF4" w14:textId="367DA820" w:rsidR="008023B9" w:rsidRPr="00610088" w:rsidRDefault="008023B9" w:rsidP="008023B9">
      <w:pPr>
        <w:pStyle w:val="NoSpacing"/>
        <w:rPr>
          <w:lang w:val="en-GB"/>
        </w:rPr>
      </w:pPr>
    </w:p>
    <w:p w14:paraId="17FEDF67" w14:textId="77777777" w:rsidR="00913259" w:rsidRPr="00610088" w:rsidRDefault="00913259" w:rsidP="008023B9">
      <w:pPr>
        <w:pStyle w:val="NoSpacing"/>
        <w:rPr>
          <w:lang w:val="en-GB"/>
        </w:rPr>
      </w:pPr>
    </w:p>
    <w:p w14:paraId="371628C5" w14:textId="55B83CBC" w:rsidR="00913259" w:rsidRPr="00610088" w:rsidRDefault="00913259" w:rsidP="008023B9">
      <w:pPr>
        <w:pStyle w:val="NoSpacing"/>
        <w:rPr>
          <w:lang w:val="en-GB"/>
        </w:rPr>
        <w:sectPr w:rsidR="00913259" w:rsidRPr="00610088" w:rsidSect="001E671F">
          <w:pgSz w:w="11900" w:h="16840"/>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118"/>
        <w:gridCol w:w="2976"/>
        <w:gridCol w:w="850"/>
        <w:gridCol w:w="2551"/>
        <w:gridCol w:w="850"/>
        <w:gridCol w:w="851"/>
        <w:gridCol w:w="850"/>
        <w:gridCol w:w="772"/>
      </w:tblGrid>
      <w:tr w:rsidR="00FA2345" w:rsidRPr="00610088" w14:paraId="5B902DCE" w14:textId="77777777" w:rsidTr="00FC5D9B">
        <w:trPr>
          <w:trHeight w:val="320"/>
          <w:tblHeader/>
        </w:trPr>
        <w:tc>
          <w:tcPr>
            <w:tcW w:w="1555" w:type="dxa"/>
            <w:vMerge w:val="restart"/>
            <w:shd w:val="clear" w:color="000000" w:fill="4472C4"/>
            <w:hideMark/>
          </w:tcPr>
          <w:p w14:paraId="4777FBAB" w14:textId="77777777"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lastRenderedPageBreak/>
              <w:t>Level / Strategy</w:t>
            </w:r>
          </w:p>
        </w:tc>
        <w:tc>
          <w:tcPr>
            <w:tcW w:w="3118" w:type="dxa"/>
            <w:vMerge w:val="restart"/>
            <w:shd w:val="clear" w:color="000000" w:fill="4472C4"/>
            <w:hideMark/>
          </w:tcPr>
          <w:p w14:paraId="60FEB65F" w14:textId="08C128DA"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t>Indicator number &amp; name</w:t>
            </w:r>
          </w:p>
        </w:tc>
        <w:tc>
          <w:tcPr>
            <w:tcW w:w="2976" w:type="dxa"/>
            <w:vMerge w:val="restart"/>
            <w:shd w:val="clear" w:color="000000" w:fill="4472C4"/>
            <w:hideMark/>
          </w:tcPr>
          <w:p w14:paraId="794ADE73" w14:textId="77777777"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t>Data source(s)</w:t>
            </w:r>
          </w:p>
        </w:tc>
        <w:tc>
          <w:tcPr>
            <w:tcW w:w="850" w:type="dxa"/>
            <w:vMerge w:val="restart"/>
            <w:shd w:val="clear" w:color="000000" w:fill="4472C4"/>
            <w:noWrap/>
            <w:hideMark/>
          </w:tcPr>
          <w:p w14:paraId="4844CCB3" w14:textId="77777777"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t>Frequency</w:t>
            </w:r>
          </w:p>
        </w:tc>
        <w:tc>
          <w:tcPr>
            <w:tcW w:w="2551" w:type="dxa"/>
            <w:vMerge w:val="restart"/>
            <w:shd w:val="clear" w:color="000000" w:fill="4472C4"/>
            <w:hideMark/>
          </w:tcPr>
          <w:p w14:paraId="126DD0A9" w14:textId="77777777"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t>Baseline (data source, year)</w:t>
            </w:r>
          </w:p>
        </w:tc>
        <w:tc>
          <w:tcPr>
            <w:tcW w:w="3323" w:type="dxa"/>
            <w:gridSpan w:val="4"/>
            <w:shd w:val="clear" w:color="000000" w:fill="4472C4"/>
            <w:noWrap/>
            <w:hideMark/>
          </w:tcPr>
          <w:p w14:paraId="19EAB0DF" w14:textId="77777777" w:rsidR="00FA2345" w:rsidRPr="00610088" w:rsidRDefault="00FA2345" w:rsidP="008E053E">
            <w:pPr>
              <w:pStyle w:val="NoSpacing"/>
              <w:rPr>
                <w:b/>
                <w:bCs/>
                <w:color w:val="FFFFFF" w:themeColor="background1"/>
                <w:sz w:val="18"/>
                <w:szCs w:val="18"/>
                <w:lang w:val="en-GB"/>
              </w:rPr>
            </w:pPr>
            <w:r w:rsidRPr="00610088">
              <w:rPr>
                <w:b/>
                <w:bCs/>
                <w:color w:val="FFFFFF" w:themeColor="background1"/>
                <w:sz w:val="18"/>
                <w:szCs w:val="18"/>
                <w:lang w:val="en-GB"/>
              </w:rPr>
              <w:t>Targets</w:t>
            </w:r>
          </w:p>
        </w:tc>
      </w:tr>
      <w:tr w:rsidR="00FA2345" w:rsidRPr="00610088" w14:paraId="6E29A908" w14:textId="77777777" w:rsidTr="00FC5D9B">
        <w:trPr>
          <w:trHeight w:val="320"/>
          <w:tblHeader/>
        </w:trPr>
        <w:tc>
          <w:tcPr>
            <w:tcW w:w="1555" w:type="dxa"/>
            <w:vMerge/>
            <w:hideMark/>
          </w:tcPr>
          <w:p w14:paraId="453A2D06" w14:textId="77777777" w:rsidR="00FA2345" w:rsidRPr="00610088" w:rsidRDefault="00FA2345" w:rsidP="008E053E">
            <w:pPr>
              <w:pStyle w:val="NoSpacing"/>
              <w:rPr>
                <w:b/>
                <w:bCs/>
                <w:color w:val="FFFFFF" w:themeColor="background1"/>
                <w:sz w:val="18"/>
                <w:szCs w:val="18"/>
                <w:lang w:val="en-GB"/>
              </w:rPr>
            </w:pPr>
          </w:p>
        </w:tc>
        <w:tc>
          <w:tcPr>
            <w:tcW w:w="3118" w:type="dxa"/>
            <w:vMerge/>
            <w:hideMark/>
          </w:tcPr>
          <w:p w14:paraId="63DE1C50" w14:textId="77777777" w:rsidR="00FA2345" w:rsidRPr="00610088" w:rsidRDefault="00FA2345" w:rsidP="008E053E">
            <w:pPr>
              <w:pStyle w:val="NoSpacing"/>
              <w:rPr>
                <w:b/>
                <w:bCs/>
                <w:color w:val="FFFFFF" w:themeColor="background1"/>
                <w:sz w:val="18"/>
                <w:szCs w:val="18"/>
                <w:lang w:val="en-GB"/>
              </w:rPr>
            </w:pPr>
          </w:p>
        </w:tc>
        <w:tc>
          <w:tcPr>
            <w:tcW w:w="2976" w:type="dxa"/>
            <w:vMerge/>
            <w:hideMark/>
          </w:tcPr>
          <w:p w14:paraId="6F8415FC" w14:textId="77777777" w:rsidR="00FA2345" w:rsidRPr="00610088" w:rsidRDefault="00FA2345" w:rsidP="008E053E">
            <w:pPr>
              <w:pStyle w:val="NoSpacing"/>
              <w:rPr>
                <w:b/>
                <w:bCs/>
                <w:color w:val="FFFFFF" w:themeColor="background1"/>
                <w:sz w:val="18"/>
                <w:szCs w:val="18"/>
                <w:lang w:val="en-GB"/>
              </w:rPr>
            </w:pPr>
          </w:p>
        </w:tc>
        <w:tc>
          <w:tcPr>
            <w:tcW w:w="850" w:type="dxa"/>
            <w:vMerge/>
            <w:hideMark/>
          </w:tcPr>
          <w:p w14:paraId="394C699F" w14:textId="77777777" w:rsidR="00FA2345" w:rsidRPr="00610088" w:rsidRDefault="00FA2345" w:rsidP="008E053E">
            <w:pPr>
              <w:pStyle w:val="NoSpacing"/>
              <w:rPr>
                <w:b/>
                <w:bCs/>
                <w:color w:val="FFFFFF" w:themeColor="background1"/>
                <w:sz w:val="18"/>
                <w:szCs w:val="18"/>
                <w:lang w:val="en-GB"/>
              </w:rPr>
            </w:pPr>
          </w:p>
        </w:tc>
        <w:tc>
          <w:tcPr>
            <w:tcW w:w="2551" w:type="dxa"/>
            <w:vMerge/>
            <w:hideMark/>
          </w:tcPr>
          <w:p w14:paraId="437CC304" w14:textId="77777777" w:rsidR="00FA2345" w:rsidRPr="00610088" w:rsidRDefault="00FA2345" w:rsidP="008E053E">
            <w:pPr>
              <w:pStyle w:val="NoSpacing"/>
              <w:rPr>
                <w:b/>
                <w:bCs/>
                <w:color w:val="FFFFFF" w:themeColor="background1"/>
                <w:sz w:val="18"/>
                <w:szCs w:val="18"/>
                <w:lang w:val="en-GB"/>
              </w:rPr>
            </w:pPr>
          </w:p>
        </w:tc>
        <w:tc>
          <w:tcPr>
            <w:tcW w:w="850" w:type="dxa"/>
            <w:shd w:val="clear" w:color="000000" w:fill="4472C4"/>
            <w:noWrap/>
            <w:hideMark/>
          </w:tcPr>
          <w:p w14:paraId="24524A85" w14:textId="16AE1BC4" w:rsidR="00FA2345" w:rsidRPr="00610088" w:rsidRDefault="00FA2345" w:rsidP="008E053E">
            <w:pPr>
              <w:pStyle w:val="NoSpacing"/>
              <w:rPr>
                <w:color w:val="FFFFFF" w:themeColor="background1"/>
                <w:sz w:val="18"/>
                <w:szCs w:val="18"/>
                <w:lang w:val="en-GB"/>
              </w:rPr>
            </w:pPr>
            <w:r w:rsidRPr="00610088">
              <w:rPr>
                <w:color w:val="FFFFFF" w:themeColor="background1"/>
                <w:sz w:val="18"/>
                <w:szCs w:val="18"/>
                <w:lang w:val="en-GB"/>
              </w:rPr>
              <w:t>202</w:t>
            </w:r>
            <w:r w:rsidR="0059016A">
              <w:rPr>
                <w:color w:val="FFFFFF" w:themeColor="background1"/>
                <w:sz w:val="18"/>
                <w:szCs w:val="18"/>
                <w:lang w:val="en-GB"/>
              </w:rPr>
              <w:t>1</w:t>
            </w:r>
          </w:p>
        </w:tc>
        <w:tc>
          <w:tcPr>
            <w:tcW w:w="851" w:type="dxa"/>
            <w:shd w:val="clear" w:color="000000" w:fill="4472C4"/>
            <w:noWrap/>
            <w:hideMark/>
          </w:tcPr>
          <w:p w14:paraId="04019089" w14:textId="3A105018" w:rsidR="00FA2345" w:rsidRPr="00610088" w:rsidRDefault="00FA2345" w:rsidP="008E053E">
            <w:pPr>
              <w:pStyle w:val="NoSpacing"/>
              <w:rPr>
                <w:color w:val="FFFFFF" w:themeColor="background1"/>
                <w:sz w:val="18"/>
                <w:szCs w:val="18"/>
                <w:lang w:val="en-GB"/>
              </w:rPr>
            </w:pPr>
            <w:r w:rsidRPr="00610088">
              <w:rPr>
                <w:color w:val="FFFFFF" w:themeColor="background1"/>
                <w:sz w:val="18"/>
                <w:szCs w:val="18"/>
                <w:lang w:val="en-GB"/>
              </w:rPr>
              <w:t>202</w:t>
            </w:r>
            <w:r w:rsidR="0059016A">
              <w:rPr>
                <w:color w:val="FFFFFF" w:themeColor="background1"/>
                <w:sz w:val="18"/>
                <w:szCs w:val="18"/>
                <w:lang w:val="en-GB"/>
              </w:rPr>
              <w:t>2</w:t>
            </w:r>
          </w:p>
        </w:tc>
        <w:tc>
          <w:tcPr>
            <w:tcW w:w="850" w:type="dxa"/>
            <w:shd w:val="clear" w:color="000000" w:fill="4472C4"/>
            <w:hideMark/>
          </w:tcPr>
          <w:p w14:paraId="4B127E6F" w14:textId="30C73211" w:rsidR="00FA2345" w:rsidRPr="00610088" w:rsidRDefault="00FA2345" w:rsidP="008E053E">
            <w:pPr>
              <w:pStyle w:val="NoSpacing"/>
              <w:rPr>
                <w:color w:val="FFFFFF" w:themeColor="background1"/>
                <w:sz w:val="18"/>
                <w:szCs w:val="18"/>
                <w:lang w:val="en-GB"/>
              </w:rPr>
            </w:pPr>
            <w:r w:rsidRPr="00610088">
              <w:rPr>
                <w:color w:val="FFFFFF" w:themeColor="background1"/>
                <w:sz w:val="18"/>
                <w:szCs w:val="18"/>
                <w:lang w:val="en-GB"/>
              </w:rPr>
              <w:t>202</w:t>
            </w:r>
            <w:r w:rsidR="0059016A">
              <w:rPr>
                <w:color w:val="FFFFFF" w:themeColor="background1"/>
                <w:sz w:val="18"/>
                <w:szCs w:val="18"/>
                <w:lang w:val="en-GB"/>
              </w:rPr>
              <w:t>3</w:t>
            </w:r>
          </w:p>
        </w:tc>
        <w:tc>
          <w:tcPr>
            <w:tcW w:w="772" w:type="dxa"/>
            <w:shd w:val="clear" w:color="000000" w:fill="4472C4"/>
            <w:hideMark/>
          </w:tcPr>
          <w:p w14:paraId="1F8937AD" w14:textId="5F064A12" w:rsidR="00FA2345" w:rsidRPr="00610088" w:rsidRDefault="00FA2345" w:rsidP="008E053E">
            <w:pPr>
              <w:pStyle w:val="NoSpacing"/>
              <w:rPr>
                <w:color w:val="FFFFFF" w:themeColor="background1"/>
                <w:sz w:val="18"/>
                <w:szCs w:val="18"/>
                <w:lang w:val="en-GB"/>
              </w:rPr>
            </w:pPr>
            <w:r w:rsidRPr="00610088">
              <w:rPr>
                <w:color w:val="FFFFFF" w:themeColor="background1"/>
                <w:sz w:val="18"/>
                <w:szCs w:val="18"/>
                <w:lang w:val="en-GB"/>
              </w:rPr>
              <w:t>202</w:t>
            </w:r>
            <w:r w:rsidR="0059016A">
              <w:rPr>
                <w:color w:val="FFFFFF" w:themeColor="background1"/>
                <w:sz w:val="18"/>
                <w:szCs w:val="18"/>
                <w:lang w:val="en-GB"/>
              </w:rPr>
              <w:t>4</w:t>
            </w:r>
          </w:p>
        </w:tc>
      </w:tr>
      <w:tr w:rsidR="00FA2345" w:rsidRPr="00610088" w14:paraId="0044ECE3" w14:textId="77777777" w:rsidTr="00FC5D9B">
        <w:trPr>
          <w:trHeight w:val="397"/>
        </w:trPr>
        <w:tc>
          <w:tcPr>
            <w:tcW w:w="1555" w:type="dxa"/>
            <w:vMerge w:val="restart"/>
            <w:shd w:val="clear" w:color="000000" w:fill="D9E2F3"/>
            <w:hideMark/>
          </w:tcPr>
          <w:p w14:paraId="4F469928" w14:textId="0CF8A652" w:rsidR="00FA2345" w:rsidRPr="00610088" w:rsidRDefault="00FA2345" w:rsidP="008E053E">
            <w:pPr>
              <w:pStyle w:val="NoSpacing"/>
              <w:rPr>
                <w:b/>
                <w:bCs/>
                <w:sz w:val="18"/>
                <w:szCs w:val="18"/>
                <w:lang w:val="en-GB"/>
              </w:rPr>
            </w:pPr>
            <w:r w:rsidRPr="00610088">
              <w:rPr>
                <w:b/>
                <w:bCs/>
                <w:sz w:val="18"/>
                <w:szCs w:val="18"/>
                <w:lang w:val="en-GB"/>
              </w:rPr>
              <w:t>Impact</w:t>
            </w:r>
          </w:p>
        </w:tc>
        <w:tc>
          <w:tcPr>
            <w:tcW w:w="3118" w:type="dxa"/>
            <w:shd w:val="clear" w:color="000000" w:fill="D9E2F3"/>
            <w:hideMark/>
          </w:tcPr>
          <w:p w14:paraId="626E7A1B" w14:textId="01873B8C" w:rsidR="00FA2345" w:rsidRPr="00610088" w:rsidRDefault="00FA2345" w:rsidP="008E053E">
            <w:pPr>
              <w:pStyle w:val="NoSpacing"/>
              <w:rPr>
                <w:sz w:val="18"/>
                <w:szCs w:val="18"/>
                <w:lang w:val="en-GB"/>
              </w:rPr>
            </w:pPr>
            <w:r w:rsidRPr="00610088">
              <w:rPr>
                <w:sz w:val="18"/>
                <w:szCs w:val="18"/>
                <w:lang w:val="en-GB"/>
              </w:rPr>
              <w:t>Impact 1. Premature NCD Mortality</w:t>
            </w:r>
          </w:p>
        </w:tc>
        <w:tc>
          <w:tcPr>
            <w:tcW w:w="2976" w:type="dxa"/>
            <w:shd w:val="clear" w:color="000000" w:fill="D9E2F3"/>
            <w:hideMark/>
          </w:tcPr>
          <w:p w14:paraId="54EAE0E0" w14:textId="77777777" w:rsidR="00FA2345" w:rsidRPr="00610088" w:rsidRDefault="00FA2345" w:rsidP="008E053E">
            <w:pPr>
              <w:pStyle w:val="NoSpacing"/>
              <w:rPr>
                <w:sz w:val="18"/>
                <w:szCs w:val="18"/>
                <w:lang w:val="en-GB"/>
              </w:rPr>
            </w:pPr>
            <w:r w:rsidRPr="00610088">
              <w:rPr>
                <w:sz w:val="18"/>
                <w:szCs w:val="18"/>
                <w:lang w:val="en-GB"/>
              </w:rPr>
              <w:t>Birth &amp; Deaths registry</w:t>
            </w:r>
          </w:p>
        </w:tc>
        <w:tc>
          <w:tcPr>
            <w:tcW w:w="850" w:type="dxa"/>
            <w:shd w:val="clear" w:color="000000" w:fill="D9E2F3"/>
            <w:noWrap/>
            <w:hideMark/>
          </w:tcPr>
          <w:p w14:paraId="51C1D8ED"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14ABD6FD" w14:textId="528AED9A" w:rsidR="00FA2345" w:rsidRPr="00610088" w:rsidRDefault="00FA2345" w:rsidP="008E053E">
            <w:pPr>
              <w:pStyle w:val="NoSpacing"/>
              <w:rPr>
                <w:i/>
                <w:iCs/>
                <w:sz w:val="18"/>
                <w:szCs w:val="18"/>
                <w:lang w:val="en-GB"/>
              </w:rPr>
            </w:pPr>
            <w:r w:rsidRPr="00610088">
              <w:rPr>
                <w:i/>
                <w:iCs/>
                <w:sz w:val="18"/>
                <w:szCs w:val="18"/>
                <w:lang w:val="en-GB"/>
              </w:rPr>
              <w:t>Not available for now from registry (not detailed enough)</w:t>
            </w:r>
          </w:p>
        </w:tc>
        <w:tc>
          <w:tcPr>
            <w:tcW w:w="850" w:type="dxa"/>
            <w:shd w:val="clear" w:color="000000" w:fill="D9E2F3"/>
            <w:noWrap/>
            <w:hideMark/>
          </w:tcPr>
          <w:p w14:paraId="1F63680D"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D9E2F3"/>
            <w:noWrap/>
            <w:hideMark/>
          </w:tcPr>
          <w:p w14:paraId="439B80C8"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D9E2F3"/>
            <w:hideMark/>
          </w:tcPr>
          <w:p w14:paraId="3FA84C20"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000000" w:fill="D9E2F3"/>
            <w:hideMark/>
          </w:tcPr>
          <w:p w14:paraId="367D4ECD" w14:textId="77777777" w:rsidR="00FA2345" w:rsidRPr="00610088" w:rsidRDefault="00FA2345" w:rsidP="008E053E">
            <w:pPr>
              <w:pStyle w:val="NoSpacing"/>
              <w:rPr>
                <w:sz w:val="18"/>
                <w:szCs w:val="18"/>
                <w:lang w:val="en-GB"/>
              </w:rPr>
            </w:pPr>
            <w:r w:rsidRPr="00610088">
              <w:rPr>
                <w:sz w:val="18"/>
                <w:szCs w:val="18"/>
                <w:lang w:val="en-GB"/>
              </w:rPr>
              <w:t> </w:t>
            </w:r>
          </w:p>
        </w:tc>
      </w:tr>
      <w:tr w:rsidR="00FA2345" w:rsidRPr="00610088" w14:paraId="17D40A8C" w14:textId="77777777" w:rsidTr="00FC5D9B">
        <w:trPr>
          <w:trHeight w:val="227"/>
        </w:trPr>
        <w:tc>
          <w:tcPr>
            <w:tcW w:w="1555" w:type="dxa"/>
            <w:vMerge/>
            <w:vAlign w:val="center"/>
            <w:hideMark/>
          </w:tcPr>
          <w:p w14:paraId="6F406ED8" w14:textId="77777777" w:rsidR="00FA2345" w:rsidRPr="00610088" w:rsidRDefault="00FA2345" w:rsidP="008E053E">
            <w:pPr>
              <w:pStyle w:val="NoSpacing"/>
              <w:rPr>
                <w:sz w:val="18"/>
                <w:szCs w:val="18"/>
                <w:lang w:val="en-GB"/>
              </w:rPr>
            </w:pPr>
          </w:p>
        </w:tc>
        <w:tc>
          <w:tcPr>
            <w:tcW w:w="3118" w:type="dxa"/>
            <w:shd w:val="clear" w:color="auto" w:fill="auto"/>
            <w:hideMark/>
          </w:tcPr>
          <w:p w14:paraId="15E93F05" w14:textId="0C3189D5" w:rsidR="00FA2345" w:rsidRPr="00610088" w:rsidRDefault="00FA2345" w:rsidP="008E053E">
            <w:pPr>
              <w:pStyle w:val="NoSpacing"/>
              <w:rPr>
                <w:sz w:val="18"/>
                <w:szCs w:val="18"/>
                <w:lang w:val="en-GB"/>
              </w:rPr>
            </w:pPr>
            <w:r w:rsidRPr="00610088">
              <w:rPr>
                <w:sz w:val="18"/>
                <w:szCs w:val="18"/>
                <w:lang w:val="en-GB"/>
              </w:rPr>
              <w:t>Impact 2. Cancer incidence, by type</w:t>
            </w:r>
          </w:p>
        </w:tc>
        <w:tc>
          <w:tcPr>
            <w:tcW w:w="2976" w:type="dxa"/>
            <w:shd w:val="clear" w:color="auto" w:fill="auto"/>
            <w:hideMark/>
          </w:tcPr>
          <w:p w14:paraId="5C9580E7" w14:textId="77777777" w:rsidR="00FA2345" w:rsidRPr="00610088" w:rsidRDefault="00FA2345" w:rsidP="008E053E">
            <w:pPr>
              <w:pStyle w:val="NoSpacing"/>
              <w:rPr>
                <w:sz w:val="18"/>
                <w:szCs w:val="18"/>
                <w:lang w:val="en-GB"/>
              </w:rPr>
            </w:pPr>
            <w:r w:rsidRPr="00610088">
              <w:rPr>
                <w:sz w:val="18"/>
                <w:szCs w:val="18"/>
                <w:lang w:val="en-GB"/>
              </w:rPr>
              <w:t>Population based cancer registry</w:t>
            </w:r>
          </w:p>
          <w:p w14:paraId="5A8960B0" w14:textId="2D6F928B" w:rsidR="004839BA" w:rsidRPr="00610088" w:rsidRDefault="004839BA" w:rsidP="008E053E">
            <w:pPr>
              <w:pStyle w:val="NoSpacing"/>
              <w:rPr>
                <w:sz w:val="18"/>
                <w:szCs w:val="18"/>
                <w:lang w:val="en-GB"/>
              </w:rPr>
            </w:pPr>
            <w:r w:rsidRPr="00610088">
              <w:rPr>
                <w:sz w:val="18"/>
                <w:szCs w:val="18"/>
                <w:lang w:val="en-GB"/>
              </w:rPr>
              <w:t xml:space="preserve">Or to start </w:t>
            </w:r>
            <w:proofErr w:type="gramStart"/>
            <w:r w:rsidRPr="00610088">
              <w:rPr>
                <w:sz w:val="18"/>
                <w:szCs w:val="18"/>
                <w:lang w:val="en-GB"/>
              </w:rPr>
              <w:t>hospital based</w:t>
            </w:r>
            <w:proofErr w:type="gramEnd"/>
            <w:r w:rsidRPr="00610088">
              <w:rPr>
                <w:sz w:val="18"/>
                <w:szCs w:val="18"/>
                <w:lang w:val="en-GB"/>
              </w:rPr>
              <w:t xml:space="preserve"> cancer registries</w:t>
            </w:r>
          </w:p>
        </w:tc>
        <w:tc>
          <w:tcPr>
            <w:tcW w:w="850" w:type="dxa"/>
            <w:shd w:val="clear" w:color="auto" w:fill="auto"/>
            <w:noWrap/>
            <w:hideMark/>
          </w:tcPr>
          <w:p w14:paraId="634F235E"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6E0CA869" w14:textId="1C220ACB" w:rsidR="00FA2345" w:rsidRPr="00610088" w:rsidRDefault="00FA2345" w:rsidP="008E053E">
            <w:pPr>
              <w:pStyle w:val="NoSpacing"/>
              <w:rPr>
                <w:i/>
                <w:iCs/>
                <w:sz w:val="18"/>
                <w:szCs w:val="18"/>
                <w:lang w:val="en-GB"/>
              </w:rPr>
            </w:pPr>
            <w:r w:rsidRPr="00610088">
              <w:rPr>
                <w:i/>
                <w:iCs/>
                <w:sz w:val="18"/>
                <w:szCs w:val="18"/>
                <w:lang w:val="en-GB"/>
              </w:rPr>
              <w:t>Not available for now – National Cancer Registry only covers 18 health facilities</w:t>
            </w:r>
          </w:p>
        </w:tc>
        <w:tc>
          <w:tcPr>
            <w:tcW w:w="850" w:type="dxa"/>
            <w:shd w:val="clear" w:color="auto" w:fill="auto"/>
            <w:noWrap/>
            <w:hideMark/>
          </w:tcPr>
          <w:p w14:paraId="76A5A71F"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auto" w:fill="auto"/>
            <w:noWrap/>
            <w:hideMark/>
          </w:tcPr>
          <w:p w14:paraId="4C094E84"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auto" w:fill="auto"/>
            <w:hideMark/>
          </w:tcPr>
          <w:p w14:paraId="1C15FA58"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hideMark/>
          </w:tcPr>
          <w:p w14:paraId="1231B406" w14:textId="77777777" w:rsidR="00FA2345" w:rsidRPr="00610088" w:rsidRDefault="00FA2345" w:rsidP="008E053E">
            <w:pPr>
              <w:pStyle w:val="NoSpacing"/>
              <w:rPr>
                <w:sz w:val="18"/>
                <w:szCs w:val="18"/>
                <w:lang w:val="en-GB"/>
              </w:rPr>
            </w:pPr>
            <w:r w:rsidRPr="00610088">
              <w:rPr>
                <w:sz w:val="18"/>
                <w:szCs w:val="18"/>
                <w:lang w:val="en-GB"/>
              </w:rPr>
              <w:t> </w:t>
            </w:r>
          </w:p>
        </w:tc>
      </w:tr>
      <w:tr w:rsidR="00FA2345" w:rsidRPr="00610088" w14:paraId="20C51734" w14:textId="77777777" w:rsidTr="00FC5D9B">
        <w:trPr>
          <w:trHeight w:val="227"/>
        </w:trPr>
        <w:tc>
          <w:tcPr>
            <w:tcW w:w="1555" w:type="dxa"/>
            <w:vMerge w:val="restart"/>
            <w:shd w:val="clear" w:color="auto" w:fill="auto"/>
            <w:hideMark/>
          </w:tcPr>
          <w:p w14:paraId="3CA55176" w14:textId="77777777" w:rsidR="00FA2345" w:rsidRPr="00610088" w:rsidRDefault="00FA2345" w:rsidP="008E053E">
            <w:pPr>
              <w:pStyle w:val="NoSpacing"/>
              <w:rPr>
                <w:sz w:val="18"/>
                <w:szCs w:val="18"/>
                <w:lang w:val="en-GB"/>
              </w:rPr>
            </w:pPr>
            <w:r w:rsidRPr="00610088">
              <w:rPr>
                <w:sz w:val="18"/>
                <w:szCs w:val="18"/>
                <w:lang w:val="en-GB"/>
              </w:rPr>
              <w:t>SO1 - Strengthening and capacity building of NCD Directorate at national and district level</w:t>
            </w:r>
          </w:p>
        </w:tc>
        <w:tc>
          <w:tcPr>
            <w:tcW w:w="3118" w:type="dxa"/>
            <w:shd w:val="clear" w:color="auto" w:fill="auto"/>
            <w:hideMark/>
          </w:tcPr>
          <w:p w14:paraId="2D32E2FA" w14:textId="4CF1FC9E" w:rsidR="00FA2345" w:rsidRPr="00610088" w:rsidRDefault="00FA2345" w:rsidP="008E053E">
            <w:pPr>
              <w:pStyle w:val="NoSpacing"/>
              <w:rPr>
                <w:sz w:val="18"/>
                <w:szCs w:val="18"/>
                <w:lang w:val="en-GB"/>
              </w:rPr>
            </w:pPr>
            <w:r w:rsidRPr="00610088">
              <w:rPr>
                <w:sz w:val="18"/>
                <w:szCs w:val="18"/>
                <w:lang w:val="en-GB"/>
              </w:rPr>
              <w:t>1.1 % of Key NCD area national focal persons</w:t>
            </w:r>
          </w:p>
        </w:tc>
        <w:tc>
          <w:tcPr>
            <w:tcW w:w="2976" w:type="dxa"/>
            <w:shd w:val="clear" w:color="auto" w:fill="auto"/>
            <w:hideMark/>
          </w:tcPr>
          <w:p w14:paraId="1C85B053" w14:textId="77777777" w:rsidR="00FA2345" w:rsidRPr="00610088" w:rsidRDefault="00FA2345" w:rsidP="008E053E">
            <w:pPr>
              <w:pStyle w:val="NoSpacing"/>
              <w:rPr>
                <w:sz w:val="18"/>
                <w:szCs w:val="18"/>
                <w:lang w:val="en-GB"/>
              </w:rPr>
            </w:pPr>
            <w:r w:rsidRPr="00610088">
              <w:rPr>
                <w:sz w:val="18"/>
                <w:szCs w:val="18"/>
                <w:lang w:val="en-GB"/>
              </w:rPr>
              <w:t>DNCD&amp;MH documents</w:t>
            </w:r>
          </w:p>
        </w:tc>
        <w:tc>
          <w:tcPr>
            <w:tcW w:w="850" w:type="dxa"/>
            <w:shd w:val="clear" w:color="auto" w:fill="auto"/>
            <w:hideMark/>
          </w:tcPr>
          <w:p w14:paraId="4FCA1D71"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17D86839" w14:textId="77777777" w:rsidR="00FA2345" w:rsidRPr="00610088" w:rsidRDefault="00FA2345" w:rsidP="008E053E">
            <w:pPr>
              <w:pStyle w:val="NoSpacing"/>
              <w:rPr>
                <w:sz w:val="18"/>
                <w:szCs w:val="18"/>
                <w:lang w:val="en-GB"/>
              </w:rPr>
            </w:pPr>
            <w:r w:rsidRPr="00610088">
              <w:rPr>
                <w:sz w:val="18"/>
                <w:szCs w:val="18"/>
                <w:lang w:val="en-GB"/>
              </w:rPr>
              <w:t xml:space="preserve">0% </w:t>
            </w:r>
            <w:r w:rsidRPr="00610088">
              <w:rPr>
                <w:sz w:val="18"/>
                <w:szCs w:val="18"/>
                <w:lang w:val="en-GB"/>
              </w:rPr>
              <w:br/>
              <w:t>(DNCD&amp;MH, 2019)</w:t>
            </w:r>
          </w:p>
        </w:tc>
        <w:tc>
          <w:tcPr>
            <w:tcW w:w="850" w:type="dxa"/>
            <w:shd w:val="clear" w:color="auto" w:fill="auto"/>
            <w:hideMark/>
          </w:tcPr>
          <w:p w14:paraId="642302F5" w14:textId="77777777" w:rsidR="00FA2345" w:rsidRPr="00610088" w:rsidRDefault="00FA2345" w:rsidP="008E053E">
            <w:pPr>
              <w:pStyle w:val="NoSpacing"/>
              <w:rPr>
                <w:sz w:val="18"/>
                <w:szCs w:val="18"/>
                <w:lang w:val="en-GB"/>
              </w:rPr>
            </w:pPr>
            <w:r w:rsidRPr="00610088">
              <w:rPr>
                <w:sz w:val="18"/>
                <w:szCs w:val="18"/>
                <w:lang w:val="en-GB"/>
              </w:rPr>
              <w:t>50%</w:t>
            </w:r>
          </w:p>
        </w:tc>
        <w:tc>
          <w:tcPr>
            <w:tcW w:w="851" w:type="dxa"/>
            <w:shd w:val="clear" w:color="auto" w:fill="auto"/>
            <w:hideMark/>
          </w:tcPr>
          <w:p w14:paraId="2E35704F" w14:textId="77777777" w:rsidR="00FA2345" w:rsidRPr="00610088" w:rsidRDefault="00FA2345" w:rsidP="008E053E">
            <w:pPr>
              <w:pStyle w:val="NoSpacing"/>
              <w:rPr>
                <w:sz w:val="18"/>
                <w:szCs w:val="18"/>
                <w:lang w:val="en-GB"/>
              </w:rPr>
            </w:pPr>
            <w:r w:rsidRPr="00610088">
              <w:rPr>
                <w:sz w:val="18"/>
                <w:szCs w:val="18"/>
                <w:lang w:val="en-GB"/>
              </w:rPr>
              <w:t>70%</w:t>
            </w:r>
          </w:p>
        </w:tc>
        <w:tc>
          <w:tcPr>
            <w:tcW w:w="850" w:type="dxa"/>
            <w:shd w:val="clear" w:color="auto" w:fill="auto"/>
            <w:noWrap/>
            <w:hideMark/>
          </w:tcPr>
          <w:p w14:paraId="5322517A" w14:textId="77777777" w:rsidR="00FA2345" w:rsidRPr="00610088" w:rsidRDefault="00FA2345" w:rsidP="008E053E">
            <w:pPr>
              <w:pStyle w:val="NoSpacing"/>
              <w:rPr>
                <w:sz w:val="18"/>
                <w:szCs w:val="18"/>
                <w:lang w:val="en-GB"/>
              </w:rPr>
            </w:pPr>
            <w:r w:rsidRPr="00610088">
              <w:rPr>
                <w:sz w:val="18"/>
                <w:szCs w:val="18"/>
                <w:lang w:val="en-GB"/>
              </w:rPr>
              <w:t>85%</w:t>
            </w:r>
          </w:p>
        </w:tc>
        <w:tc>
          <w:tcPr>
            <w:tcW w:w="772" w:type="dxa"/>
            <w:shd w:val="clear" w:color="auto" w:fill="auto"/>
            <w:hideMark/>
          </w:tcPr>
          <w:p w14:paraId="669C99CC" w14:textId="77777777" w:rsidR="00FA2345" w:rsidRPr="00610088" w:rsidRDefault="00FA2345" w:rsidP="008E053E">
            <w:pPr>
              <w:pStyle w:val="NoSpacing"/>
              <w:rPr>
                <w:sz w:val="18"/>
                <w:szCs w:val="18"/>
                <w:lang w:val="en-GB"/>
              </w:rPr>
            </w:pPr>
            <w:r w:rsidRPr="00610088">
              <w:rPr>
                <w:sz w:val="18"/>
                <w:szCs w:val="18"/>
                <w:lang w:val="en-GB"/>
              </w:rPr>
              <w:t>100%</w:t>
            </w:r>
          </w:p>
        </w:tc>
      </w:tr>
      <w:tr w:rsidR="00FA2345" w:rsidRPr="00610088" w14:paraId="42FA66B3" w14:textId="77777777" w:rsidTr="00FC5D9B">
        <w:trPr>
          <w:trHeight w:val="227"/>
        </w:trPr>
        <w:tc>
          <w:tcPr>
            <w:tcW w:w="1555" w:type="dxa"/>
            <w:vMerge/>
            <w:vAlign w:val="center"/>
            <w:hideMark/>
          </w:tcPr>
          <w:p w14:paraId="4417F58A" w14:textId="77777777" w:rsidR="00FA2345" w:rsidRPr="00610088" w:rsidRDefault="00FA2345" w:rsidP="008E053E">
            <w:pPr>
              <w:pStyle w:val="NoSpacing"/>
              <w:rPr>
                <w:sz w:val="18"/>
                <w:szCs w:val="18"/>
                <w:lang w:val="en-GB"/>
              </w:rPr>
            </w:pPr>
          </w:p>
        </w:tc>
        <w:tc>
          <w:tcPr>
            <w:tcW w:w="3118" w:type="dxa"/>
            <w:shd w:val="clear" w:color="auto" w:fill="auto"/>
            <w:hideMark/>
          </w:tcPr>
          <w:p w14:paraId="66338C31" w14:textId="77777777" w:rsidR="00FA2345" w:rsidRPr="00610088" w:rsidRDefault="00FA2345" w:rsidP="008E053E">
            <w:pPr>
              <w:pStyle w:val="NoSpacing"/>
              <w:rPr>
                <w:sz w:val="18"/>
                <w:szCs w:val="18"/>
                <w:lang w:val="en-GB"/>
              </w:rPr>
            </w:pPr>
            <w:r w:rsidRPr="00610088">
              <w:rPr>
                <w:sz w:val="18"/>
                <w:szCs w:val="18"/>
                <w:lang w:val="en-GB"/>
              </w:rPr>
              <w:t>% of districts with focal persons</w:t>
            </w:r>
          </w:p>
        </w:tc>
        <w:tc>
          <w:tcPr>
            <w:tcW w:w="2976" w:type="dxa"/>
            <w:shd w:val="clear" w:color="auto" w:fill="auto"/>
            <w:hideMark/>
          </w:tcPr>
          <w:p w14:paraId="3505B6AD" w14:textId="77777777" w:rsidR="00FA2345" w:rsidRPr="00610088" w:rsidRDefault="00FA2345" w:rsidP="008E053E">
            <w:pPr>
              <w:pStyle w:val="NoSpacing"/>
              <w:rPr>
                <w:sz w:val="18"/>
                <w:szCs w:val="18"/>
                <w:lang w:val="en-GB"/>
              </w:rPr>
            </w:pPr>
            <w:r w:rsidRPr="00610088">
              <w:rPr>
                <w:sz w:val="18"/>
                <w:szCs w:val="18"/>
                <w:lang w:val="en-GB"/>
              </w:rPr>
              <w:t>DNCD&amp;MH documents</w:t>
            </w:r>
          </w:p>
        </w:tc>
        <w:tc>
          <w:tcPr>
            <w:tcW w:w="850" w:type="dxa"/>
            <w:shd w:val="clear" w:color="auto" w:fill="auto"/>
            <w:hideMark/>
          </w:tcPr>
          <w:p w14:paraId="373DE92F"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5D277DD9" w14:textId="77777777" w:rsidR="00FA2345" w:rsidRPr="00610088" w:rsidRDefault="00FA2345" w:rsidP="008E053E">
            <w:pPr>
              <w:pStyle w:val="NoSpacing"/>
              <w:rPr>
                <w:sz w:val="18"/>
                <w:szCs w:val="18"/>
                <w:lang w:val="en-GB"/>
              </w:rPr>
            </w:pPr>
            <w:r w:rsidRPr="00610088">
              <w:rPr>
                <w:sz w:val="18"/>
                <w:szCs w:val="18"/>
                <w:lang w:val="en-GB"/>
              </w:rPr>
              <w:t>0%</w:t>
            </w:r>
            <w:r w:rsidRPr="00610088">
              <w:rPr>
                <w:sz w:val="18"/>
                <w:szCs w:val="18"/>
                <w:lang w:val="en-GB"/>
              </w:rPr>
              <w:br/>
              <w:t xml:space="preserve"> (DNCD&amp;MH, 2019)</w:t>
            </w:r>
          </w:p>
        </w:tc>
        <w:tc>
          <w:tcPr>
            <w:tcW w:w="850" w:type="dxa"/>
            <w:shd w:val="clear" w:color="auto" w:fill="auto"/>
            <w:hideMark/>
          </w:tcPr>
          <w:p w14:paraId="4F13DC80" w14:textId="77777777" w:rsidR="00FA2345" w:rsidRPr="00610088" w:rsidRDefault="00FA2345" w:rsidP="008E053E">
            <w:pPr>
              <w:pStyle w:val="NoSpacing"/>
              <w:rPr>
                <w:sz w:val="18"/>
                <w:szCs w:val="18"/>
                <w:lang w:val="en-GB"/>
              </w:rPr>
            </w:pPr>
            <w:r w:rsidRPr="00610088">
              <w:rPr>
                <w:sz w:val="18"/>
                <w:szCs w:val="18"/>
                <w:lang w:val="en-GB"/>
              </w:rPr>
              <w:t>75%</w:t>
            </w:r>
          </w:p>
        </w:tc>
        <w:tc>
          <w:tcPr>
            <w:tcW w:w="851" w:type="dxa"/>
            <w:shd w:val="clear" w:color="auto" w:fill="auto"/>
            <w:hideMark/>
          </w:tcPr>
          <w:p w14:paraId="47FEFF34" w14:textId="77777777" w:rsidR="00FA2345" w:rsidRPr="00610088" w:rsidRDefault="00FA2345" w:rsidP="008E053E">
            <w:pPr>
              <w:pStyle w:val="NoSpacing"/>
              <w:rPr>
                <w:sz w:val="18"/>
                <w:szCs w:val="18"/>
                <w:lang w:val="en-GB"/>
              </w:rPr>
            </w:pPr>
            <w:r w:rsidRPr="00610088">
              <w:rPr>
                <w:sz w:val="18"/>
                <w:szCs w:val="18"/>
                <w:lang w:val="en-GB"/>
              </w:rPr>
              <w:t>85%</w:t>
            </w:r>
          </w:p>
        </w:tc>
        <w:tc>
          <w:tcPr>
            <w:tcW w:w="850" w:type="dxa"/>
            <w:shd w:val="clear" w:color="auto" w:fill="auto"/>
            <w:noWrap/>
            <w:hideMark/>
          </w:tcPr>
          <w:p w14:paraId="1C914C87" w14:textId="77777777" w:rsidR="00FA2345" w:rsidRPr="00610088" w:rsidRDefault="00FA2345" w:rsidP="008E053E">
            <w:pPr>
              <w:pStyle w:val="NoSpacing"/>
              <w:rPr>
                <w:sz w:val="18"/>
                <w:szCs w:val="18"/>
                <w:lang w:val="en-GB"/>
              </w:rPr>
            </w:pPr>
            <w:r w:rsidRPr="00610088">
              <w:rPr>
                <w:sz w:val="18"/>
                <w:szCs w:val="18"/>
                <w:lang w:val="en-GB"/>
              </w:rPr>
              <w:t>90%</w:t>
            </w:r>
          </w:p>
        </w:tc>
        <w:tc>
          <w:tcPr>
            <w:tcW w:w="772" w:type="dxa"/>
            <w:shd w:val="clear" w:color="auto" w:fill="auto"/>
            <w:hideMark/>
          </w:tcPr>
          <w:p w14:paraId="0D319A55" w14:textId="77777777" w:rsidR="00FA2345" w:rsidRPr="00610088" w:rsidRDefault="00FA2345" w:rsidP="008E053E">
            <w:pPr>
              <w:pStyle w:val="NoSpacing"/>
              <w:rPr>
                <w:sz w:val="18"/>
                <w:szCs w:val="18"/>
                <w:lang w:val="en-GB"/>
              </w:rPr>
            </w:pPr>
            <w:r w:rsidRPr="00610088">
              <w:rPr>
                <w:sz w:val="18"/>
                <w:szCs w:val="18"/>
                <w:lang w:val="en-GB"/>
              </w:rPr>
              <w:t>100%</w:t>
            </w:r>
          </w:p>
        </w:tc>
      </w:tr>
      <w:tr w:rsidR="00FA2345" w:rsidRPr="00610088" w14:paraId="20DB5E30" w14:textId="77777777" w:rsidTr="00FC5D9B">
        <w:trPr>
          <w:trHeight w:val="227"/>
        </w:trPr>
        <w:tc>
          <w:tcPr>
            <w:tcW w:w="1555" w:type="dxa"/>
            <w:vMerge/>
            <w:vAlign w:val="center"/>
            <w:hideMark/>
          </w:tcPr>
          <w:p w14:paraId="1B42C73B" w14:textId="77777777" w:rsidR="00FA2345" w:rsidRPr="00610088" w:rsidRDefault="00FA2345" w:rsidP="008E053E">
            <w:pPr>
              <w:pStyle w:val="NoSpacing"/>
              <w:rPr>
                <w:sz w:val="18"/>
                <w:szCs w:val="18"/>
                <w:lang w:val="en-GB"/>
              </w:rPr>
            </w:pPr>
          </w:p>
        </w:tc>
        <w:tc>
          <w:tcPr>
            <w:tcW w:w="3118" w:type="dxa"/>
            <w:shd w:val="clear" w:color="000000" w:fill="D9E2F3"/>
            <w:hideMark/>
          </w:tcPr>
          <w:p w14:paraId="6BE1F2FB" w14:textId="258BCDBD" w:rsidR="00FA2345" w:rsidRPr="00610088" w:rsidRDefault="00FA2345" w:rsidP="008E053E">
            <w:pPr>
              <w:pStyle w:val="NoSpacing"/>
              <w:rPr>
                <w:sz w:val="18"/>
                <w:szCs w:val="18"/>
                <w:lang w:val="en-GB"/>
              </w:rPr>
            </w:pPr>
            <w:r w:rsidRPr="00610088">
              <w:rPr>
                <w:sz w:val="18"/>
                <w:szCs w:val="18"/>
                <w:lang w:val="en-GB"/>
              </w:rPr>
              <w:t>1.2 % of the NCD Directorate capacity building plan that has been implemented</w:t>
            </w:r>
          </w:p>
        </w:tc>
        <w:tc>
          <w:tcPr>
            <w:tcW w:w="2976" w:type="dxa"/>
            <w:shd w:val="clear" w:color="000000" w:fill="D9E2F3"/>
            <w:hideMark/>
          </w:tcPr>
          <w:p w14:paraId="0DA2038C" w14:textId="77777777" w:rsidR="00FA2345" w:rsidRPr="00610088" w:rsidRDefault="00FA2345" w:rsidP="008E053E">
            <w:pPr>
              <w:pStyle w:val="NoSpacing"/>
              <w:rPr>
                <w:sz w:val="18"/>
                <w:szCs w:val="18"/>
                <w:lang w:val="en-GB"/>
              </w:rPr>
            </w:pPr>
            <w:r w:rsidRPr="00610088">
              <w:rPr>
                <w:sz w:val="18"/>
                <w:szCs w:val="18"/>
                <w:lang w:val="en-GB"/>
              </w:rPr>
              <w:t>DNCD&amp;MH documents</w:t>
            </w:r>
          </w:p>
        </w:tc>
        <w:tc>
          <w:tcPr>
            <w:tcW w:w="850" w:type="dxa"/>
            <w:shd w:val="clear" w:color="000000" w:fill="D9E2F3"/>
            <w:hideMark/>
          </w:tcPr>
          <w:p w14:paraId="1B6EBF91"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02B7EFE0" w14:textId="77777777" w:rsidR="00FA2345" w:rsidRPr="00610088" w:rsidRDefault="00FA2345" w:rsidP="008E053E">
            <w:pPr>
              <w:pStyle w:val="NoSpacing"/>
              <w:rPr>
                <w:sz w:val="18"/>
                <w:szCs w:val="18"/>
                <w:lang w:val="en-GB"/>
              </w:rPr>
            </w:pPr>
            <w:r w:rsidRPr="00610088">
              <w:rPr>
                <w:sz w:val="18"/>
                <w:szCs w:val="18"/>
                <w:lang w:val="en-GB"/>
              </w:rPr>
              <w:t>NA (no capacity building plan) (DNCD&amp;MH, 2019)</w:t>
            </w:r>
          </w:p>
        </w:tc>
        <w:tc>
          <w:tcPr>
            <w:tcW w:w="850" w:type="dxa"/>
            <w:shd w:val="clear" w:color="000000" w:fill="D9E2F3"/>
            <w:hideMark/>
          </w:tcPr>
          <w:p w14:paraId="657A21D0" w14:textId="77777777" w:rsidR="00FA2345" w:rsidRPr="00610088" w:rsidRDefault="00FA2345" w:rsidP="008E053E">
            <w:pPr>
              <w:pStyle w:val="NoSpacing"/>
              <w:rPr>
                <w:sz w:val="18"/>
                <w:szCs w:val="18"/>
                <w:lang w:val="en-GB"/>
              </w:rPr>
            </w:pPr>
            <w:r w:rsidRPr="00610088">
              <w:rPr>
                <w:sz w:val="18"/>
                <w:szCs w:val="18"/>
                <w:lang w:val="en-GB"/>
              </w:rPr>
              <w:t>50%</w:t>
            </w:r>
          </w:p>
        </w:tc>
        <w:tc>
          <w:tcPr>
            <w:tcW w:w="851" w:type="dxa"/>
            <w:shd w:val="clear" w:color="000000" w:fill="D9E2F3"/>
            <w:hideMark/>
          </w:tcPr>
          <w:p w14:paraId="197026AC" w14:textId="77777777" w:rsidR="00FA2345" w:rsidRPr="00610088" w:rsidRDefault="00FA2345" w:rsidP="008E053E">
            <w:pPr>
              <w:pStyle w:val="NoSpacing"/>
              <w:rPr>
                <w:sz w:val="18"/>
                <w:szCs w:val="18"/>
                <w:lang w:val="en-GB"/>
              </w:rPr>
            </w:pPr>
            <w:r w:rsidRPr="00610088">
              <w:rPr>
                <w:sz w:val="18"/>
                <w:szCs w:val="18"/>
                <w:lang w:val="en-GB"/>
              </w:rPr>
              <w:t>75%</w:t>
            </w:r>
          </w:p>
        </w:tc>
        <w:tc>
          <w:tcPr>
            <w:tcW w:w="850" w:type="dxa"/>
            <w:shd w:val="clear" w:color="000000" w:fill="D9E2F3"/>
            <w:noWrap/>
            <w:hideMark/>
          </w:tcPr>
          <w:p w14:paraId="7E88537F" w14:textId="77777777" w:rsidR="00FA2345" w:rsidRPr="00610088" w:rsidRDefault="00FA2345" w:rsidP="008E053E">
            <w:pPr>
              <w:pStyle w:val="NoSpacing"/>
              <w:rPr>
                <w:sz w:val="18"/>
                <w:szCs w:val="18"/>
                <w:lang w:val="en-GB"/>
              </w:rPr>
            </w:pPr>
            <w:r w:rsidRPr="00610088">
              <w:rPr>
                <w:sz w:val="18"/>
                <w:szCs w:val="18"/>
                <w:lang w:val="en-GB"/>
              </w:rPr>
              <w:t>90%</w:t>
            </w:r>
          </w:p>
        </w:tc>
        <w:tc>
          <w:tcPr>
            <w:tcW w:w="772" w:type="dxa"/>
            <w:shd w:val="clear" w:color="000000" w:fill="D9E2F3"/>
            <w:hideMark/>
          </w:tcPr>
          <w:p w14:paraId="4EF8261F" w14:textId="77777777" w:rsidR="00FA2345" w:rsidRPr="00610088" w:rsidRDefault="00FA2345" w:rsidP="008E053E">
            <w:pPr>
              <w:pStyle w:val="NoSpacing"/>
              <w:rPr>
                <w:sz w:val="18"/>
                <w:szCs w:val="18"/>
                <w:lang w:val="en-GB"/>
              </w:rPr>
            </w:pPr>
            <w:r w:rsidRPr="00610088">
              <w:rPr>
                <w:sz w:val="18"/>
                <w:szCs w:val="18"/>
                <w:lang w:val="en-GB"/>
              </w:rPr>
              <w:t>100%</w:t>
            </w:r>
          </w:p>
        </w:tc>
      </w:tr>
      <w:tr w:rsidR="00FA2345" w:rsidRPr="00610088" w14:paraId="546C3EED" w14:textId="77777777" w:rsidTr="00FC5D9B">
        <w:trPr>
          <w:trHeight w:val="227"/>
        </w:trPr>
        <w:tc>
          <w:tcPr>
            <w:tcW w:w="1555" w:type="dxa"/>
            <w:vMerge w:val="restart"/>
            <w:shd w:val="clear" w:color="auto" w:fill="auto"/>
            <w:hideMark/>
          </w:tcPr>
          <w:p w14:paraId="1AB912A2" w14:textId="70721AC3" w:rsidR="00FA2345" w:rsidRPr="00610088" w:rsidRDefault="00FA2345" w:rsidP="008E053E">
            <w:pPr>
              <w:pStyle w:val="NoSpacing"/>
              <w:rPr>
                <w:sz w:val="18"/>
                <w:szCs w:val="18"/>
                <w:lang w:val="en-GB"/>
              </w:rPr>
            </w:pPr>
            <w:r w:rsidRPr="00610088">
              <w:rPr>
                <w:sz w:val="18"/>
                <w:szCs w:val="18"/>
                <w:lang w:val="en-GB"/>
              </w:rPr>
              <w:t xml:space="preserve">SO1 - Sensitization/ Advocacy of all levels (Other sectors, </w:t>
            </w:r>
            <w:proofErr w:type="spellStart"/>
            <w:r w:rsidR="00156C15">
              <w:rPr>
                <w:sz w:val="18"/>
                <w:szCs w:val="18"/>
                <w:lang w:val="en-GB"/>
              </w:rPr>
              <w:t>MoHS</w:t>
            </w:r>
            <w:proofErr w:type="spellEnd"/>
            <w:r w:rsidRPr="00610088">
              <w:rPr>
                <w:sz w:val="18"/>
                <w:szCs w:val="18"/>
                <w:lang w:val="en-GB"/>
              </w:rPr>
              <w:t>)</w:t>
            </w:r>
          </w:p>
        </w:tc>
        <w:tc>
          <w:tcPr>
            <w:tcW w:w="3118" w:type="dxa"/>
            <w:shd w:val="clear" w:color="auto" w:fill="auto"/>
            <w:hideMark/>
          </w:tcPr>
          <w:p w14:paraId="490C975C" w14:textId="75B93B1E" w:rsidR="00FA2345" w:rsidRPr="00610088" w:rsidRDefault="00FA2345" w:rsidP="008E053E">
            <w:pPr>
              <w:pStyle w:val="NoSpacing"/>
              <w:rPr>
                <w:sz w:val="18"/>
                <w:szCs w:val="18"/>
                <w:lang w:val="en-GB"/>
              </w:rPr>
            </w:pPr>
            <w:r w:rsidRPr="00610088">
              <w:rPr>
                <w:sz w:val="18"/>
                <w:szCs w:val="18"/>
                <w:lang w:val="en-GB"/>
              </w:rPr>
              <w:t>1.3 Updated NCD advocacy/briefing package /kit</w:t>
            </w:r>
          </w:p>
        </w:tc>
        <w:tc>
          <w:tcPr>
            <w:tcW w:w="2976" w:type="dxa"/>
            <w:shd w:val="clear" w:color="auto" w:fill="auto"/>
            <w:hideMark/>
          </w:tcPr>
          <w:p w14:paraId="36E3870E" w14:textId="756A7A62" w:rsidR="00FA2345" w:rsidRPr="00610088" w:rsidRDefault="00FA2345" w:rsidP="008E053E">
            <w:pPr>
              <w:pStyle w:val="NoSpacing"/>
              <w:rPr>
                <w:sz w:val="18"/>
                <w:szCs w:val="18"/>
                <w:lang w:val="en-GB"/>
              </w:rPr>
            </w:pPr>
            <w:r w:rsidRPr="00610088">
              <w:rPr>
                <w:sz w:val="18"/>
                <w:szCs w:val="18"/>
                <w:lang w:val="en-GB"/>
              </w:rPr>
              <w:t>Updated NCD advocacy/ briefing package /kit</w:t>
            </w:r>
          </w:p>
        </w:tc>
        <w:tc>
          <w:tcPr>
            <w:tcW w:w="850" w:type="dxa"/>
            <w:shd w:val="clear" w:color="auto" w:fill="auto"/>
            <w:noWrap/>
            <w:hideMark/>
          </w:tcPr>
          <w:p w14:paraId="51C104BF"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74DFEA00" w14:textId="77777777" w:rsidR="00FA2345" w:rsidRPr="00610088" w:rsidRDefault="00FA2345" w:rsidP="008E053E">
            <w:pPr>
              <w:pStyle w:val="NoSpacing"/>
              <w:rPr>
                <w:sz w:val="18"/>
                <w:szCs w:val="18"/>
                <w:lang w:val="en-GB"/>
              </w:rPr>
            </w:pPr>
            <w:r w:rsidRPr="00610088">
              <w:rPr>
                <w:sz w:val="18"/>
                <w:szCs w:val="18"/>
                <w:lang w:val="en-GB"/>
              </w:rPr>
              <w:t>No</w:t>
            </w:r>
          </w:p>
        </w:tc>
        <w:tc>
          <w:tcPr>
            <w:tcW w:w="850" w:type="dxa"/>
            <w:shd w:val="clear" w:color="auto" w:fill="auto"/>
            <w:noWrap/>
            <w:hideMark/>
          </w:tcPr>
          <w:p w14:paraId="4D21014D" w14:textId="77777777" w:rsidR="00FA2345" w:rsidRPr="00610088" w:rsidRDefault="00FA2345" w:rsidP="008E053E">
            <w:pPr>
              <w:pStyle w:val="NoSpacing"/>
              <w:rPr>
                <w:sz w:val="18"/>
                <w:szCs w:val="18"/>
                <w:lang w:val="en-GB"/>
              </w:rPr>
            </w:pPr>
            <w:r w:rsidRPr="00610088">
              <w:rPr>
                <w:sz w:val="18"/>
                <w:szCs w:val="18"/>
                <w:lang w:val="en-GB"/>
              </w:rPr>
              <w:t>Yes</w:t>
            </w:r>
          </w:p>
        </w:tc>
        <w:tc>
          <w:tcPr>
            <w:tcW w:w="851" w:type="dxa"/>
            <w:shd w:val="clear" w:color="auto" w:fill="auto"/>
            <w:noWrap/>
            <w:hideMark/>
          </w:tcPr>
          <w:p w14:paraId="063BD831" w14:textId="77777777" w:rsidR="00FA2345" w:rsidRPr="00610088" w:rsidRDefault="00FA2345" w:rsidP="008E053E">
            <w:pPr>
              <w:pStyle w:val="NoSpacing"/>
              <w:rPr>
                <w:sz w:val="18"/>
                <w:szCs w:val="18"/>
                <w:lang w:val="en-GB"/>
              </w:rPr>
            </w:pPr>
            <w:r w:rsidRPr="00610088">
              <w:rPr>
                <w:sz w:val="18"/>
                <w:szCs w:val="18"/>
                <w:lang w:val="en-GB"/>
              </w:rPr>
              <w:t>Yes</w:t>
            </w:r>
          </w:p>
        </w:tc>
        <w:tc>
          <w:tcPr>
            <w:tcW w:w="850" w:type="dxa"/>
            <w:shd w:val="clear" w:color="auto" w:fill="auto"/>
            <w:noWrap/>
            <w:hideMark/>
          </w:tcPr>
          <w:p w14:paraId="40E194E3" w14:textId="77777777" w:rsidR="00FA2345" w:rsidRPr="00610088" w:rsidRDefault="00FA2345" w:rsidP="008E053E">
            <w:pPr>
              <w:pStyle w:val="NoSpacing"/>
              <w:rPr>
                <w:sz w:val="18"/>
                <w:szCs w:val="18"/>
                <w:lang w:val="en-GB"/>
              </w:rPr>
            </w:pPr>
            <w:r w:rsidRPr="00610088">
              <w:rPr>
                <w:sz w:val="18"/>
                <w:szCs w:val="18"/>
                <w:lang w:val="en-GB"/>
              </w:rPr>
              <w:t>Yes</w:t>
            </w:r>
          </w:p>
        </w:tc>
        <w:tc>
          <w:tcPr>
            <w:tcW w:w="772" w:type="dxa"/>
            <w:shd w:val="clear" w:color="auto" w:fill="auto"/>
            <w:hideMark/>
          </w:tcPr>
          <w:p w14:paraId="29198E13" w14:textId="77777777" w:rsidR="00FA2345" w:rsidRPr="00610088" w:rsidRDefault="00FA2345" w:rsidP="008E053E">
            <w:pPr>
              <w:pStyle w:val="NoSpacing"/>
              <w:rPr>
                <w:sz w:val="18"/>
                <w:szCs w:val="18"/>
                <w:lang w:val="en-GB"/>
              </w:rPr>
            </w:pPr>
            <w:r w:rsidRPr="00610088">
              <w:rPr>
                <w:sz w:val="18"/>
                <w:szCs w:val="18"/>
                <w:lang w:val="en-GB"/>
              </w:rPr>
              <w:t>Yes</w:t>
            </w:r>
          </w:p>
        </w:tc>
      </w:tr>
      <w:tr w:rsidR="00FA2345" w:rsidRPr="00610088" w14:paraId="3428C77A" w14:textId="77777777" w:rsidTr="00FC5D9B">
        <w:trPr>
          <w:trHeight w:val="227"/>
        </w:trPr>
        <w:tc>
          <w:tcPr>
            <w:tcW w:w="1555" w:type="dxa"/>
            <w:vMerge/>
            <w:vAlign w:val="center"/>
            <w:hideMark/>
          </w:tcPr>
          <w:p w14:paraId="57B6E3A3" w14:textId="77777777" w:rsidR="00FA2345" w:rsidRPr="00610088" w:rsidRDefault="00FA2345" w:rsidP="008E053E">
            <w:pPr>
              <w:pStyle w:val="NoSpacing"/>
              <w:rPr>
                <w:sz w:val="18"/>
                <w:szCs w:val="18"/>
                <w:lang w:val="en-GB"/>
              </w:rPr>
            </w:pPr>
          </w:p>
        </w:tc>
        <w:tc>
          <w:tcPr>
            <w:tcW w:w="3118" w:type="dxa"/>
            <w:shd w:val="clear" w:color="000000" w:fill="D9E2F3"/>
            <w:hideMark/>
          </w:tcPr>
          <w:p w14:paraId="1E47C061" w14:textId="2673670F" w:rsidR="00FA2345" w:rsidRPr="00610088" w:rsidRDefault="00FA2345" w:rsidP="008E053E">
            <w:pPr>
              <w:pStyle w:val="NoSpacing"/>
              <w:rPr>
                <w:sz w:val="18"/>
                <w:szCs w:val="18"/>
                <w:lang w:val="en-GB"/>
              </w:rPr>
            </w:pPr>
            <w:r w:rsidRPr="00610088">
              <w:rPr>
                <w:sz w:val="18"/>
                <w:szCs w:val="18"/>
                <w:lang w:val="en-GB"/>
              </w:rPr>
              <w:t xml:space="preserve">1.4 Nr of advocacy meetings with other </w:t>
            </w:r>
            <w:proofErr w:type="spellStart"/>
            <w:r w:rsidR="00156C15">
              <w:rPr>
                <w:sz w:val="18"/>
                <w:szCs w:val="18"/>
                <w:lang w:val="en-GB"/>
              </w:rPr>
              <w:t>MoHS</w:t>
            </w:r>
            <w:proofErr w:type="spellEnd"/>
            <w:r w:rsidRPr="00610088">
              <w:rPr>
                <w:sz w:val="18"/>
                <w:szCs w:val="18"/>
                <w:lang w:val="en-GB"/>
              </w:rPr>
              <w:t xml:space="preserve"> entities</w:t>
            </w:r>
          </w:p>
        </w:tc>
        <w:tc>
          <w:tcPr>
            <w:tcW w:w="2976" w:type="dxa"/>
            <w:shd w:val="clear" w:color="000000" w:fill="D9E2F3"/>
            <w:hideMark/>
          </w:tcPr>
          <w:p w14:paraId="0071EE7B" w14:textId="77777777" w:rsidR="00FA2345" w:rsidRPr="00610088" w:rsidRDefault="00FA2345" w:rsidP="008E053E">
            <w:pPr>
              <w:pStyle w:val="NoSpacing"/>
              <w:rPr>
                <w:sz w:val="18"/>
                <w:szCs w:val="18"/>
                <w:lang w:val="en-GB"/>
              </w:rPr>
            </w:pPr>
            <w:r w:rsidRPr="00610088">
              <w:rPr>
                <w:sz w:val="18"/>
                <w:szCs w:val="18"/>
                <w:lang w:val="en-GB"/>
              </w:rPr>
              <w:t>DNCD&amp;MH minutes of the advocacy meetings</w:t>
            </w:r>
          </w:p>
        </w:tc>
        <w:tc>
          <w:tcPr>
            <w:tcW w:w="850" w:type="dxa"/>
            <w:shd w:val="clear" w:color="000000" w:fill="D9E2F3"/>
            <w:noWrap/>
            <w:hideMark/>
          </w:tcPr>
          <w:p w14:paraId="2DD69829"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1C982E92"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000000" w:fill="D9E2F3"/>
            <w:noWrap/>
            <w:hideMark/>
          </w:tcPr>
          <w:p w14:paraId="153F5592" w14:textId="77777777" w:rsidR="00FA2345" w:rsidRPr="00610088" w:rsidRDefault="00FA2345" w:rsidP="008E053E">
            <w:pPr>
              <w:pStyle w:val="NoSpacing"/>
              <w:rPr>
                <w:sz w:val="18"/>
                <w:szCs w:val="18"/>
                <w:lang w:val="en-GB"/>
              </w:rPr>
            </w:pPr>
            <w:r w:rsidRPr="00610088">
              <w:rPr>
                <w:sz w:val="18"/>
                <w:szCs w:val="18"/>
                <w:lang w:val="en-GB"/>
              </w:rPr>
              <w:t>2</w:t>
            </w:r>
          </w:p>
        </w:tc>
        <w:tc>
          <w:tcPr>
            <w:tcW w:w="851" w:type="dxa"/>
            <w:shd w:val="clear" w:color="000000" w:fill="D9E2F3"/>
            <w:noWrap/>
            <w:hideMark/>
          </w:tcPr>
          <w:p w14:paraId="39C2788D" w14:textId="77777777" w:rsidR="00FA2345" w:rsidRPr="00610088" w:rsidRDefault="00FA2345" w:rsidP="008E053E">
            <w:pPr>
              <w:pStyle w:val="NoSpacing"/>
              <w:rPr>
                <w:sz w:val="18"/>
                <w:szCs w:val="18"/>
                <w:lang w:val="en-GB"/>
              </w:rPr>
            </w:pPr>
            <w:r w:rsidRPr="00610088">
              <w:rPr>
                <w:sz w:val="18"/>
                <w:szCs w:val="18"/>
                <w:lang w:val="en-GB"/>
              </w:rPr>
              <w:t>4</w:t>
            </w:r>
          </w:p>
        </w:tc>
        <w:tc>
          <w:tcPr>
            <w:tcW w:w="850" w:type="dxa"/>
            <w:shd w:val="clear" w:color="000000" w:fill="D9E2F3"/>
            <w:noWrap/>
            <w:hideMark/>
          </w:tcPr>
          <w:p w14:paraId="74978562" w14:textId="77777777" w:rsidR="00FA2345" w:rsidRPr="00610088" w:rsidRDefault="00FA2345" w:rsidP="008E053E">
            <w:pPr>
              <w:pStyle w:val="NoSpacing"/>
              <w:rPr>
                <w:sz w:val="18"/>
                <w:szCs w:val="18"/>
                <w:lang w:val="en-GB"/>
              </w:rPr>
            </w:pPr>
            <w:r w:rsidRPr="00610088">
              <w:rPr>
                <w:sz w:val="18"/>
                <w:szCs w:val="18"/>
                <w:lang w:val="en-GB"/>
              </w:rPr>
              <w:t>4</w:t>
            </w:r>
          </w:p>
        </w:tc>
        <w:tc>
          <w:tcPr>
            <w:tcW w:w="772" w:type="dxa"/>
            <w:shd w:val="clear" w:color="000000" w:fill="D9E2F3"/>
            <w:hideMark/>
          </w:tcPr>
          <w:p w14:paraId="73E5061F" w14:textId="77777777" w:rsidR="00FA2345" w:rsidRPr="00610088" w:rsidRDefault="00FA2345" w:rsidP="008E053E">
            <w:pPr>
              <w:pStyle w:val="NoSpacing"/>
              <w:rPr>
                <w:sz w:val="18"/>
                <w:szCs w:val="18"/>
                <w:lang w:val="en-GB"/>
              </w:rPr>
            </w:pPr>
            <w:r w:rsidRPr="00610088">
              <w:rPr>
                <w:sz w:val="18"/>
                <w:szCs w:val="18"/>
                <w:lang w:val="en-GB"/>
              </w:rPr>
              <w:t>4</w:t>
            </w:r>
          </w:p>
        </w:tc>
      </w:tr>
      <w:tr w:rsidR="00FA2345" w:rsidRPr="00610088" w14:paraId="169E9F00" w14:textId="77777777" w:rsidTr="00FC5D9B">
        <w:trPr>
          <w:trHeight w:val="227"/>
        </w:trPr>
        <w:tc>
          <w:tcPr>
            <w:tcW w:w="1555" w:type="dxa"/>
            <w:vMerge/>
            <w:vAlign w:val="center"/>
            <w:hideMark/>
          </w:tcPr>
          <w:p w14:paraId="1B7962AC" w14:textId="77777777" w:rsidR="00FA2345" w:rsidRPr="00610088" w:rsidRDefault="00FA2345" w:rsidP="008E053E">
            <w:pPr>
              <w:pStyle w:val="NoSpacing"/>
              <w:rPr>
                <w:sz w:val="18"/>
                <w:szCs w:val="18"/>
                <w:lang w:val="en-GB"/>
              </w:rPr>
            </w:pPr>
          </w:p>
        </w:tc>
        <w:tc>
          <w:tcPr>
            <w:tcW w:w="3118" w:type="dxa"/>
            <w:shd w:val="clear" w:color="auto" w:fill="auto"/>
            <w:hideMark/>
          </w:tcPr>
          <w:p w14:paraId="1ACB21AD" w14:textId="0907B79D" w:rsidR="00FA2345" w:rsidRPr="00610088" w:rsidRDefault="00FA2345" w:rsidP="008E053E">
            <w:pPr>
              <w:pStyle w:val="NoSpacing"/>
              <w:rPr>
                <w:sz w:val="18"/>
                <w:szCs w:val="18"/>
                <w:lang w:val="en-GB"/>
              </w:rPr>
            </w:pPr>
            <w:r w:rsidRPr="00610088">
              <w:rPr>
                <w:sz w:val="18"/>
                <w:szCs w:val="18"/>
                <w:lang w:val="en-GB"/>
              </w:rPr>
              <w:t>1.5 Nr of advocacy meetings with other line ministries</w:t>
            </w:r>
          </w:p>
        </w:tc>
        <w:tc>
          <w:tcPr>
            <w:tcW w:w="2976" w:type="dxa"/>
            <w:shd w:val="clear" w:color="auto" w:fill="auto"/>
            <w:hideMark/>
          </w:tcPr>
          <w:p w14:paraId="53E38903" w14:textId="77777777" w:rsidR="00FA2345" w:rsidRPr="00610088" w:rsidRDefault="00FA2345" w:rsidP="008E053E">
            <w:pPr>
              <w:pStyle w:val="NoSpacing"/>
              <w:rPr>
                <w:sz w:val="18"/>
                <w:szCs w:val="18"/>
                <w:lang w:val="en-GB"/>
              </w:rPr>
            </w:pPr>
            <w:r w:rsidRPr="00610088">
              <w:rPr>
                <w:sz w:val="18"/>
                <w:szCs w:val="18"/>
                <w:lang w:val="en-GB"/>
              </w:rPr>
              <w:t>DNCD&amp;MH minutes of the advocacy meetings</w:t>
            </w:r>
          </w:p>
        </w:tc>
        <w:tc>
          <w:tcPr>
            <w:tcW w:w="850" w:type="dxa"/>
            <w:shd w:val="clear" w:color="auto" w:fill="auto"/>
            <w:noWrap/>
            <w:hideMark/>
          </w:tcPr>
          <w:p w14:paraId="5B0C2482"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7BE1890E"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auto" w:fill="auto"/>
            <w:noWrap/>
            <w:hideMark/>
          </w:tcPr>
          <w:p w14:paraId="1653EBA1" w14:textId="77777777" w:rsidR="00FA2345" w:rsidRPr="00610088" w:rsidRDefault="00FA2345" w:rsidP="008E053E">
            <w:pPr>
              <w:pStyle w:val="NoSpacing"/>
              <w:rPr>
                <w:sz w:val="18"/>
                <w:szCs w:val="18"/>
                <w:lang w:val="en-GB"/>
              </w:rPr>
            </w:pPr>
            <w:r w:rsidRPr="00610088">
              <w:rPr>
                <w:sz w:val="18"/>
                <w:szCs w:val="18"/>
                <w:lang w:val="en-GB"/>
              </w:rPr>
              <w:t>2</w:t>
            </w:r>
          </w:p>
        </w:tc>
        <w:tc>
          <w:tcPr>
            <w:tcW w:w="851" w:type="dxa"/>
            <w:shd w:val="clear" w:color="auto" w:fill="auto"/>
            <w:noWrap/>
            <w:hideMark/>
          </w:tcPr>
          <w:p w14:paraId="2C83379C" w14:textId="77777777" w:rsidR="00FA2345" w:rsidRPr="00610088" w:rsidRDefault="00FA2345" w:rsidP="008E053E">
            <w:pPr>
              <w:pStyle w:val="NoSpacing"/>
              <w:rPr>
                <w:sz w:val="18"/>
                <w:szCs w:val="18"/>
                <w:lang w:val="en-GB"/>
              </w:rPr>
            </w:pPr>
            <w:r w:rsidRPr="00610088">
              <w:rPr>
                <w:sz w:val="18"/>
                <w:szCs w:val="18"/>
                <w:lang w:val="en-GB"/>
              </w:rPr>
              <w:t>4</w:t>
            </w:r>
          </w:p>
        </w:tc>
        <w:tc>
          <w:tcPr>
            <w:tcW w:w="850" w:type="dxa"/>
            <w:shd w:val="clear" w:color="auto" w:fill="auto"/>
            <w:noWrap/>
            <w:hideMark/>
          </w:tcPr>
          <w:p w14:paraId="40F93762" w14:textId="77777777" w:rsidR="00FA2345" w:rsidRPr="00610088" w:rsidRDefault="00FA2345" w:rsidP="008E053E">
            <w:pPr>
              <w:pStyle w:val="NoSpacing"/>
              <w:rPr>
                <w:sz w:val="18"/>
                <w:szCs w:val="18"/>
                <w:lang w:val="en-GB"/>
              </w:rPr>
            </w:pPr>
            <w:r w:rsidRPr="00610088">
              <w:rPr>
                <w:sz w:val="18"/>
                <w:szCs w:val="18"/>
                <w:lang w:val="en-GB"/>
              </w:rPr>
              <w:t>4</w:t>
            </w:r>
          </w:p>
        </w:tc>
        <w:tc>
          <w:tcPr>
            <w:tcW w:w="772" w:type="dxa"/>
            <w:shd w:val="clear" w:color="auto" w:fill="auto"/>
            <w:hideMark/>
          </w:tcPr>
          <w:p w14:paraId="33CE9108" w14:textId="77777777" w:rsidR="00FA2345" w:rsidRPr="00610088" w:rsidRDefault="00FA2345" w:rsidP="008E053E">
            <w:pPr>
              <w:pStyle w:val="NoSpacing"/>
              <w:rPr>
                <w:sz w:val="18"/>
                <w:szCs w:val="18"/>
                <w:lang w:val="en-GB"/>
              </w:rPr>
            </w:pPr>
            <w:r w:rsidRPr="00610088">
              <w:rPr>
                <w:sz w:val="18"/>
                <w:szCs w:val="18"/>
                <w:lang w:val="en-GB"/>
              </w:rPr>
              <w:t>4</w:t>
            </w:r>
          </w:p>
        </w:tc>
      </w:tr>
      <w:tr w:rsidR="00FA2345" w:rsidRPr="00610088" w14:paraId="3CF81679" w14:textId="77777777" w:rsidTr="00FC5D9B">
        <w:trPr>
          <w:trHeight w:val="227"/>
        </w:trPr>
        <w:tc>
          <w:tcPr>
            <w:tcW w:w="1555" w:type="dxa"/>
            <w:vMerge/>
            <w:vAlign w:val="center"/>
            <w:hideMark/>
          </w:tcPr>
          <w:p w14:paraId="5E46743A" w14:textId="77777777" w:rsidR="00FA2345" w:rsidRPr="00610088" w:rsidRDefault="00FA2345" w:rsidP="008E053E">
            <w:pPr>
              <w:pStyle w:val="NoSpacing"/>
              <w:rPr>
                <w:sz w:val="18"/>
                <w:szCs w:val="18"/>
                <w:lang w:val="en-GB"/>
              </w:rPr>
            </w:pPr>
          </w:p>
        </w:tc>
        <w:tc>
          <w:tcPr>
            <w:tcW w:w="3118" w:type="dxa"/>
            <w:shd w:val="clear" w:color="000000" w:fill="D9E2F3"/>
            <w:hideMark/>
          </w:tcPr>
          <w:p w14:paraId="4FE5BBDF" w14:textId="1FA83362" w:rsidR="00FA2345" w:rsidRPr="00610088" w:rsidRDefault="00FA2345" w:rsidP="008E053E">
            <w:pPr>
              <w:pStyle w:val="NoSpacing"/>
              <w:rPr>
                <w:sz w:val="18"/>
                <w:szCs w:val="18"/>
                <w:lang w:val="en-GB"/>
              </w:rPr>
            </w:pPr>
            <w:r w:rsidRPr="00610088">
              <w:rPr>
                <w:sz w:val="18"/>
                <w:szCs w:val="18"/>
                <w:lang w:val="en-GB"/>
              </w:rPr>
              <w:t>1.6 Number of engaged politicians/ high profile people</w:t>
            </w:r>
          </w:p>
        </w:tc>
        <w:tc>
          <w:tcPr>
            <w:tcW w:w="2976" w:type="dxa"/>
            <w:shd w:val="clear" w:color="000000" w:fill="D9E2F3"/>
            <w:hideMark/>
          </w:tcPr>
          <w:p w14:paraId="35B975E7" w14:textId="77777777" w:rsidR="00FA2345" w:rsidRPr="00610088" w:rsidRDefault="00FA2345" w:rsidP="008E053E">
            <w:pPr>
              <w:pStyle w:val="NoSpacing"/>
              <w:rPr>
                <w:sz w:val="18"/>
                <w:szCs w:val="18"/>
                <w:lang w:val="en-GB"/>
              </w:rPr>
            </w:pPr>
            <w:r w:rsidRPr="00610088">
              <w:rPr>
                <w:sz w:val="18"/>
                <w:szCs w:val="18"/>
                <w:lang w:val="en-GB"/>
              </w:rPr>
              <w:t>DNCD&amp;MH minutes of meetings and events</w:t>
            </w:r>
          </w:p>
        </w:tc>
        <w:tc>
          <w:tcPr>
            <w:tcW w:w="850" w:type="dxa"/>
            <w:shd w:val="clear" w:color="000000" w:fill="D9E2F3"/>
            <w:noWrap/>
            <w:hideMark/>
          </w:tcPr>
          <w:p w14:paraId="26ECE13B"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688964C1"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000000" w:fill="D9E2F3"/>
            <w:noWrap/>
            <w:hideMark/>
          </w:tcPr>
          <w:p w14:paraId="79EB3586" w14:textId="77777777" w:rsidR="00FA2345" w:rsidRPr="00610088" w:rsidRDefault="00FA2345" w:rsidP="008E053E">
            <w:pPr>
              <w:pStyle w:val="NoSpacing"/>
              <w:rPr>
                <w:sz w:val="18"/>
                <w:szCs w:val="18"/>
                <w:lang w:val="en-GB"/>
              </w:rPr>
            </w:pPr>
            <w:r w:rsidRPr="00610088">
              <w:rPr>
                <w:sz w:val="18"/>
                <w:szCs w:val="18"/>
                <w:lang w:val="en-GB"/>
              </w:rPr>
              <w:t>5</w:t>
            </w:r>
          </w:p>
        </w:tc>
        <w:tc>
          <w:tcPr>
            <w:tcW w:w="851" w:type="dxa"/>
            <w:shd w:val="clear" w:color="000000" w:fill="D9E2F3"/>
            <w:noWrap/>
            <w:hideMark/>
          </w:tcPr>
          <w:p w14:paraId="4F7147B8" w14:textId="77777777" w:rsidR="00FA2345" w:rsidRPr="00610088" w:rsidRDefault="00FA2345" w:rsidP="008E053E">
            <w:pPr>
              <w:pStyle w:val="NoSpacing"/>
              <w:rPr>
                <w:sz w:val="18"/>
                <w:szCs w:val="18"/>
                <w:lang w:val="en-GB"/>
              </w:rPr>
            </w:pPr>
            <w:r w:rsidRPr="00610088">
              <w:rPr>
                <w:sz w:val="18"/>
                <w:szCs w:val="18"/>
                <w:lang w:val="en-GB"/>
              </w:rPr>
              <w:t>10</w:t>
            </w:r>
          </w:p>
        </w:tc>
        <w:tc>
          <w:tcPr>
            <w:tcW w:w="850" w:type="dxa"/>
            <w:shd w:val="clear" w:color="000000" w:fill="D9E2F3"/>
            <w:noWrap/>
            <w:hideMark/>
          </w:tcPr>
          <w:p w14:paraId="47D9495E" w14:textId="77777777" w:rsidR="00FA2345" w:rsidRPr="00610088" w:rsidRDefault="00FA2345" w:rsidP="008E053E">
            <w:pPr>
              <w:pStyle w:val="NoSpacing"/>
              <w:rPr>
                <w:sz w:val="18"/>
                <w:szCs w:val="18"/>
                <w:lang w:val="en-GB"/>
              </w:rPr>
            </w:pPr>
            <w:r w:rsidRPr="00610088">
              <w:rPr>
                <w:sz w:val="18"/>
                <w:szCs w:val="18"/>
                <w:lang w:val="en-GB"/>
              </w:rPr>
              <w:t>15</w:t>
            </w:r>
          </w:p>
        </w:tc>
        <w:tc>
          <w:tcPr>
            <w:tcW w:w="772" w:type="dxa"/>
            <w:shd w:val="clear" w:color="000000" w:fill="D9E2F3"/>
            <w:hideMark/>
          </w:tcPr>
          <w:p w14:paraId="75E067B9" w14:textId="77777777" w:rsidR="00FA2345" w:rsidRPr="00610088" w:rsidRDefault="00FA2345" w:rsidP="008E053E">
            <w:pPr>
              <w:pStyle w:val="NoSpacing"/>
              <w:rPr>
                <w:sz w:val="18"/>
                <w:szCs w:val="18"/>
                <w:lang w:val="en-GB"/>
              </w:rPr>
            </w:pPr>
            <w:r w:rsidRPr="00610088">
              <w:rPr>
                <w:sz w:val="18"/>
                <w:szCs w:val="18"/>
                <w:lang w:val="en-GB"/>
              </w:rPr>
              <w:t>30</w:t>
            </w:r>
          </w:p>
        </w:tc>
      </w:tr>
      <w:tr w:rsidR="00FA2345" w:rsidRPr="00610088" w14:paraId="580EC271" w14:textId="77777777" w:rsidTr="00FC5D9B">
        <w:trPr>
          <w:trHeight w:val="227"/>
        </w:trPr>
        <w:tc>
          <w:tcPr>
            <w:tcW w:w="1555" w:type="dxa"/>
            <w:vMerge w:val="restart"/>
            <w:shd w:val="clear" w:color="auto" w:fill="auto"/>
            <w:hideMark/>
          </w:tcPr>
          <w:p w14:paraId="1482F9F3" w14:textId="77777777" w:rsidR="00FA2345" w:rsidRPr="00610088" w:rsidRDefault="00FA2345" w:rsidP="008E053E">
            <w:pPr>
              <w:pStyle w:val="NoSpacing"/>
              <w:rPr>
                <w:sz w:val="18"/>
                <w:szCs w:val="18"/>
                <w:lang w:val="en-GB"/>
              </w:rPr>
            </w:pPr>
            <w:r w:rsidRPr="00610088">
              <w:rPr>
                <w:sz w:val="18"/>
                <w:szCs w:val="18"/>
                <w:lang w:val="en-GB"/>
              </w:rPr>
              <w:t>Establish / advocate for legal framework for NCDs and its risk factors (including reduction of presence of risk factors such as salt, sugar, alcohol and tobacco</w:t>
            </w:r>
          </w:p>
        </w:tc>
        <w:tc>
          <w:tcPr>
            <w:tcW w:w="3118" w:type="dxa"/>
            <w:shd w:val="clear" w:color="auto" w:fill="auto"/>
            <w:hideMark/>
          </w:tcPr>
          <w:p w14:paraId="7FBB9885" w14:textId="2255F3B0" w:rsidR="00FA2345" w:rsidRPr="00610088" w:rsidRDefault="00FA2345" w:rsidP="008E053E">
            <w:pPr>
              <w:pStyle w:val="NoSpacing"/>
              <w:rPr>
                <w:sz w:val="18"/>
                <w:szCs w:val="18"/>
                <w:lang w:val="en-GB"/>
              </w:rPr>
            </w:pPr>
            <w:r w:rsidRPr="00610088">
              <w:rPr>
                <w:sz w:val="18"/>
                <w:szCs w:val="18"/>
                <w:lang w:val="en-GB"/>
              </w:rPr>
              <w:t>1.7 Tobacco bill enacted and implemented</w:t>
            </w:r>
          </w:p>
        </w:tc>
        <w:tc>
          <w:tcPr>
            <w:tcW w:w="2976" w:type="dxa"/>
            <w:shd w:val="clear" w:color="auto" w:fill="auto"/>
            <w:hideMark/>
          </w:tcPr>
          <w:p w14:paraId="09A01D12" w14:textId="11B54311" w:rsidR="00FA2345" w:rsidRPr="00610088" w:rsidRDefault="00FA2345" w:rsidP="008E053E">
            <w:pPr>
              <w:pStyle w:val="NoSpacing"/>
              <w:rPr>
                <w:sz w:val="18"/>
                <w:szCs w:val="18"/>
                <w:lang w:val="en-GB"/>
              </w:rPr>
            </w:pPr>
            <w:r w:rsidRPr="00610088">
              <w:rPr>
                <w:sz w:val="18"/>
                <w:szCs w:val="18"/>
                <w:lang w:val="en-GB"/>
              </w:rPr>
              <w:t>Enacted Tobacco Bill, implementation documents</w:t>
            </w:r>
          </w:p>
        </w:tc>
        <w:tc>
          <w:tcPr>
            <w:tcW w:w="850" w:type="dxa"/>
            <w:shd w:val="clear" w:color="auto" w:fill="auto"/>
            <w:noWrap/>
            <w:hideMark/>
          </w:tcPr>
          <w:p w14:paraId="5E87E0DA"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1DC9F692" w14:textId="77777777" w:rsidR="00FA2345" w:rsidRPr="00610088" w:rsidRDefault="00FA2345" w:rsidP="008E053E">
            <w:pPr>
              <w:pStyle w:val="NoSpacing"/>
              <w:rPr>
                <w:sz w:val="18"/>
                <w:szCs w:val="18"/>
                <w:lang w:val="en-GB"/>
              </w:rPr>
            </w:pPr>
            <w:r w:rsidRPr="00610088">
              <w:rPr>
                <w:sz w:val="18"/>
                <w:szCs w:val="18"/>
                <w:lang w:val="en-GB"/>
              </w:rPr>
              <w:t>No</w:t>
            </w:r>
          </w:p>
        </w:tc>
        <w:tc>
          <w:tcPr>
            <w:tcW w:w="850" w:type="dxa"/>
            <w:shd w:val="clear" w:color="auto" w:fill="auto"/>
            <w:noWrap/>
            <w:hideMark/>
          </w:tcPr>
          <w:p w14:paraId="6804FDAD" w14:textId="77777777" w:rsidR="00FA2345" w:rsidRPr="00610088" w:rsidRDefault="00FA2345" w:rsidP="008E053E">
            <w:pPr>
              <w:pStyle w:val="NoSpacing"/>
              <w:rPr>
                <w:sz w:val="18"/>
                <w:szCs w:val="18"/>
                <w:lang w:val="en-GB"/>
              </w:rPr>
            </w:pPr>
            <w:r w:rsidRPr="00610088">
              <w:rPr>
                <w:sz w:val="18"/>
                <w:szCs w:val="18"/>
                <w:lang w:val="en-GB"/>
              </w:rPr>
              <w:t>Yes</w:t>
            </w:r>
          </w:p>
        </w:tc>
        <w:tc>
          <w:tcPr>
            <w:tcW w:w="851" w:type="dxa"/>
            <w:shd w:val="clear" w:color="auto" w:fill="auto"/>
            <w:noWrap/>
            <w:hideMark/>
          </w:tcPr>
          <w:p w14:paraId="2284D05C" w14:textId="77777777" w:rsidR="00FA2345" w:rsidRPr="00610088" w:rsidRDefault="00FA2345" w:rsidP="008E053E">
            <w:pPr>
              <w:pStyle w:val="NoSpacing"/>
              <w:rPr>
                <w:sz w:val="18"/>
                <w:szCs w:val="18"/>
                <w:lang w:val="en-GB"/>
              </w:rPr>
            </w:pPr>
            <w:r w:rsidRPr="00610088">
              <w:rPr>
                <w:sz w:val="18"/>
                <w:szCs w:val="18"/>
                <w:lang w:val="en-GB"/>
              </w:rPr>
              <w:t>Yes</w:t>
            </w:r>
          </w:p>
        </w:tc>
        <w:tc>
          <w:tcPr>
            <w:tcW w:w="850" w:type="dxa"/>
            <w:shd w:val="clear" w:color="auto" w:fill="auto"/>
            <w:noWrap/>
            <w:hideMark/>
          </w:tcPr>
          <w:p w14:paraId="5C3A0C39" w14:textId="77777777" w:rsidR="00FA2345" w:rsidRPr="00610088" w:rsidRDefault="00FA2345" w:rsidP="008E053E">
            <w:pPr>
              <w:pStyle w:val="NoSpacing"/>
              <w:rPr>
                <w:sz w:val="18"/>
                <w:szCs w:val="18"/>
                <w:lang w:val="en-GB"/>
              </w:rPr>
            </w:pPr>
            <w:r w:rsidRPr="00610088">
              <w:rPr>
                <w:sz w:val="18"/>
                <w:szCs w:val="18"/>
                <w:lang w:val="en-GB"/>
              </w:rPr>
              <w:t>Yes</w:t>
            </w:r>
          </w:p>
        </w:tc>
        <w:tc>
          <w:tcPr>
            <w:tcW w:w="772" w:type="dxa"/>
            <w:shd w:val="clear" w:color="auto" w:fill="auto"/>
            <w:hideMark/>
          </w:tcPr>
          <w:p w14:paraId="39F3C664" w14:textId="77777777" w:rsidR="00FA2345" w:rsidRPr="00610088" w:rsidRDefault="00FA2345" w:rsidP="008E053E">
            <w:pPr>
              <w:pStyle w:val="NoSpacing"/>
              <w:rPr>
                <w:sz w:val="18"/>
                <w:szCs w:val="18"/>
                <w:lang w:val="en-GB"/>
              </w:rPr>
            </w:pPr>
            <w:r w:rsidRPr="00610088">
              <w:rPr>
                <w:sz w:val="18"/>
                <w:szCs w:val="18"/>
                <w:lang w:val="en-GB"/>
              </w:rPr>
              <w:t>Yes</w:t>
            </w:r>
          </w:p>
        </w:tc>
      </w:tr>
      <w:tr w:rsidR="00FA2345" w:rsidRPr="00610088" w14:paraId="64EEBA8B" w14:textId="77777777" w:rsidTr="00FC5D9B">
        <w:trPr>
          <w:trHeight w:val="227"/>
        </w:trPr>
        <w:tc>
          <w:tcPr>
            <w:tcW w:w="1555" w:type="dxa"/>
            <w:vMerge/>
            <w:vAlign w:val="center"/>
            <w:hideMark/>
          </w:tcPr>
          <w:p w14:paraId="49465A44" w14:textId="77777777" w:rsidR="00FA2345" w:rsidRPr="00610088" w:rsidRDefault="00FA2345" w:rsidP="008E053E">
            <w:pPr>
              <w:pStyle w:val="NoSpacing"/>
              <w:rPr>
                <w:sz w:val="18"/>
                <w:szCs w:val="18"/>
                <w:lang w:val="en-GB"/>
              </w:rPr>
            </w:pPr>
          </w:p>
        </w:tc>
        <w:tc>
          <w:tcPr>
            <w:tcW w:w="3118" w:type="dxa"/>
            <w:shd w:val="clear" w:color="000000" w:fill="D9E2F3"/>
            <w:hideMark/>
          </w:tcPr>
          <w:p w14:paraId="2B01CE27" w14:textId="331FD3D2" w:rsidR="00FA2345" w:rsidRPr="00610088" w:rsidRDefault="00FA2345" w:rsidP="008E053E">
            <w:pPr>
              <w:pStyle w:val="NoSpacing"/>
              <w:rPr>
                <w:sz w:val="18"/>
                <w:szCs w:val="18"/>
                <w:lang w:val="en-GB"/>
              </w:rPr>
            </w:pPr>
            <w:r w:rsidRPr="00610088">
              <w:rPr>
                <w:sz w:val="18"/>
                <w:szCs w:val="18"/>
                <w:lang w:val="en-GB"/>
              </w:rPr>
              <w:t>1.8 Number of advocacy meetings for legislation for NCD risk factors (excluding tobacco)</w:t>
            </w:r>
          </w:p>
        </w:tc>
        <w:tc>
          <w:tcPr>
            <w:tcW w:w="2976" w:type="dxa"/>
            <w:shd w:val="clear" w:color="000000" w:fill="D9E2F3"/>
            <w:hideMark/>
          </w:tcPr>
          <w:p w14:paraId="7FBC6950" w14:textId="77777777" w:rsidR="00FA2345" w:rsidRPr="00610088" w:rsidRDefault="00FA2345" w:rsidP="008E053E">
            <w:pPr>
              <w:pStyle w:val="NoSpacing"/>
              <w:rPr>
                <w:sz w:val="18"/>
                <w:szCs w:val="18"/>
                <w:lang w:val="en-GB"/>
              </w:rPr>
            </w:pPr>
            <w:r w:rsidRPr="00610088">
              <w:rPr>
                <w:sz w:val="18"/>
                <w:szCs w:val="18"/>
                <w:lang w:val="en-GB"/>
              </w:rPr>
              <w:t>DNCD&amp;MH minutes of advocacy meetings (incl. relevant TWG and multi sector task force meeting)</w:t>
            </w:r>
          </w:p>
        </w:tc>
        <w:tc>
          <w:tcPr>
            <w:tcW w:w="850" w:type="dxa"/>
            <w:shd w:val="clear" w:color="000000" w:fill="D9E2F3"/>
            <w:noWrap/>
            <w:hideMark/>
          </w:tcPr>
          <w:p w14:paraId="7A2121F6"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6420DCF7" w14:textId="63A6A5C6" w:rsidR="00FA2345" w:rsidRPr="00610088" w:rsidRDefault="00FA2345" w:rsidP="008E053E">
            <w:pPr>
              <w:pStyle w:val="NoSpacing"/>
              <w:rPr>
                <w:sz w:val="18"/>
                <w:szCs w:val="18"/>
                <w:lang w:val="en-GB"/>
              </w:rPr>
            </w:pPr>
            <w:r w:rsidRPr="00610088">
              <w:rPr>
                <w:sz w:val="18"/>
                <w:szCs w:val="18"/>
                <w:lang w:val="en-GB"/>
              </w:rPr>
              <w:t>DNCD&amp;MH to provide for 2019</w:t>
            </w:r>
          </w:p>
        </w:tc>
        <w:tc>
          <w:tcPr>
            <w:tcW w:w="850" w:type="dxa"/>
            <w:shd w:val="clear" w:color="000000" w:fill="D9E2F3"/>
            <w:noWrap/>
            <w:hideMark/>
          </w:tcPr>
          <w:p w14:paraId="5BC9E0A5" w14:textId="77777777" w:rsidR="00FA2345" w:rsidRPr="00610088" w:rsidRDefault="00FA2345" w:rsidP="008E053E">
            <w:pPr>
              <w:pStyle w:val="NoSpacing"/>
              <w:rPr>
                <w:sz w:val="18"/>
                <w:szCs w:val="18"/>
                <w:lang w:val="en-GB"/>
              </w:rPr>
            </w:pPr>
            <w:r w:rsidRPr="00610088">
              <w:rPr>
                <w:sz w:val="18"/>
                <w:szCs w:val="18"/>
                <w:lang w:val="en-GB"/>
              </w:rPr>
              <w:t>4</w:t>
            </w:r>
          </w:p>
        </w:tc>
        <w:tc>
          <w:tcPr>
            <w:tcW w:w="851" w:type="dxa"/>
            <w:shd w:val="clear" w:color="000000" w:fill="D9E2F3"/>
            <w:noWrap/>
            <w:hideMark/>
          </w:tcPr>
          <w:p w14:paraId="6ABC0FE0" w14:textId="77777777" w:rsidR="00FA2345" w:rsidRPr="00610088" w:rsidRDefault="00FA2345" w:rsidP="008E053E">
            <w:pPr>
              <w:pStyle w:val="NoSpacing"/>
              <w:rPr>
                <w:sz w:val="18"/>
                <w:szCs w:val="18"/>
                <w:lang w:val="en-GB"/>
              </w:rPr>
            </w:pPr>
            <w:r w:rsidRPr="00610088">
              <w:rPr>
                <w:sz w:val="18"/>
                <w:szCs w:val="18"/>
                <w:lang w:val="en-GB"/>
              </w:rPr>
              <w:t>6</w:t>
            </w:r>
          </w:p>
        </w:tc>
        <w:tc>
          <w:tcPr>
            <w:tcW w:w="850" w:type="dxa"/>
            <w:shd w:val="clear" w:color="000000" w:fill="D9E2F3"/>
            <w:noWrap/>
            <w:hideMark/>
          </w:tcPr>
          <w:p w14:paraId="4BBA00D5" w14:textId="77777777" w:rsidR="00FA2345" w:rsidRPr="00610088" w:rsidRDefault="00FA2345" w:rsidP="008E053E">
            <w:pPr>
              <w:pStyle w:val="NoSpacing"/>
              <w:rPr>
                <w:sz w:val="18"/>
                <w:szCs w:val="18"/>
                <w:lang w:val="en-GB"/>
              </w:rPr>
            </w:pPr>
            <w:r w:rsidRPr="00610088">
              <w:rPr>
                <w:sz w:val="18"/>
                <w:szCs w:val="18"/>
                <w:lang w:val="en-GB"/>
              </w:rPr>
              <w:t>8</w:t>
            </w:r>
          </w:p>
        </w:tc>
        <w:tc>
          <w:tcPr>
            <w:tcW w:w="772" w:type="dxa"/>
            <w:shd w:val="clear" w:color="000000" w:fill="D9E2F3"/>
            <w:hideMark/>
          </w:tcPr>
          <w:p w14:paraId="39BEB9E8" w14:textId="77777777" w:rsidR="00FA2345" w:rsidRPr="00610088" w:rsidRDefault="00FA2345" w:rsidP="008E053E">
            <w:pPr>
              <w:pStyle w:val="NoSpacing"/>
              <w:rPr>
                <w:sz w:val="18"/>
                <w:szCs w:val="18"/>
                <w:lang w:val="en-GB"/>
              </w:rPr>
            </w:pPr>
            <w:r w:rsidRPr="00610088">
              <w:rPr>
                <w:sz w:val="18"/>
                <w:szCs w:val="18"/>
                <w:lang w:val="en-GB"/>
              </w:rPr>
              <w:t>10</w:t>
            </w:r>
          </w:p>
        </w:tc>
      </w:tr>
      <w:tr w:rsidR="00FA2345" w:rsidRPr="00610088" w14:paraId="1CF10995" w14:textId="77777777" w:rsidTr="00FC5D9B">
        <w:trPr>
          <w:trHeight w:val="227"/>
        </w:trPr>
        <w:tc>
          <w:tcPr>
            <w:tcW w:w="1555" w:type="dxa"/>
            <w:vMerge/>
            <w:vAlign w:val="center"/>
            <w:hideMark/>
          </w:tcPr>
          <w:p w14:paraId="3577485A" w14:textId="77777777" w:rsidR="00FA2345" w:rsidRPr="00610088" w:rsidRDefault="00FA2345" w:rsidP="008E053E">
            <w:pPr>
              <w:pStyle w:val="NoSpacing"/>
              <w:rPr>
                <w:sz w:val="18"/>
                <w:szCs w:val="18"/>
                <w:lang w:val="en-GB"/>
              </w:rPr>
            </w:pPr>
          </w:p>
        </w:tc>
        <w:tc>
          <w:tcPr>
            <w:tcW w:w="3118" w:type="dxa"/>
            <w:shd w:val="clear" w:color="auto" w:fill="auto"/>
            <w:hideMark/>
          </w:tcPr>
          <w:p w14:paraId="3C1F8714" w14:textId="17D6309F" w:rsidR="00FA2345" w:rsidRPr="00610088" w:rsidRDefault="00FA2345" w:rsidP="008E053E">
            <w:pPr>
              <w:pStyle w:val="NoSpacing"/>
              <w:rPr>
                <w:sz w:val="18"/>
                <w:szCs w:val="18"/>
                <w:lang w:val="en-GB"/>
              </w:rPr>
            </w:pPr>
            <w:r w:rsidRPr="00610088">
              <w:rPr>
                <w:sz w:val="18"/>
                <w:szCs w:val="18"/>
                <w:lang w:val="en-GB"/>
              </w:rPr>
              <w:t>1.9 National policies in place to limit of trans-fats in the food supply</w:t>
            </w:r>
          </w:p>
        </w:tc>
        <w:tc>
          <w:tcPr>
            <w:tcW w:w="2976" w:type="dxa"/>
            <w:shd w:val="clear" w:color="auto" w:fill="auto"/>
            <w:hideMark/>
          </w:tcPr>
          <w:p w14:paraId="7B8C32F9" w14:textId="77777777" w:rsidR="00FA2345" w:rsidRPr="00610088" w:rsidRDefault="00FA2345" w:rsidP="008E053E">
            <w:pPr>
              <w:pStyle w:val="NoSpacing"/>
              <w:rPr>
                <w:sz w:val="18"/>
                <w:szCs w:val="18"/>
                <w:lang w:val="en-GB"/>
              </w:rPr>
            </w:pPr>
            <w:r w:rsidRPr="00610088">
              <w:rPr>
                <w:sz w:val="18"/>
                <w:szCs w:val="18"/>
                <w:lang w:val="en-GB"/>
              </w:rPr>
              <w:t>WHO NCD Country Capacity Survey</w:t>
            </w:r>
          </w:p>
        </w:tc>
        <w:tc>
          <w:tcPr>
            <w:tcW w:w="850" w:type="dxa"/>
            <w:shd w:val="clear" w:color="auto" w:fill="auto"/>
            <w:noWrap/>
            <w:hideMark/>
          </w:tcPr>
          <w:p w14:paraId="4C8C7364" w14:textId="77777777" w:rsidR="00FA2345" w:rsidRPr="00610088" w:rsidRDefault="00FA2345" w:rsidP="008E053E">
            <w:pPr>
              <w:pStyle w:val="NoSpacing"/>
              <w:rPr>
                <w:sz w:val="18"/>
                <w:szCs w:val="18"/>
                <w:lang w:val="en-GB"/>
              </w:rPr>
            </w:pPr>
            <w:r w:rsidRPr="00610088">
              <w:rPr>
                <w:sz w:val="18"/>
                <w:szCs w:val="18"/>
                <w:lang w:val="en-GB"/>
              </w:rPr>
              <w:t>Every 2 years</w:t>
            </w:r>
          </w:p>
        </w:tc>
        <w:tc>
          <w:tcPr>
            <w:tcW w:w="2551" w:type="dxa"/>
            <w:shd w:val="clear" w:color="auto" w:fill="auto"/>
            <w:hideMark/>
          </w:tcPr>
          <w:p w14:paraId="4333A3C3" w14:textId="77777777" w:rsidR="00FA2345" w:rsidRPr="00610088" w:rsidRDefault="00FA2345" w:rsidP="008E053E">
            <w:pPr>
              <w:pStyle w:val="NoSpacing"/>
              <w:rPr>
                <w:sz w:val="18"/>
                <w:szCs w:val="18"/>
                <w:lang w:val="en-GB"/>
              </w:rPr>
            </w:pPr>
            <w:r w:rsidRPr="00610088">
              <w:rPr>
                <w:sz w:val="18"/>
                <w:szCs w:val="18"/>
                <w:lang w:val="en-GB"/>
              </w:rPr>
              <w:t>No (DNCD&amp;MH, 2019)</w:t>
            </w:r>
          </w:p>
        </w:tc>
        <w:tc>
          <w:tcPr>
            <w:tcW w:w="850" w:type="dxa"/>
            <w:shd w:val="clear" w:color="auto" w:fill="auto"/>
            <w:noWrap/>
            <w:hideMark/>
          </w:tcPr>
          <w:p w14:paraId="2F1E40EA"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auto" w:fill="auto"/>
            <w:noWrap/>
            <w:hideMark/>
          </w:tcPr>
          <w:p w14:paraId="36AD1904" w14:textId="77777777" w:rsidR="00FA2345" w:rsidRPr="00610088" w:rsidRDefault="00FA2345" w:rsidP="008E053E">
            <w:pPr>
              <w:pStyle w:val="NoSpacing"/>
              <w:rPr>
                <w:sz w:val="18"/>
                <w:szCs w:val="18"/>
                <w:lang w:val="en-GB"/>
              </w:rPr>
            </w:pPr>
            <w:r w:rsidRPr="00610088">
              <w:rPr>
                <w:sz w:val="18"/>
                <w:szCs w:val="18"/>
                <w:lang w:val="en-GB"/>
              </w:rPr>
              <w:t>No</w:t>
            </w:r>
          </w:p>
        </w:tc>
        <w:tc>
          <w:tcPr>
            <w:tcW w:w="850" w:type="dxa"/>
            <w:shd w:val="clear" w:color="auto" w:fill="auto"/>
            <w:noWrap/>
            <w:hideMark/>
          </w:tcPr>
          <w:p w14:paraId="29A57749"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hideMark/>
          </w:tcPr>
          <w:p w14:paraId="4BDDF446" w14:textId="77777777" w:rsidR="00FA2345" w:rsidRPr="00610088" w:rsidRDefault="00FA2345" w:rsidP="008E053E">
            <w:pPr>
              <w:pStyle w:val="NoSpacing"/>
              <w:rPr>
                <w:sz w:val="18"/>
                <w:szCs w:val="18"/>
                <w:lang w:val="en-GB"/>
              </w:rPr>
            </w:pPr>
            <w:r w:rsidRPr="00610088">
              <w:rPr>
                <w:sz w:val="18"/>
                <w:szCs w:val="18"/>
                <w:lang w:val="en-GB"/>
              </w:rPr>
              <w:t>Yes</w:t>
            </w:r>
          </w:p>
        </w:tc>
      </w:tr>
      <w:tr w:rsidR="00FA2345" w:rsidRPr="00610088" w14:paraId="01F58DF9" w14:textId="77777777" w:rsidTr="00FC5D9B">
        <w:trPr>
          <w:trHeight w:val="227"/>
        </w:trPr>
        <w:tc>
          <w:tcPr>
            <w:tcW w:w="1555" w:type="dxa"/>
            <w:vMerge/>
            <w:vAlign w:val="center"/>
            <w:hideMark/>
          </w:tcPr>
          <w:p w14:paraId="66095F09" w14:textId="77777777" w:rsidR="00FA2345" w:rsidRPr="00610088" w:rsidRDefault="00FA2345" w:rsidP="008E053E">
            <w:pPr>
              <w:pStyle w:val="NoSpacing"/>
              <w:rPr>
                <w:sz w:val="18"/>
                <w:szCs w:val="18"/>
                <w:lang w:val="en-GB"/>
              </w:rPr>
            </w:pPr>
          </w:p>
        </w:tc>
        <w:tc>
          <w:tcPr>
            <w:tcW w:w="3118" w:type="dxa"/>
            <w:shd w:val="clear" w:color="000000" w:fill="D9E2F3"/>
            <w:hideMark/>
          </w:tcPr>
          <w:p w14:paraId="108FC82B" w14:textId="55BFAEC1" w:rsidR="00FA2345" w:rsidRPr="00610088" w:rsidRDefault="00FA2345" w:rsidP="008E053E">
            <w:pPr>
              <w:pStyle w:val="NoSpacing"/>
              <w:rPr>
                <w:sz w:val="18"/>
                <w:szCs w:val="18"/>
                <w:lang w:val="en-GB"/>
              </w:rPr>
            </w:pPr>
            <w:r w:rsidRPr="00610088">
              <w:rPr>
                <w:sz w:val="18"/>
                <w:szCs w:val="18"/>
                <w:lang w:val="en-GB"/>
              </w:rPr>
              <w:t xml:space="preserve">1.10 National policies in place to reduce the impact on children of the marketing of food and non-alcoholic beverages </w:t>
            </w:r>
          </w:p>
        </w:tc>
        <w:tc>
          <w:tcPr>
            <w:tcW w:w="2976" w:type="dxa"/>
            <w:shd w:val="clear" w:color="000000" w:fill="D9E2F3"/>
            <w:hideMark/>
          </w:tcPr>
          <w:p w14:paraId="2B4AE482" w14:textId="77777777" w:rsidR="00FA2345" w:rsidRPr="00610088" w:rsidRDefault="00FA2345" w:rsidP="008E053E">
            <w:pPr>
              <w:pStyle w:val="NoSpacing"/>
              <w:rPr>
                <w:sz w:val="18"/>
                <w:szCs w:val="18"/>
                <w:lang w:val="en-GB"/>
              </w:rPr>
            </w:pPr>
            <w:r w:rsidRPr="00610088">
              <w:rPr>
                <w:sz w:val="18"/>
                <w:szCs w:val="18"/>
                <w:lang w:val="en-GB"/>
              </w:rPr>
              <w:t>WHO NCD Country Capacity Survey</w:t>
            </w:r>
          </w:p>
        </w:tc>
        <w:tc>
          <w:tcPr>
            <w:tcW w:w="850" w:type="dxa"/>
            <w:shd w:val="clear" w:color="000000" w:fill="D9E2F3"/>
            <w:noWrap/>
            <w:hideMark/>
          </w:tcPr>
          <w:p w14:paraId="732D2B29" w14:textId="77777777" w:rsidR="00FA2345" w:rsidRPr="00610088" w:rsidRDefault="00FA2345" w:rsidP="008E053E">
            <w:pPr>
              <w:pStyle w:val="NoSpacing"/>
              <w:rPr>
                <w:sz w:val="18"/>
                <w:szCs w:val="18"/>
                <w:lang w:val="en-GB"/>
              </w:rPr>
            </w:pPr>
            <w:r w:rsidRPr="00610088">
              <w:rPr>
                <w:sz w:val="18"/>
                <w:szCs w:val="18"/>
                <w:lang w:val="en-GB"/>
              </w:rPr>
              <w:t>Every 2 years</w:t>
            </w:r>
          </w:p>
        </w:tc>
        <w:tc>
          <w:tcPr>
            <w:tcW w:w="2551" w:type="dxa"/>
            <w:shd w:val="clear" w:color="000000" w:fill="D9E2F3"/>
            <w:hideMark/>
          </w:tcPr>
          <w:p w14:paraId="26DDBF3A" w14:textId="77777777" w:rsidR="00FA2345" w:rsidRPr="00610088" w:rsidRDefault="00FA2345" w:rsidP="008E053E">
            <w:pPr>
              <w:pStyle w:val="NoSpacing"/>
              <w:rPr>
                <w:sz w:val="18"/>
                <w:szCs w:val="18"/>
                <w:lang w:val="en-GB"/>
              </w:rPr>
            </w:pPr>
            <w:r w:rsidRPr="00610088">
              <w:rPr>
                <w:sz w:val="18"/>
                <w:szCs w:val="18"/>
                <w:lang w:val="en-GB"/>
              </w:rPr>
              <w:t>No (DNCD&amp;MH, 2019)</w:t>
            </w:r>
          </w:p>
        </w:tc>
        <w:tc>
          <w:tcPr>
            <w:tcW w:w="850" w:type="dxa"/>
            <w:shd w:val="clear" w:color="000000" w:fill="D9E2F3"/>
            <w:noWrap/>
            <w:hideMark/>
          </w:tcPr>
          <w:p w14:paraId="23FDED50"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D9E2F3"/>
            <w:noWrap/>
            <w:hideMark/>
          </w:tcPr>
          <w:p w14:paraId="5F85D659" w14:textId="77777777" w:rsidR="00FA2345" w:rsidRPr="00610088" w:rsidRDefault="00FA2345" w:rsidP="008E053E">
            <w:pPr>
              <w:pStyle w:val="NoSpacing"/>
              <w:rPr>
                <w:sz w:val="18"/>
                <w:szCs w:val="18"/>
                <w:lang w:val="en-GB"/>
              </w:rPr>
            </w:pPr>
            <w:r w:rsidRPr="00610088">
              <w:rPr>
                <w:sz w:val="18"/>
                <w:szCs w:val="18"/>
                <w:lang w:val="en-GB"/>
              </w:rPr>
              <w:t>Yes</w:t>
            </w:r>
          </w:p>
        </w:tc>
        <w:tc>
          <w:tcPr>
            <w:tcW w:w="850" w:type="dxa"/>
            <w:shd w:val="clear" w:color="000000" w:fill="D9E2F3"/>
            <w:noWrap/>
            <w:hideMark/>
          </w:tcPr>
          <w:p w14:paraId="2C7D0EB1"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000000" w:fill="D9E2F3"/>
            <w:hideMark/>
          </w:tcPr>
          <w:p w14:paraId="54A96787" w14:textId="77777777" w:rsidR="00FA2345" w:rsidRPr="00610088" w:rsidRDefault="00FA2345" w:rsidP="008E053E">
            <w:pPr>
              <w:pStyle w:val="NoSpacing"/>
              <w:rPr>
                <w:sz w:val="18"/>
                <w:szCs w:val="18"/>
                <w:lang w:val="en-GB"/>
              </w:rPr>
            </w:pPr>
            <w:r w:rsidRPr="00610088">
              <w:rPr>
                <w:sz w:val="18"/>
                <w:szCs w:val="18"/>
                <w:lang w:val="en-GB"/>
              </w:rPr>
              <w:t>Yes</w:t>
            </w:r>
          </w:p>
        </w:tc>
      </w:tr>
      <w:tr w:rsidR="00FA2345" w:rsidRPr="00610088" w14:paraId="53DADD38" w14:textId="77777777" w:rsidTr="00FA2345">
        <w:trPr>
          <w:trHeight w:val="113"/>
        </w:trPr>
        <w:tc>
          <w:tcPr>
            <w:tcW w:w="1555" w:type="dxa"/>
            <w:vMerge w:val="restart"/>
            <w:shd w:val="clear" w:color="000000" w:fill="D9E2F3"/>
            <w:hideMark/>
          </w:tcPr>
          <w:p w14:paraId="44543A76" w14:textId="77777777" w:rsidR="00FA2345" w:rsidRPr="00610088" w:rsidRDefault="00FA2345" w:rsidP="008E053E">
            <w:pPr>
              <w:pStyle w:val="NoSpacing"/>
              <w:rPr>
                <w:sz w:val="18"/>
                <w:szCs w:val="18"/>
                <w:lang w:val="en-GB"/>
              </w:rPr>
            </w:pPr>
            <w:r w:rsidRPr="00610088">
              <w:rPr>
                <w:sz w:val="18"/>
                <w:szCs w:val="18"/>
                <w:lang w:val="en-GB"/>
              </w:rPr>
              <w:t>SO2 - Fundraising for NCDs both in / out of country (</w:t>
            </w:r>
            <w:proofErr w:type="spellStart"/>
            <w:r w:rsidRPr="00610088">
              <w:rPr>
                <w:sz w:val="18"/>
                <w:szCs w:val="18"/>
                <w:lang w:val="en-GB"/>
              </w:rPr>
              <w:t>GoSL</w:t>
            </w:r>
            <w:proofErr w:type="spellEnd"/>
            <w:r w:rsidRPr="00610088">
              <w:rPr>
                <w:sz w:val="18"/>
                <w:szCs w:val="18"/>
                <w:lang w:val="en-GB"/>
              </w:rPr>
              <w:t>, local councils, in/out country donors)</w:t>
            </w:r>
          </w:p>
        </w:tc>
        <w:tc>
          <w:tcPr>
            <w:tcW w:w="6094" w:type="dxa"/>
            <w:gridSpan w:val="2"/>
            <w:shd w:val="clear" w:color="000000" w:fill="D9E2F3"/>
            <w:hideMark/>
          </w:tcPr>
          <w:p w14:paraId="7F0645F2" w14:textId="31B88F94" w:rsidR="00FA2345" w:rsidRPr="00610088" w:rsidRDefault="00FA2345" w:rsidP="00FA2345">
            <w:pPr>
              <w:pStyle w:val="NoSpacing"/>
              <w:rPr>
                <w:sz w:val="18"/>
                <w:szCs w:val="18"/>
                <w:lang w:val="en-GB"/>
              </w:rPr>
            </w:pPr>
            <w:r w:rsidRPr="00610088">
              <w:rPr>
                <w:b/>
                <w:bCs/>
                <w:sz w:val="18"/>
                <w:szCs w:val="18"/>
                <w:lang w:val="en-GB"/>
              </w:rPr>
              <w:t>See advocacy pack indicator under SO1 above</w:t>
            </w:r>
            <w:r w:rsidRPr="00610088">
              <w:rPr>
                <w:sz w:val="18"/>
                <w:szCs w:val="18"/>
                <w:lang w:val="en-GB"/>
              </w:rPr>
              <w:t> </w:t>
            </w:r>
          </w:p>
        </w:tc>
        <w:tc>
          <w:tcPr>
            <w:tcW w:w="850" w:type="dxa"/>
            <w:shd w:val="clear" w:color="000000" w:fill="D9E2F3"/>
            <w:noWrap/>
            <w:hideMark/>
          </w:tcPr>
          <w:p w14:paraId="2EB64FF3" w14:textId="77777777" w:rsidR="00FA2345" w:rsidRPr="00610088" w:rsidRDefault="00FA2345" w:rsidP="008E053E">
            <w:pPr>
              <w:pStyle w:val="NoSpacing"/>
              <w:rPr>
                <w:sz w:val="18"/>
                <w:szCs w:val="18"/>
                <w:lang w:val="en-GB"/>
              </w:rPr>
            </w:pPr>
            <w:r w:rsidRPr="00610088">
              <w:rPr>
                <w:sz w:val="18"/>
                <w:szCs w:val="18"/>
                <w:lang w:val="en-GB"/>
              </w:rPr>
              <w:t> </w:t>
            </w:r>
          </w:p>
        </w:tc>
        <w:tc>
          <w:tcPr>
            <w:tcW w:w="2551" w:type="dxa"/>
            <w:shd w:val="clear" w:color="000000" w:fill="D9E2F3"/>
            <w:noWrap/>
            <w:hideMark/>
          </w:tcPr>
          <w:p w14:paraId="2325DAA5"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D9E2F3"/>
            <w:noWrap/>
            <w:hideMark/>
          </w:tcPr>
          <w:p w14:paraId="7E41BCB6"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D9E2F3"/>
            <w:noWrap/>
            <w:hideMark/>
          </w:tcPr>
          <w:p w14:paraId="3AF18AFA"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D9E2F3"/>
            <w:noWrap/>
            <w:hideMark/>
          </w:tcPr>
          <w:p w14:paraId="5F6D7235"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000000" w:fill="D9E2F3"/>
            <w:noWrap/>
            <w:hideMark/>
          </w:tcPr>
          <w:p w14:paraId="04C34FD9" w14:textId="77777777" w:rsidR="00FA2345" w:rsidRPr="00610088" w:rsidRDefault="00FA2345" w:rsidP="008E053E">
            <w:pPr>
              <w:pStyle w:val="NoSpacing"/>
              <w:rPr>
                <w:sz w:val="18"/>
                <w:szCs w:val="18"/>
                <w:lang w:val="en-GB"/>
              </w:rPr>
            </w:pPr>
            <w:r w:rsidRPr="00610088">
              <w:rPr>
                <w:sz w:val="18"/>
                <w:szCs w:val="18"/>
                <w:lang w:val="en-GB"/>
              </w:rPr>
              <w:t> </w:t>
            </w:r>
          </w:p>
        </w:tc>
      </w:tr>
      <w:tr w:rsidR="00FA2345" w:rsidRPr="00610088" w14:paraId="015E752B" w14:textId="77777777" w:rsidTr="00FC5D9B">
        <w:trPr>
          <w:trHeight w:val="227"/>
        </w:trPr>
        <w:tc>
          <w:tcPr>
            <w:tcW w:w="1555" w:type="dxa"/>
            <w:vMerge/>
            <w:vAlign w:val="center"/>
            <w:hideMark/>
          </w:tcPr>
          <w:p w14:paraId="0E659FB0" w14:textId="77777777" w:rsidR="00FA2345" w:rsidRPr="00610088" w:rsidRDefault="00FA2345" w:rsidP="008E053E">
            <w:pPr>
              <w:pStyle w:val="NoSpacing"/>
              <w:rPr>
                <w:sz w:val="18"/>
                <w:szCs w:val="18"/>
                <w:lang w:val="en-GB"/>
              </w:rPr>
            </w:pPr>
          </w:p>
        </w:tc>
        <w:tc>
          <w:tcPr>
            <w:tcW w:w="3118" w:type="dxa"/>
            <w:shd w:val="clear" w:color="auto" w:fill="auto"/>
            <w:hideMark/>
          </w:tcPr>
          <w:p w14:paraId="6BABDD74" w14:textId="6A77A569" w:rsidR="00FA2345" w:rsidRPr="00610088" w:rsidRDefault="00FA2345" w:rsidP="008E053E">
            <w:pPr>
              <w:pStyle w:val="NoSpacing"/>
              <w:rPr>
                <w:sz w:val="18"/>
                <w:szCs w:val="18"/>
                <w:lang w:val="en-GB"/>
              </w:rPr>
            </w:pPr>
            <w:r w:rsidRPr="00610088">
              <w:rPr>
                <w:sz w:val="18"/>
                <w:szCs w:val="18"/>
                <w:lang w:val="en-GB"/>
              </w:rPr>
              <w:t>2.1 Nr of meetings of the fundraising subgroup</w:t>
            </w:r>
          </w:p>
        </w:tc>
        <w:tc>
          <w:tcPr>
            <w:tcW w:w="2976" w:type="dxa"/>
            <w:shd w:val="clear" w:color="auto" w:fill="auto"/>
            <w:hideMark/>
          </w:tcPr>
          <w:p w14:paraId="45FD09D3" w14:textId="77777777" w:rsidR="00FA2345" w:rsidRPr="00610088" w:rsidRDefault="00FA2345" w:rsidP="008E053E">
            <w:pPr>
              <w:pStyle w:val="NoSpacing"/>
              <w:rPr>
                <w:sz w:val="18"/>
                <w:szCs w:val="18"/>
                <w:lang w:val="en-GB"/>
              </w:rPr>
            </w:pPr>
            <w:r w:rsidRPr="00610088">
              <w:rPr>
                <w:sz w:val="18"/>
                <w:szCs w:val="18"/>
                <w:lang w:val="en-GB"/>
              </w:rPr>
              <w:t>Minutes of fundraising subgroup and of the overarching NCD TWG</w:t>
            </w:r>
          </w:p>
        </w:tc>
        <w:tc>
          <w:tcPr>
            <w:tcW w:w="850" w:type="dxa"/>
            <w:shd w:val="clear" w:color="auto" w:fill="auto"/>
            <w:noWrap/>
            <w:hideMark/>
          </w:tcPr>
          <w:p w14:paraId="176EAEBC"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0C3215ED" w14:textId="77777777" w:rsidR="00FA2345" w:rsidRPr="00610088" w:rsidRDefault="00FA2345" w:rsidP="008E053E">
            <w:pPr>
              <w:pStyle w:val="NoSpacing"/>
              <w:rPr>
                <w:sz w:val="18"/>
                <w:szCs w:val="18"/>
                <w:lang w:val="en-GB"/>
              </w:rPr>
            </w:pPr>
            <w:r w:rsidRPr="00610088">
              <w:rPr>
                <w:sz w:val="18"/>
                <w:szCs w:val="18"/>
                <w:lang w:val="en-GB"/>
              </w:rPr>
              <w:t>0 (DNCD&amp;MH, 2019) - no subgroup yet</w:t>
            </w:r>
          </w:p>
        </w:tc>
        <w:tc>
          <w:tcPr>
            <w:tcW w:w="850" w:type="dxa"/>
            <w:shd w:val="clear" w:color="auto" w:fill="auto"/>
            <w:noWrap/>
            <w:hideMark/>
          </w:tcPr>
          <w:p w14:paraId="787FDE57" w14:textId="77777777" w:rsidR="00FA2345" w:rsidRPr="00610088" w:rsidRDefault="00FA2345" w:rsidP="008E053E">
            <w:pPr>
              <w:pStyle w:val="NoSpacing"/>
              <w:rPr>
                <w:sz w:val="18"/>
                <w:szCs w:val="18"/>
                <w:lang w:val="en-GB"/>
              </w:rPr>
            </w:pPr>
            <w:r w:rsidRPr="00610088">
              <w:rPr>
                <w:sz w:val="18"/>
                <w:szCs w:val="18"/>
                <w:lang w:val="en-GB"/>
              </w:rPr>
              <w:t>4</w:t>
            </w:r>
          </w:p>
        </w:tc>
        <w:tc>
          <w:tcPr>
            <w:tcW w:w="851" w:type="dxa"/>
            <w:shd w:val="clear" w:color="auto" w:fill="auto"/>
            <w:noWrap/>
            <w:hideMark/>
          </w:tcPr>
          <w:p w14:paraId="5C81A71D" w14:textId="77777777" w:rsidR="00FA2345" w:rsidRPr="00610088" w:rsidRDefault="00FA2345" w:rsidP="008E053E">
            <w:pPr>
              <w:pStyle w:val="NoSpacing"/>
              <w:rPr>
                <w:sz w:val="18"/>
                <w:szCs w:val="18"/>
                <w:lang w:val="en-GB"/>
              </w:rPr>
            </w:pPr>
            <w:r w:rsidRPr="00610088">
              <w:rPr>
                <w:sz w:val="18"/>
                <w:szCs w:val="18"/>
                <w:lang w:val="en-GB"/>
              </w:rPr>
              <w:t>4</w:t>
            </w:r>
          </w:p>
        </w:tc>
        <w:tc>
          <w:tcPr>
            <w:tcW w:w="850" w:type="dxa"/>
            <w:shd w:val="clear" w:color="auto" w:fill="auto"/>
            <w:hideMark/>
          </w:tcPr>
          <w:p w14:paraId="74F4F8F2" w14:textId="77777777" w:rsidR="00FA2345" w:rsidRPr="00610088" w:rsidRDefault="00FA2345" w:rsidP="008E053E">
            <w:pPr>
              <w:pStyle w:val="NoSpacing"/>
              <w:rPr>
                <w:sz w:val="18"/>
                <w:szCs w:val="18"/>
                <w:lang w:val="en-GB"/>
              </w:rPr>
            </w:pPr>
            <w:r w:rsidRPr="00610088">
              <w:rPr>
                <w:sz w:val="18"/>
                <w:szCs w:val="18"/>
                <w:lang w:val="en-GB"/>
              </w:rPr>
              <w:t>4</w:t>
            </w:r>
          </w:p>
        </w:tc>
        <w:tc>
          <w:tcPr>
            <w:tcW w:w="772" w:type="dxa"/>
            <w:shd w:val="clear" w:color="auto" w:fill="auto"/>
            <w:hideMark/>
          </w:tcPr>
          <w:p w14:paraId="74FF4DF4" w14:textId="77777777" w:rsidR="00FA2345" w:rsidRPr="00610088" w:rsidRDefault="00FA2345" w:rsidP="008E053E">
            <w:pPr>
              <w:pStyle w:val="NoSpacing"/>
              <w:rPr>
                <w:sz w:val="18"/>
                <w:szCs w:val="18"/>
                <w:lang w:val="en-GB"/>
              </w:rPr>
            </w:pPr>
            <w:r w:rsidRPr="00610088">
              <w:rPr>
                <w:sz w:val="18"/>
                <w:szCs w:val="18"/>
                <w:lang w:val="en-GB"/>
              </w:rPr>
              <w:t>4</w:t>
            </w:r>
          </w:p>
        </w:tc>
      </w:tr>
      <w:tr w:rsidR="00FA2345" w:rsidRPr="00610088" w14:paraId="3F809570" w14:textId="77777777" w:rsidTr="00FC5D9B">
        <w:trPr>
          <w:trHeight w:val="227"/>
        </w:trPr>
        <w:tc>
          <w:tcPr>
            <w:tcW w:w="1555" w:type="dxa"/>
            <w:vMerge/>
            <w:vAlign w:val="center"/>
            <w:hideMark/>
          </w:tcPr>
          <w:p w14:paraId="1FC198E9" w14:textId="77777777" w:rsidR="00FA2345" w:rsidRPr="00610088" w:rsidRDefault="00FA2345" w:rsidP="008E053E">
            <w:pPr>
              <w:pStyle w:val="NoSpacing"/>
              <w:rPr>
                <w:sz w:val="18"/>
                <w:szCs w:val="18"/>
                <w:lang w:val="en-GB"/>
              </w:rPr>
            </w:pPr>
          </w:p>
        </w:tc>
        <w:tc>
          <w:tcPr>
            <w:tcW w:w="3118" w:type="dxa"/>
            <w:shd w:val="clear" w:color="000000" w:fill="D9E2F3"/>
            <w:hideMark/>
          </w:tcPr>
          <w:p w14:paraId="6113F584" w14:textId="669B22F6" w:rsidR="00FA2345" w:rsidRPr="00610088" w:rsidRDefault="00FA2345" w:rsidP="006A7DA4">
            <w:pPr>
              <w:pStyle w:val="NoSpacing"/>
              <w:rPr>
                <w:sz w:val="18"/>
                <w:szCs w:val="18"/>
                <w:lang w:val="en-GB"/>
              </w:rPr>
            </w:pPr>
            <w:r w:rsidRPr="00610088">
              <w:rPr>
                <w:sz w:val="18"/>
                <w:szCs w:val="18"/>
                <w:lang w:val="en-GB"/>
              </w:rPr>
              <w:t xml:space="preserve">2.2 % of recurrent annual </w:t>
            </w:r>
            <w:proofErr w:type="spellStart"/>
            <w:r w:rsidRPr="00610088">
              <w:rPr>
                <w:sz w:val="18"/>
                <w:szCs w:val="18"/>
                <w:lang w:val="en-GB"/>
              </w:rPr>
              <w:t>GoSL</w:t>
            </w:r>
            <w:proofErr w:type="spellEnd"/>
            <w:r w:rsidRPr="00610088">
              <w:rPr>
                <w:sz w:val="18"/>
                <w:szCs w:val="18"/>
                <w:lang w:val="en-GB"/>
              </w:rPr>
              <w:t xml:space="preserve"> health (</w:t>
            </w:r>
            <w:proofErr w:type="spellStart"/>
            <w:r w:rsidR="00156C15">
              <w:rPr>
                <w:sz w:val="18"/>
                <w:szCs w:val="18"/>
                <w:lang w:val="en-GB"/>
              </w:rPr>
              <w:t>MoHS</w:t>
            </w:r>
            <w:proofErr w:type="spellEnd"/>
            <w:r w:rsidRPr="00610088">
              <w:rPr>
                <w:sz w:val="18"/>
                <w:szCs w:val="18"/>
                <w:lang w:val="en-GB"/>
              </w:rPr>
              <w:t xml:space="preserve">) </w:t>
            </w:r>
            <w:r w:rsidRPr="00610088">
              <w:rPr>
                <w:color w:val="000000" w:themeColor="text1"/>
                <w:sz w:val="18"/>
                <w:szCs w:val="18"/>
                <w:lang w:val="en-GB"/>
              </w:rPr>
              <w:t xml:space="preserve">recurrent budget allocated to NCD Directorate </w:t>
            </w:r>
          </w:p>
        </w:tc>
        <w:tc>
          <w:tcPr>
            <w:tcW w:w="2976" w:type="dxa"/>
            <w:shd w:val="clear" w:color="000000" w:fill="D9E2F3"/>
            <w:hideMark/>
          </w:tcPr>
          <w:p w14:paraId="0E961A97" w14:textId="585794D3" w:rsidR="00FA2345" w:rsidRPr="00610088" w:rsidRDefault="00FA2345" w:rsidP="008E053E">
            <w:pPr>
              <w:pStyle w:val="NoSpacing"/>
              <w:rPr>
                <w:sz w:val="18"/>
                <w:szCs w:val="18"/>
                <w:lang w:val="en-GB"/>
              </w:rPr>
            </w:pPr>
            <w:r w:rsidRPr="00610088">
              <w:rPr>
                <w:sz w:val="18"/>
                <w:szCs w:val="18"/>
                <w:lang w:val="en-GB"/>
              </w:rPr>
              <w:t xml:space="preserve">Recurrent </w:t>
            </w:r>
            <w:proofErr w:type="spellStart"/>
            <w:r w:rsidRPr="00610088">
              <w:rPr>
                <w:sz w:val="18"/>
                <w:szCs w:val="18"/>
                <w:lang w:val="en-GB"/>
              </w:rPr>
              <w:t>GoSL</w:t>
            </w:r>
            <w:proofErr w:type="spellEnd"/>
            <w:r w:rsidRPr="00610088">
              <w:rPr>
                <w:sz w:val="18"/>
                <w:szCs w:val="18"/>
                <w:lang w:val="en-GB"/>
              </w:rPr>
              <w:t xml:space="preserve"> annual health (</w:t>
            </w:r>
            <w:proofErr w:type="spellStart"/>
            <w:r w:rsidR="00156C15">
              <w:rPr>
                <w:sz w:val="18"/>
                <w:szCs w:val="18"/>
                <w:lang w:val="en-GB"/>
              </w:rPr>
              <w:t>MoHS</w:t>
            </w:r>
            <w:proofErr w:type="spellEnd"/>
            <w:r w:rsidRPr="00610088">
              <w:rPr>
                <w:sz w:val="18"/>
                <w:szCs w:val="18"/>
                <w:lang w:val="en-GB"/>
              </w:rPr>
              <w:t>) budget</w:t>
            </w:r>
          </w:p>
        </w:tc>
        <w:tc>
          <w:tcPr>
            <w:tcW w:w="850" w:type="dxa"/>
            <w:shd w:val="clear" w:color="000000" w:fill="D9E2F3"/>
            <w:hideMark/>
          </w:tcPr>
          <w:p w14:paraId="2F86D551"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62B262AF" w14:textId="57B60F6C" w:rsidR="00FA2345" w:rsidRPr="00610088" w:rsidRDefault="00FA2345" w:rsidP="008E053E">
            <w:pPr>
              <w:pStyle w:val="NoSpacing"/>
              <w:rPr>
                <w:color w:val="000000" w:themeColor="text1"/>
                <w:sz w:val="18"/>
                <w:szCs w:val="18"/>
                <w:lang w:val="en-GB"/>
              </w:rPr>
            </w:pPr>
            <w:r w:rsidRPr="00610088">
              <w:rPr>
                <w:color w:val="000000" w:themeColor="text1"/>
                <w:sz w:val="18"/>
                <w:szCs w:val="18"/>
                <w:lang w:val="en-GB"/>
              </w:rPr>
              <w:t>0.61%</w:t>
            </w:r>
          </w:p>
        </w:tc>
        <w:tc>
          <w:tcPr>
            <w:tcW w:w="850" w:type="dxa"/>
            <w:shd w:val="clear" w:color="000000" w:fill="D9E2F3"/>
            <w:hideMark/>
          </w:tcPr>
          <w:p w14:paraId="7080C0BE" w14:textId="7449CDB6" w:rsidR="00FA2345" w:rsidRPr="00610088" w:rsidRDefault="00FA2345" w:rsidP="008E053E">
            <w:pPr>
              <w:pStyle w:val="NoSpacing"/>
              <w:rPr>
                <w:color w:val="000000" w:themeColor="text1"/>
                <w:sz w:val="18"/>
                <w:szCs w:val="18"/>
                <w:lang w:val="en-GB"/>
              </w:rPr>
            </w:pPr>
            <w:r w:rsidRPr="00610088">
              <w:rPr>
                <w:color w:val="000000" w:themeColor="text1"/>
                <w:sz w:val="18"/>
                <w:szCs w:val="18"/>
                <w:lang w:val="en-GB"/>
              </w:rPr>
              <w:t>1.0%</w:t>
            </w:r>
          </w:p>
        </w:tc>
        <w:tc>
          <w:tcPr>
            <w:tcW w:w="851" w:type="dxa"/>
            <w:shd w:val="clear" w:color="000000" w:fill="D9E2F3"/>
            <w:hideMark/>
          </w:tcPr>
          <w:p w14:paraId="166F2BD1" w14:textId="5C8E8252" w:rsidR="00FA2345" w:rsidRPr="00610088" w:rsidRDefault="00FA2345" w:rsidP="008E053E">
            <w:pPr>
              <w:pStyle w:val="NoSpacing"/>
              <w:rPr>
                <w:color w:val="000000" w:themeColor="text1"/>
                <w:sz w:val="18"/>
                <w:szCs w:val="18"/>
                <w:lang w:val="en-GB"/>
              </w:rPr>
            </w:pPr>
            <w:r w:rsidRPr="00610088">
              <w:rPr>
                <w:color w:val="000000" w:themeColor="text1"/>
                <w:sz w:val="18"/>
                <w:szCs w:val="18"/>
                <w:lang w:val="en-GB"/>
              </w:rPr>
              <w:t>2.0%</w:t>
            </w:r>
          </w:p>
        </w:tc>
        <w:tc>
          <w:tcPr>
            <w:tcW w:w="850" w:type="dxa"/>
            <w:shd w:val="clear" w:color="000000" w:fill="D9E2F3"/>
            <w:hideMark/>
          </w:tcPr>
          <w:p w14:paraId="41F0AEE4" w14:textId="3717B2BB" w:rsidR="00FA2345" w:rsidRPr="00610088" w:rsidRDefault="00FA2345" w:rsidP="008E053E">
            <w:pPr>
              <w:pStyle w:val="NoSpacing"/>
              <w:rPr>
                <w:color w:val="000000" w:themeColor="text1"/>
                <w:sz w:val="18"/>
                <w:szCs w:val="18"/>
                <w:lang w:val="en-GB"/>
              </w:rPr>
            </w:pPr>
            <w:r w:rsidRPr="00610088">
              <w:rPr>
                <w:color w:val="000000" w:themeColor="text1"/>
                <w:sz w:val="18"/>
                <w:szCs w:val="18"/>
                <w:lang w:val="en-GB"/>
              </w:rPr>
              <w:t>3.0%</w:t>
            </w:r>
          </w:p>
        </w:tc>
        <w:tc>
          <w:tcPr>
            <w:tcW w:w="772" w:type="dxa"/>
            <w:shd w:val="clear" w:color="000000" w:fill="D9E2F3"/>
            <w:hideMark/>
          </w:tcPr>
          <w:p w14:paraId="497242FC" w14:textId="3577B429" w:rsidR="00FA2345" w:rsidRPr="00610088" w:rsidRDefault="00FA2345" w:rsidP="008E053E">
            <w:pPr>
              <w:pStyle w:val="NoSpacing"/>
              <w:rPr>
                <w:color w:val="000000" w:themeColor="text1"/>
                <w:sz w:val="18"/>
                <w:szCs w:val="18"/>
                <w:lang w:val="en-GB"/>
              </w:rPr>
            </w:pPr>
            <w:r w:rsidRPr="00610088">
              <w:rPr>
                <w:color w:val="000000" w:themeColor="text1"/>
                <w:sz w:val="18"/>
                <w:szCs w:val="18"/>
                <w:lang w:val="en-GB"/>
              </w:rPr>
              <w:t>4.0%</w:t>
            </w:r>
          </w:p>
        </w:tc>
      </w:tr>
      <w:tr w:rsidR="00FA2345" w:rsidRPr="00610088" w14:paraId="752C3269" w14:textId="77777777" w:rsidTr="00FC5D9B">
        <w:trPr>
          <w:trHeight w:val="227"/>
        </w:trPr>
        <w:tc>
          <w:tcPr>
            <w:tcW w:w="1555" w:type="dxa"/>
            <w:vMerge/>
            <w:vAlign w:val="center"/>
            <w:hideMark/>
          </w:tcPr>
          <w:p w14:paraId="42F1C600" w14:textId="77777777" w:rsidR="00FA2345" w:rsidRPr="00610088" w:rsidRDefault="00FA2345" w:rsidP="008E053E">
            <w:pPr>
              <w:pStyle w:val="NoSpacing"/>
              <w:rPr>
                <w:sz w:val="18"/>
                <w:szCs w:val="18"/>
                <w:lang w:val="en-GB"/>
              </w:rPr>
            </w:pPr>
          </w:p>
        </w:tc>
        <w:tc>
          <w:tcPr>
            <w:tcW w:w="3118" w:type="dxa"/>
            <w:shd w:val="clear" w:color="auto" w:fill="auto"/>
            <w:hideMark/>
          </w:tcPr>
          <w:p w14:paraId="5045BF72" w14:textId="75D75715" w:rsidR="00FA2345" w:rsidRPr="00610088" w:rsidRDefault="00FA2345" w:rsidP="008E053E">
            <w:pPr>
              <w:pStyle w:val="NoSpacing"/>
              <w:rPr>
                <w:sz w:val="18"/>
                <w:szCs w:val="18"/>
                <w:lang w:val="en-GB"/>
              </w:rPr>
            </w:pPr>
            <w:r w:rsidRPr="00610088">
              <w:rPr>
                <w:sz w:val="18"/>
                <w:szCs w:val="18"/>
                <w:lang w:val="en-GB"/>
              </w:rPr>
              <w:t>2.3 Nr of local councils (city/district) that have NCD activity budget line in their annual health budget</w:t>
            </w:r>
          </w:p>
        </w:tc>
        <w:tc>
          <w:tcPr>
            <w:tcW w:w="2976" w:type="dxa"/>
            <w:shd w:val="clear" w:color="auto" w:fill="auto"/>
            <w:hideMark/>
          </w:tcPr>
          <w:p w14:paraId="6EC2DBED" w14:textId="012954B3" w:rsidR="00FA2345" w:rsidRPr="00610088" w:rsidRDefault="00FA2345" w:rsidP="008E053E">
            <w:pPr>
              <w:pStyle w:val="NoSpacing"/>
              <w:rPr>
                <w:sz w:val="18"/>
                <w:szCs w:val="18"/>
                <w:lang w:val="en-GB"/>
              </w:rPr>
            </w:pPr>
            <w:r w:rsidRPr="00610088">
              <w:rPr>
                <w:sz w:val="18"/>
                <w:szCs w:val="18"/>
                <w:lang w:val="en-GB"/>
              </w:rPr>
              <w:t>Local council health budgets (LGFD/ individual councils/DHMTs)</w:t>
            </w:r>
          </w:p>
        </w:tc>
        <w:tc>
          <w:tcPr>
            <w:tcW w:w="850" w:type="dxa"/>
            <w:shd w:val="clear" w:color="auto" w:fill="auto"/>
            <w:hideMark/>
          </w:tcPr>
          <w:p w14:paraId="447C0417"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64B5BCE5" w14:textId="7C67FDE3" w:rsidR="00FA2345" w:rsidRPr="00610088" w:rsidRDefault="00FA2345" w:rsidP="008E053E">
            <w:pPr>
              <w:pStyle w:val="NoSpacing"/>
              <w:rPr>
                <w:sz w:val="18"/>
                <w:szCs w:val="18"/>
                <w:lang w:val="en-GB"/>
              </w:rPr>
            </w:pPr>
            <w:r w:rsidRPr="00610088">
              <w:rPr>
                <w:sz w:val="18"/>
                <w:szCs w:val="18"/>
                <w:lang w:val="en-GB"/>
              </w:rPr>
              <w:t>T</w:t>
            </w:r>
            <w:r w:rsidR="00F94101">
              <w:rPr>
                <w:sz w:val="18"/>
                <w:szCs w:val="18"/>
                <w:lang w:val="en-GB"/>
              </w:rPr>
              <w:t>o be determined (TBD)</w:t>
            </w:r>
          </w:p>
        </w:tc>
        <w:tc>
          <w:tcPr>
            <w:tcW w:w="850" w:type="dxa"/>
            <w:shd w:val="clear" w:color="auto" w:fill="auto"/>
            <w:hideMark/>
          </w:tcPr>
          <w:p w14:paraId="2B1C9587" w14:textId="77777777" w:rsidR="00FA2345" w:rsidRPr="00610088" w:rsidRDefault="00FA2345" w:rsidP="008E053E">
            <w:pPr>
              <w:pStyle w:val="NoSpacing"/>
              <w:rPr>
                <w:sz w:val="18"/>
                <w:szCs w:val="18"/>
                <w:lang w:val="en-GB"/>
              </w:rPr>
            </w:pPr>
            <w:r w:rsidRPr="00610088">
              <w:rPr>
                <w:sz w:val="18"/>
                <w:szCs w:val="18"/>
                <w:lang w:val="en-GB"/>
              </w:rPr>
              <w:t>6</w:t>
            </w:r>
          </w:p>
        </w:tc>
        <w:tc>
          <w:tcPr>
            <w:tcW w:w="851" w:type="dxa"/>
            <w:shd w:val="clear" w:color="auto" w:fill="auto"/>
            <w:hideMark/>
          </w:tcPr>
          <w:p w14:paraId="02A12AF2" w14:textId="77777777" w:rsidR="00FA2345" w:rsidRPr="00610088" w:rsidRDefault="00FA2345" w:rsidP="008E053E">
            <w:pPr>
              <w:pStyle w:val="NoSpacing"/>
              <w:rPr>
                <w:sz w:val="18"/>
                <w:szCs w:val="18"/>
                <w:lang w:val="en-GB"/>
              </w:rPr>
            </w:pPr>
            <w:r w:rsidRPr="00610088">
              <w:rPr>
                <w:sz w:val="18"/>
                <w:szCs w:val="18"/>
                <w:lang w:val="en-GB"/>
              </w:rPr>
              <w:t>11</w:t>
            </w:r>
          </w:p>
        </w:tc>
        <w:tc>
          <w:tcPr>
            <w:tcW w:w="850" w:type="dxa"/>
            <w:shd w:val="clear" w:color="auto" w:fill="auto"/>
            <w:hideMark/>
          </w:tcPr>
          <w:p w14:paraId="7BF943A7" w14:textId="77777777" w:rsidR="00FA2345" w:rsidRPr="00610088" w:rsidRDefault="00FA2345" w:rsidP="008E053E">
            <w:pPr>
              <w:pStyle w:val="NoSpacing"/>
              <w:rPr>
                <w:sz w:val="18"/>
                <w:szCs w:val="18"/>
                <w:lang w:val="en-GB"/>
              </w:rPr>
            </w:pPr>
            <w:r w:rsidRPr="00610088">
              <w:rPr>
                <w:sz w:val="18"/>
                <w:szCs w:val="18"/>
                <w:lang w:val="en-GB"/>
              </w:rPr>
              <w:t>17</w:t>
            </w:r>
          </w:p>
        </w:tc>
        <w:tc>
          <w:tcPr>
            <w:tcW w:w="772" w:type="dxa"/>
            <w:shd w:val="clear" w:color="auto" w:fill="auto"/>
            <w:hideMark/>
          </w:tcPr>
          <w:p w14:paraId="24A55149" w14:textId="77777777" w:rsidR="00FA2345" w:rsidRPr="00610088" w:rsidRDefault="00FA2345" w:rsidP="008E053E">
            <w:pPr>
              <w:pStyle w:val="NoSpacing"/>
              <w:rPr>
                <w:sz w:val="18"/>
                <w:szCs w:val="18"/>
                <w:lang w:val="en-GB"/>
              </w:rPr>
            </w:pPr>
            <w:r w:rsidRPr="00610088">
              <w:rPr>
                <w:sz w:val="18"/>
                <w:szCs w:val="18"/>
                <w:lang w:val="en-GB"/>
              </w:rPr>
              <w:t>22</w:t>
            </w:r>
          </w:p>
        </w:tc>
      </w:tr>
      <w:tr w:rsidR="00FA2345" w:rsidRPr="00610088" w14:paraId="285D70B6" w14:textId="77777777" w:rsidTr="00FC5D9B">
        <w:trPr>
          <w:trHeight w:val="227"/>
        </w:trPr>
        <w:tc>
          <w:tcPr>
            <w:tcW w:w="1555" w:type="dxa"/>
            <w:vMerge/>
            <w:vAlign w:val="center"/>
            <w:hideMark/>
          </w:tcPr>
          <w:p w14:paraId="3B96DEA1" w14:textId="77777777" w:rsidR="00FA2345" w:rsidRPr="00610088" w:rsidRDefault="00FA2345" w:rsidP="008E053E">
            <w:pPr>
              <w:pStyle w:val="NoSpacing"/>
              <w:rPr>
                <w:sz w:val="18"/>
                <w:szCs w:val="18"/>
                <w:lang w:val="en-GB"/>
              </w:rPr>
            </w:pPr>
          </w:p>
        </w:tc>
        <w:tc>
          <w:tcPr>
            <w:tcW w:w="3118" w:type="dxa"/>
            <w:shd w:val="clear" w:color="000000" w:fill="D9E2F3"/>
            <w:hideMark/>
          </w:tcPr>
          <w:p w14:paraId="25E7A354" w14:textId="3FE41BF7" w:rsidR="00FA2345" w:rsidRPr="00610088" w:rsidRDefault="00FA2345" w:rsidP="008E053E">
            <w:pPr>
              <w:pStyle w:val="NoSpacing"/>
              <w:rPr>
                <w:sz w:val="18"/>
                <w:szCs w:val="18"/>
                <w:lang w:val="en-GB"/>
              </w:rPr>
            </w:pPr>
            <w:r w:rsidRPr="00610088">
              <w:rPr>
                <w:sz w:val="18"/>
                <w:szCs w:val="18"/>
                <w:lang w:val="en-GB"/>
              </w:rPr>
              <w:t>2.4 Increased number of non-</w:t>
            </w:r>
            <w:proofErr w:type="spellStart"/>
            <w:r w:rsidRPr="00610088">
              <w:rPr>
                <w:sz w:val="18"/>
                <w:szCs w:val="18"/>
                <w:lang w:val="en-GB"/>
              </w:rPr>
              <w:t>GoSL</w:t>
            </w:r>
            <w:proofErr w:type="spellEnd"/>
            <w:r w:rsidRPr="00610088">
              <w:rPr>
                <w:sz w:val="18"/>
                <w:szCs w:val="18"/>
                <w:lang w:val="en-GB"/>
              </w:rPr>
              <w:t xml:space="preserve"> donors for NCD activities*</w:t>
            </w:r>
          </w:p>
        </w:tc>
        <w:tc>
          <w:tcPr>
            <w:tcW w:w="2976" w:type="dxa"/>
            <w:shd w:val="clear" w:color="000000" w:fill="D9E2F3"/>
            <w:hideMark/>
          </w:tcPr>
          <w:p w14:paraId="17BBFE75" w14:textId="44318597" w:rsidR="00FA2345" w:rsidRPr="00610088" w:rsidRDefault="00FA2345" w:rsidP="008E053E">
            <w:pPr>
              <w:pStyle w:val="NoSpacing"/>
              <w:rPr>
                <w:sz w:val="18"/>
                <w:szCs w:val="18"/>
                <w:lang w:val="en-GB"/>
              </w:rPr>
            </w:pPr>
            <w:r w:rsidRPr="00610088">
              <w:rPr>
                <w:sz w:val="18"/>
                <w:szCs w:val="18"/>
                <w:lang w:val="en-GB"/>
              </w:rPr>
              <w:t>Partner database, documents related to funding including NHA and IATI</w:t>
            </w:r>
          </w:p>
        </w:tc>
        <w:tc>
          <w:tcPr>
            <w:tcW w:w="850" w:type="dxa"/>
            <w:shd w:val="clear" w:color="000000" w:fill="D9E2F3"/>
            <w:hideMark/>
          </w:tcPr>
          <w:p w14:paraId="221D855B"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000000" w:fill="D9E2F3"/>
            <w:hideMark/>
          </w:tcPr>
          <w:p w14:paraId="6191A609" w14:textId="77777777" w:rsidR="00FA2345" w:rsidRPr="00610088" w:rsidRDefault="00FA2345" w:rsidP="008E053E">
            <w:pPr>
              <w:pStyle w:val="NoSpacing"/>
              <w:rPr>
                <w:sz w:val="18"/>
                <w:szCs w:val="18"/>
                <w:lang w:val="en-GB"/>
              </w:rPr>
            </w:pPr>
            <w:r w:rsidRPr="00610088">
              <w:rPr>
                <w:sz w:val="18"/>
                <w:szCs w:val="18"/>
                <w:lang w:val="en-GB"/>
              </w:rPr>
              <w:t xml:space="preserve">TBD (survey) </w:t>
            </w:r>
          </w:p>
        </w:tc>
        <w:tc>
          <w:tcPr>
            <w:tcW w:w="850" w:type="dxa"/>
            <w:shd w:val="clear" w:color="000000" w:fill="D9E2F3"/>
            <w:hideMark/>
          </w:tcPr>
          <w:p w14:paraId="2B9B8708" w14:textId="77777777" w:rsidR="00FA2345" w:rsidRPr="00610088" w:rsidRDefault="00FA2345" w:rsidP="008E053E">
            <w:pPr>
              <w:pStyle w:val="NoSpacing"/>
              <w:rPr>
                <w:sz w:val="18"/>
                <w:szCs w:val="18"/>
                <w:lang w:val="en-GB"/>
              </w:rPr>
            </w:pPr>
            <w:r w:rsidRPr="00610088">
              <w:rPr>
                <w:sz w:val="18"/>
                <w:szCs w:val="18"/>
                <w:lang w:val="en-GB"/>
              </w:rPr>
              <w:t>50% increase from baseline</w:t>
            </w:r>
          </w:p>
        </w:tc>
        <w:tc>
          <w:tcPr>
            <w:tcW w:w="851" w:type="dxa"/>
            <w:shd w:val="clear" w:color="000000" w:fill="D9E2F3"/>
            <w:hideMark/>
          </w:tcPr>
          <w:p w14:paraId="0897F6A1" w14:textId="77777777" w:rsidR="00FA2345" w:rsidRPr="00610088" w:rsidRDefault="00FA2345" w:rsidP="008E053E">
            <w:pPr>
              <w:pStyle w:val="NoSpacing"/>
              <w:rPr>
                <w:sz w:val="18"/>
                <w:szCs w:val="18"/>
                <w:lang w:val="en-GB"/>
              </w:rPr>
            </w:pPr>
            <w:r w:rsidRPr="00610088">
              <w:rPr>
                <w:sz w:val="18"/>
                <w:szCs w:val="18"/>
                <w:lang w:val="en-GB"/>
              </w:rPr>
              <w:t>80% increase from baseline</w:t>
            </w:r>
          </w:p>
        </w:tc>
        <w:tc>
          <w:tcPr>
            <w:tcW w:w="850" w:type="dxa"/>
            <w:shd w:val="clear" w:color="000000" w:fill="D9E2F3"/>
            <w:hideMark/>
          </w:tcPr>
          <w:p w14:paraId="48DD4538" w14:textId="77777777" w:rsidR="00FA2345" w:rsidRPr="00610088" w:rsidRDefault="00FA2345" w:rsidP="008E053E">
            <w:pPr>
              <w:pStyle w:val="NoSpacing"/>
              <w:rPr>
                <w:sz w:val="18"/>
                <w:szCs w:val="18"/>
                <w:lang w:val="en-GB"/>
              </w:rPr>
            </w:pPr>
            <w:r w:rsidRPr="00610088">
              <w:rPr>
                <w:sz w:val="18"/>
                <w:szCs w:val="18"/>
                <w:lang w:val="en-GB"/>
              </w:rPr>
              <w:t>100% increase from baseline</w:t>
            </w:r>
          </w:p>
        </w:tc>
        <w:tc>
          <w:tcPr>
            <w:tcW w:w="772" w:type="dxa"/>
            <w:shd w:val="clear" w:color="000000" w:fill="D9E2F3"/>
            <w:hideMark/>
          </w:tcPr>
          <w:p w14:paraId="6BB5612A" w14:textId="77777777" w:rsidR="00FA2345" w:rsidRPr="00610088" w:rsidRDefault="00FA2345" w:rsidP="008E053E">
            <w:pPr>
              <w:pStyle w:val="NoSpacing"/>
              <w:rPr>
                <w:sz w:val="18"/>
                <w:szCs w:val="18"/>
                <w:lang w:val="en-GB"/>
              </w:rPr>
            </w:pPr>
            <w:r w:rsidRPr="00610088">
              <w:rPr>
                <w:sz w:val="18"/>
                <w:szCs w:val="18"/>
                <w:lang w:val="en-GB"/>
              </w:rPr>
              <w:t>200% increase from baseline</w:t>
            </w:r>
          </w:p>
        </w:tc>
      </w:tr>
      <w:tr w:rsidR="00FA2345" w:rsidRPr="00610088" w14:paraId="23AEAED8" w14:textId="77777777" w:rsidTr="00FC5D9B">
        <w:trPr>
          <w:trHeight w:val="227"/>
        </w:trPr>
        <w:tc>
          <w:tcPr>
            <w:tcW w:w="1555" w:type="dxa"/>
            <w:vMerge w:val="restart"/>
            <w:shd w:val="clear" w:color="auto" w:fill="auto"/>
            <w:hideMark/>
          </w:tcPr>
          <w:p w14:paraId="23B9B1B0" w14:textId="77777777" w:rsidR="00FA2345" w:rsidRPr="00610088" w:rsidRDefault="00FA2345" w:rsidP="008E053E">
            <w:pPr>
              <w:pStyle w:val="NoSpacing"/>
              <w:rPr>
                <w:b/>
                <w:bCs/>
                <w:sz w:val="18"/>
                <w:szCs w:val="18"/>
                <w:lang w:val="en-GB"/>
              </w:rPr>
            </w:pPr>
            <w:r w:rsidRPr="00610088">
              <w:rPr>
                <w:b/>
                <w:bCs/>
                <w:sz w:val="18"/>
                <w:szCs w:val="18"/>
                <w:lang w:val="en-GB"/>
              </w:rPr>
              <w:t>SO3 - Promotion of healthy lifestyles through IEC/BCC</w:t>
            </w:r>
          </w:p>
        </w:tc>
        <w:tc>
          <w:tcPr>
            <w:tcW w:w="3118" w:type="dxa"/>
            <w:shd w:val="clear" w:color="auto" w:fill="auto"/>
            <w:hideMark/>
          </w:tcPr>
          <w:p w14:paraId="25E26FED" w14:textId="08E00E3B" w:rsidR="00FA2345" w:rsidRPr="00610088" w:rsidRDefault="00FA2345" w:rsidP="008E053E">
            <w:pPr>
              <w:pStyle w:val="NoSpacing"/>
              <w:rPr>
                <w:sz w:val="18"/>
                <w:szCs w:val="18"/>
                <w:lang w:val="en-GB"/>
              </w:rPr>
            </w:pPr>
            <w:r w:rsidRPr="00610088">
              <w:rPr>
                <w:sz w:val="18"/>
                <w:szCs w:val="18"/>
                <w:lang w:val="en-GB"/>
              </w:rPr>
              <w:t xml:space="preserve">3.1 Updated NCD message guide </w:t>
            </w:r>
          </w:p>
        </w:tc>
        <w:tc>
          <w:tcPr>
            <w:tcW w:w="2976" w:type="dxa"/>
            <w:shd w:val="clear" w:color="auto" w:fill="auto"/>
            <w:hideMark/>
          </w:tcPr>
          <w:p w14:paraId="61C62177" w14:textId="46CA8672" w:rsidR="00FA2345" w:rsidRPr="00610088" w:rsidRDefault="00FA2345" w:rsidP="008E053E">
            <w:pPr>
              <w:pStyle w:val="NoSpacing"/>
              <w:rPr>
                <w:sz w:val="18"/>
                <w:szCs w:val="18"/>
                <w:lang w:val="en-GB"/>
              </w:rPr>
            </w:pPr>
            <w:r w:rsidRPr="00610088">
              <w:rPr>
                <w:sz w:val="18"/>
                <w:szCs w:val="18"/>
                <w:lang w:val="en-GB"/>
              </w:rPr>
              <w:t xml:space="preserve">Updated NCD message guide, documental evidence of update process.  </w:t>
            </w:r>
          </w:p>
        </w:tc>
        <w:tc>
          <w:tcPr>
            <w:tcW w:w="850" w:type="dxa"/>
            <w:shd w:val="clear" w:color="auto" w:fill="auto"/>
            <w:noWrap/>
            <w:hideMark/>
          </w:tcPr>
          <w:p w14:paraId="08FEC7A6"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313DD09F" w14:textId="77777777" w:rsidR="00FA2345" w:rsidRPr="00610088" w:rsidRDefault="00FA2345" w:rsidP="008E053E">
            <w:pPr>
              <w:pStyle w:val="NoSpacing"/>
              <w:rPr>
                <w:sz w:val="18"/>
                <w:szCs w:val="18"/>
                <w:lang w:val="en-GB"/>
              </w:rPr>
            </w:pPr>
            <w:r w:rsidRPr="00610088">
              <w:rPr>
                <w:sz w:val="18"/>
                <w:szCs w:val="18"/>
                <w:lang w:val="en-GB"/>
              </w:rPr>
              <w:t>No (DNCD&amp;MH, 2019)</w:t>
            </w:r>
          </w:p>
        </w:tc>
        <w:tc>
          <w:tcPr>
            <w:tcW w:w="850" w:type="dxa"/>
            <w:shd w:val="clear" w:color="auto" w:fill="auto"/>
            <w:noWrap/>
            <w:hideMark/>
          </w:tcPr>
          <w:p w14:paraId="2B7928C6" w14:textId="77777777" w:rsidR="00FA2345" w:rsidRPr="00610088" w:rsidRDefault="00FA2345" w:rsidP="008E053E">
            <w:pPr>
              <w:pStyle w:val="NoSpacing"/>
              <w:rPr>
                <w:sz w:val="18"/>
                <w:szCs w:val="18"/>
                <w:lang w:val="en-GB"/>
              </w:rPr>
            </w:pPr>
            <w:r w:rsidRPr="00610088">
              <w:rPr>
                <w:sz w:val="18"/>
                <w:szCs w:val="18"/>
                <w:lang w:val="en-GB"/>
              </w:rPr>
              <w:t>Yes</w:t>
            </w:r>
          </w:p>
        </w:tc>
        <w:tc>
          <w:tcPr>
            <w:tcW w:w="851" w:type="dxa"/>
            <w:shd w:val="clear" w:color="auto" w:fill="auto"/>
            <w:noWrap/>
            <w:hideMark/>
          </w:tcPr>
          <w:p w14:paraId="621DF291" w14:textId="77777777" w:rsidR="00FA2345" w:rsidRPr="00610088" w:rsidRDefault="00FA2345" w:rsidP="008E053E">
            <w:pPr>
              <w:pStyle w:val="NoSpacing"/>
              <w:rPr>
                <w:sz w:val="18"/>
                <w:szCs w:val="18"/>
                <w:lang w:val="en-GB"/>
              </w:rPr>
            </w:pPr>
            <w:r w:rsidRPr="00610088">
              <w:rPr>
                <w:sz w:val="18"/>
                <w:szCs w:val="18"/>
                <w:lang w:val="en-GB"/>
              </w:rPr>
              <w:t>yes</w:t>
            </w:r>
          </w:p>
        </w:tc>
        <w:tc>
          <w:tcPr>
            <w:tcW w:w="850" w:type="dxa"/>
            <w:shd w:val="clear" w:color="auto" w:fill="auto"/>
            <w:noWrap/>
            <w:hideMark/>
          </w:tcPr>
          <w:p w14:paraId="31EF9F2F" w14:textId="77777777" w:rsidR="00FA2345" w:rsidRPr="00610088" w:rsidRDefault="00FA2345" w:rsidP="008E053E">
            <w:pPr>
              <w:pStyle w:val="NoSpacing"/>
              <w:rPr>
                <w:sz w:val="18"/>
                <w:szCs w:val="18"/>
                <w:lang w:val="en-GB"/>
              </w:rPr>
            </w:pPr>
            <w:r w:rsidRPr="00610088">
              <w:rPr>
                <w:sz w:val="18"/>
                <w:szCs w:val="18"/>
                <w:lang w:val="en-GB"/>
              </w:rPr>
              <w:t>Yes</w:t>
            </w:r>
          </w:p>
        </w:tc>
        <w:tc>
          <w:tcPr>
            <w:tcW w:w="772" w:type="dxa"/>
            <w:shd w:val="clear" w:color="auto" w:fill="auto"/>
            <w:noWrap/>
            <w:hideMark/>
          </w:tcPr>
          <w:p w14:paraId="50BAA73D" w14:textId="77777777" w:rsidR="00FA2345" w:rsidRPr="00610088" w:rsidRDefault="00FA2345" w:rsidP="008E053E">
            <w:pPr>
              <w:pStyle w:val="NoSpacing"/>
              <w:rPr>
                <w:sz w:val="18"/>
                <w:szCs w:val="18"/>
                <w:lang w:val="en-GB"/>
              </w:rPr>
            </w:pPr>
            <w:r w:rsidRPr="00610088">
              <w:rPr>
                <w:sz w:val="18"/>
                <w:szCs w:val="18"/>
                <w:lang w:val="en-GB"/>
              </w:rPr>
              <w:t>yes</w:t>
            </w:r>
          </w:p>
        </w:tc>
      </w:tr>
      <w:tr w:rsidR="00FA2345" w:rsidRPr="00610088" w14:paraId="64A319D2" w14:textId="77777777" w:rsidTr="00FC5D9B">
        <w:trPr>
          <w:trHeight w:val="227"/>
        </w:trPr>
        <w:tc>
          <w:tcPr>
            <w:tcW w:w="1555" w:type="dxa"/>
            <w:vMerge/>
            <w:vAlign w:val="center"/>
            <w:hideMark/>
          </w:tcPr>
          <w:p w14:paraId="7F766C95" w14:textId="77777777" w:rsidR="00FA2345" w:rsidRPr="00610088" w:rsidRDefault="00FA2345" w:rsidP="008E053E">
            <w:pPr>
              <w:pStyle w:val="NoSpacing"/>
              <w:rPr>
                <w:b/>
                <w:bCs/>
                <w:sz w:val="18"/>
                <w:szCs w:val="18"/>
                <w:lang w:val="en-GB"/>
              </w:rPr>
            </w:pPr>
          </w:p>
        </w:tc>
        <w:tc>
          <w:tcPr>
            <w:tcW w:w="3118" w:type="dxa"/>
            <w:shd w:val="clear" w:color="auto" w:fill="auto"/>
            <w:hideMark/>
          </w:tcPr>
          <w:p w14:paraId="7D308158" w14:textId="43E0A9E2" w:rsidR="00FA2345" w:rsidRPr="00610088" w:rsidRDefault="00FA2345" w:rsidP="008E053E">
            <w:pPr>
              <w:pStyle w:val="NoSpacing"/>
              <w:rPr>
                <w:sz w:val="18"/>
                <w:szCs w:val="18"/>
                <w:lang w:val="en-GB"/>
              </w:rPr>
            </w:pPr>
            <w:r w:rsidRPr="00610088">
              <w:rPr>
                <w:sz w:val="18"/>
                <w:szCs w:val="18"/>
                <w:lang w:val="en-GB"/>
              </w:rPr>
              <w:t>3.2 Proportion of districts where at least 90% of PHU have posters and reading materials to promoted prevention of NCDs</w:t>
            </w:r>
          </w:p>
        </w:tc>
        <w:tc>
          <w:tcPr>
            <w:tcW w:w="2976" w:type="dxa"/>
            <w:shd w:val="clear" w:color="auto" w:fill="auto"/>
            <w:hideMark/>
          </w:tcPr>
          <w:p w14:paraId="2CEFC66D" w14:textId="3809DCC1" w:rsidR="00FA2345" w:rsidRPr="00610088" w:rsidRDefault="00FA2345" w:rsidP="008E053E">
            <w:pPr>
              <w:pStyle w:val="NoSpacing"/>
              <w:rPr>
                <w:sz w:val="18"/>
                <w:szCs w:val="18"/>
                <w:lang w:val="en-GB"/>
              </w:rPr>
            </w:pPr>
            <w:r w:rsidRPr="00610088">
              <w:rPr>
                <w:sz w:val="18"/>
                <w:szCs w:val="18"/>
                <w:lang w:val="en-GB"/>
              </w:rPr>
              <w:t> ISSV database of results of checklist C1 (ISSV District to PHU cycle)</w:t>
            </w:r>
          </w:p>
        </w:tc>
        <w:tc>
          <w:tcPr>
            <w:tcW w:w="850" w:type="dxa"/>
            <w:shd w:val="clear" w:color="auto" w:fill="auto"/>
            <w:noWrap/>
            <w:hideMark/>
          </w:tcPr>
          <w:p w14:paraId="059C1679" w14:textId="21120DA3" w:rsidR="00FA2345" w:rsidRPr="00610088" w:rsidRDefault="00FA2345" w:rsidP="008E053E">
            <w:pPr>
              <w:pStyle w:val="NoSpacing"/>
              <w:rPr>
                <w:sz w:val="18"/>
                <w:szCs w:val="18"/>
                <w:lang w:val="en-GB"/>
              </w:rPr>
            </w:pPr>
            <w:r w:rsidRPr="00610088">
              <w:rPr>
                <w:sz w:val="18"/>
                <w:szCs w:val="18"/>
                <w:lang w:val="en-GB"/>
              </w:rPr>
              <w:t>Bi-Annual</w:t>
            </w:r>
          </w:p>
        </w:tc>
        <w:tc>
          <w:tcPr>
            <w:tcW w:w="2551" w:type="dxa"/>
            <w:shd w:val="clear" w:color="auto" w:fill="auto"/>
            <w:noWrap/>
            <w:hideMark/>
          </w:tcPr>
          <w:p w14:paraId="5016CF63" w14:textId="1A6169A3" w:rsidR="00FA2345" w:rsidRPr="00610088" w:rsidRDefault="00FA2345" w:rsidP="008E053E">
            <w:pPr>
              <w:pStyle w:val="NoSpacing"/>
              <w:rPr>
                <w:sz w:val="18"/>
                <w:szCs w:val="18"/>
                <w:lang w:val="en-GB"/>
              </w:rPr>
            </w:pPr>
            <w:r w:rsidRPr="00610088">
              <w:rPr>
                <w:sz w:val="18"/>
                <w:szCs w:val="18"/>
                <w:lang w:val="en-GB"/>
              </w:rPr>
              <w:t>TBD (ISSV secretariat)</w:t>
            </w:r>
          </w:p>
        </w:tc>
        <w:tc>
          <w:tcPr>
            <w:tcW w:w="850" w:type="dxa"/>
            <w:shd w:val="clear" w:color="auto" w:fill="auto"/>
            <w:noWrap/>
            <w:hideMark/>
          </w:tcPr>
          <w:p w14:paraId="161EE1FC" w14:textId="72EE62C3" w:rsidR="00FA2345" w:rsidRPr="00610088" w:rsidRDefault="00FA2345" w:rsidP="008E053E">
            <w:pPr>
              <w:pStyle w:val="NoSpacing"/>
              <w:rPr>
                <w:sz w:val="18"/>
                <w:szCs w:val="18"/>
                <w:lang w:val="en-GB"/>
              </w:rPr>
            </w:pPr>
            <w:r w:rsidRPr="00610088">
              <w:rPr>
                <w:sz w:val="18"/>
                <w:szCs w:val="18"/>
                <w:lang w:val="en-GB"/>
              </w:rPr>
              <w:t>2</w:t>
            </w:r>
          </w:p>
        </w:tc>
        <w:tc>
          <w:tcPr>
            <w:tcW w:w="851" w:type="dxa"/>
            <w:shd w:val="clear" w:color="auto" w:fill="auto"/>
            <w:noWrap/>
            <w:hideMark/>
          </w:tcPr>
          <w:p w14:paraId="39D02BEE" w14:textId="3E4FCC99" w:rsidR="00FA2345" w:rsidRPr="00610088" w:rsidRDefault="00FA2345" w:rsidP="008E053E">
            <w:pPr>
              <w:pStyle w:val="NoSpacing"/>
              <w:rPr>
                <w:sz w:val="18"/>
                <w:szCs w:val="18"/>
                <w:lang w:val="en-GB"/>
              </w:rPr>
            </w:pPr>
            <w:r w:rsidRPr="00610088">
              <w:rPr>
                <w:sz w:val="18"/>
                <w:szCs w:val="18"/>
                <w:lang w:val="en-GB"/>
              </w:rPr>
              <w:t>5 </w:t>
            </w:r>
          </w:p>
        </w:tc>
        <w:tc>
          <w:tcPr>
            <w:tcW w:w="850" w:type="dxa"/>
            <w:shd w:val="clear" w:color="auto" w:fill="auto"/>
            <w:noWrap/>
            <w:hideMark/>
          </w:tcPr>
          <w:p w14:paraId="023229D3" w14:textId="33516B45" w:rsidR="00FA2345" w:rsidRPr="00610088" w:rsidRDefault="00FA2345" w:rsidP="008E053E">
            <w:pPr>
              <w:pStyle w:val="NoSpacing"/>
              <w:rPr>
                <w:sz w:val="18"/>
                <w:szCs w:val="18"/>
                <w:lang w:val="en-GB"/>
              </w:rPr>
            </w:pPr>
            <w:r w:rsidRPr="00610088">
              <w:rPr>
                <w:sz w:val="18"/>
                <w:szCs w:val="18"/>
                <w:lang w:val="en-GB"/>
              </w:rPr>
              <w:t>10</w:t>
            </w:r>
          </w:p>
        </w:tc>
        <w:tc>
          <w:tcPr>
            <w:tcW w:w="772" w:type="dxa"/>
            <w:shd w:val="clear" w:color="auto" w:fill="auto"/>
            <w:noWrap/>
            <w:hideMark/>
          </w:tcPr>
          <w:p w14:paraId="597B2764" w14:textId="753C49F1" w:rsidR="00FA2345" w:rsidRPr="00610088" w:rsidRDefault="00FA2345" w:rsidP="008E053E">
            <w:pPr>
              <w:pStyle w:val="NoSpacing"/>
              <w:rPr>
                <w:sz w:val="18"/>
                <w:szCs w:val="18"/>
                <w:lang w:val="en-GB"/>
              </w:rPr>
            </w:pPr>
            <w:r w:rsidRPr="00610088">
              <w:rPr>
                <w:sz w:val="18"/>
                <w:szCs w:val="18"/>
                <w:lang w:val="en-GB"/>
              </w:rPr>
              <w:t>16</w:t>
            </w:r>
          </w:p>
        </w:tc>
      </w:tr>
      <w:tr w:rsidR="00FA2345" w:rsidRPr="00610088" w14:paraId="47E7D533" w14:textId="77777777" w:rsidTr="00FC5D9B">
        <w:trPr>
          <w:trHeight w:val="227"/>
        </w:trPr>
        <w:tc>
          <w:tcPr>
            <w:tcW w:w="1555" w:type="dxa"/>
            <w:vMerge/>
            <w:vAlign w:val="center"/>
            <w:hideMark/>
          </w:tcPr>
          <w:p w14:paraId="60226CBF" w14:textId="77777777" w:rsidR="00FA2345" w:rsidRPr="00610088" w:rsidRDefault="00FA2345" w:rsidP="008E053E">
            <w:pPr>
              <w:pStyle w:val="NoSpacing"/>
              <w:rPr>
                <w:b/>
                <w:bCs/>
                <w:sz w:val="18"/>
                <w:szCs w:val="18"/>
                <w:lang w:val="en-GB"/>
              </w:rPr>
            </w:pPr>
          </w:p>
        </w:tc>
        <w:tc>
          <w:tcPr>
            <w:tcW w:w="3118" w:type="dxa"/>
            <w:shd w:val="clear" w:color="auto" w:fill="auto"/>
            <w:hideMark/>
          </w:tcPr>
          <w:p w14:paraId="23B2C4F6" w14:textId="5E4FA857" w:rsidR="00FA2345" w:rsidRPr="00610088" w:rsidRDefault="00FA2345" w:rsidP="008E053E">
            <w:pPr>
              <w:pStyle w:val="NoSpacing"/>
              <w:rPr>
                <w:sz w:val="18"/>
                <w:szCs w:val="18"/>
                <w:lang w:val="en-GB"/>
              </w:rPr>
            </w:pPr>
            <w:r w:rsidRPr="00610088">
              <w:rPr>
                <w:sz w:val="18"/>
                <w:szCs w:val="18"/>
                <w:lang w:val="en-GB"/>
              </w:rPr>
              <w:t xml:space="preserve">3.3 Number of public awareness/ education activities </w:t>
            </w:r>
          </w:p>
        </w:tc>
        <w:tc>
          <w:tcPr>
            <w:tcW w:w="2976" w:type="dxa"/>
            <w:shd w:val="clear" w:color="auto" w:fill="auto"/>
            <w:hideMark/>
          </w:tcPr>
          <w:p w14:paraId="1AF98674" w14:textId="2F2E1461" w:rsidR="00FA2345" w:rsidRPr="00610088" w:rsidRDefault="00FA2345" w:rsidP="008E053E">
            <w:pPr>
              <w:pStyle w:val="NoSpacing"/>
              <w:rPr>
                <w:sz w:val="18"/>
                <w:szCs w:val="18"/>
                <w:lang w:val="en-GB"/>
              </w:rPr>
            </w:pPr>
            <w:r w:rsidRPr="00610088">
              <w:rPr>
                <w:sz w:val="18"/>
                <w:szCs w:val="18"/>
                <w:lang w:val="en-GB"/>
              </w:rPr>
              <w:t>Public awareness/ education activities records</w:t>
            </w:r>
          </w:p>
        </w:tc>
        <w:tc>
          <w:tcPr>
            <w:tcW w:w="850" w:type="dxa"/>
            <w:shd w:val="clear" w:color="auto" w:fill="auto"/>
            <w:hideMark/>
          </w:tcPr>
          <w:p w14:paraId="71A7E050" w14:textId="77777777" w:rsidR="00FA2345" w:rsidRPr="00610088" w:rsidRDefault="00FA2345" w:rsidP="008E053E">
            <w:pPr>
              <w:pStyle w:val="NoSpacing"/>
              <w:rPr>
                <w:sz w:val="18"/>
                <w:szCs w:val="18"/>
                <w:lang w:val="en-GB"/>
              </w:rPr>
            </w:pPr>
            <w:r w:rsidRPr="00610088">
              <w:rPr>
                <w:sz w:val="18"/>
                <w:szCs w:val="18"/>
                <w:lang w:val="en-GB"/>
              </w:rPr>
              <w:t xml:space="preserve">Annual, not cumulative </w:t>
            </w:r>
          </w:p>
        </w:tc>
        <w:tc>
          <w:tcPr>
            <w:tcW w:w="2551" w:type="dxa"/>
            <w:shd w:val="clear" w:color="auto" w:fill="auto"/>
            <w:hideMark/>
          </w:tcPr>
          <w:p w14:paraId="5055448A" w14:textId="0B481BBE" w:rsidR="00FA2345" w:rsidRPr="00610088" w:rsidRDefault="00FA2345" w:rsidP="008E053E">
            <w:pPr>
              <w:pStyle w:val="NoSpacing"/>
              <w:rPr>
                <w:sz w:val="18"/>
                <w:szCs w:val="18"/>
                <w:lang w:val="en-GB"/>
              </w:rPr>
            </w:pPr>
            <w:r w:rsidRPr="00610088">
              <w:rPr>
                <w:sz w:val="18"/>
                <w:szCs w:val="18"/>
                <w:lang w:val="en-GB"/>
              </w:rPr>
              <w:t>0 (</w:t>
            </w:r>
            <w:r w:rsidRPr="00610088">
              <w:rPr>
                <w:i/>
                <w:iCs/>
                <w:sz w:val="18"/>
                <w:szCs w:val="18"/>
                <w:lang w:val="en-GB"/>
              </w:rPr>
              <w:t>regional meetings on tobacco in 2019</w:t>
            </w:r>
            <w:r w:rsidRPr="00610088">
              <w:rPr>
                <w:sz w:val="18"/>
                <w:szCs w:val="18"/>
                <w:lang w:val="en-GB"/>
              </w:rPr>
              <w:t>) (DNCD&amp;MH, 2019)</w:t>
            </w:r>
          </w:p>
        </w:tc>
        <w:tc>
          <w:tcPr>
            <w:tcW w:w="850" w:type="dxa"/>
            <w:shd w:val="clear" w:color="auto" w:fill="auto"/>
            <w:noWrap/>
            <w:hideMark/>
          </w:tcPr>
          <w:p w14:paraId="72333620" w14:textId="5749CD8D" w:rsidR="00FA2345" w:rsidRPr="00610088" w:rsidRDefault="00FA2345" w:rsidP="008E053E">
            <w:pPr>
              <w:pStyle w:val="NoSpacing"/>
              <w:rPr>
                <w:sz w:val="18"/>
                <w:szCs w:val="18"/>
                <w:lang w:val="en-GB"/>
              </w:rPr>
            </w:pPr>
            <w:r w:rsidRPr="00610088">
              <w:rPr>
                <w:sz w:val="18"/>
                <w:szCs w:val="18"/>
                <w:lang w:val="en-GB"/>
              </w:rPr>
              <w:t>32 (2/district)</w:t>
            </w:r>
          </w:p>
        </w:tc>
        <w:tc>
          <w:tcPr>
            <w:tcW w:w="851" w:type="dxa"/>
            <w:shd w:val="clear" w:color="auto" w:fill="auto"/>
            <w:noWrap/>
            <w:hideMark/>
          </w:tcPr>
          <w:p w14:paraId="31B05B38" w14:textId="723B802A" w:rsidR="00FA2345" w:rsidRPr="00610088" w:rsidRDefault="00FA2345" w:rsidP="008E053E">
            <w:pPr>
              <w:pStyle w:val="NoSpacing"/>
              <w:rPr>
                <w:sz w:val="18"/>
                <w:szCs w:val="18"/>
                <w:lang w:val="en-GB"/>
              </w:rPr>
            </w:pPr>
            <w:r w:rsidRPr="00610088">
              <w:rPr>
                <w:sz w:val="18"/>
                <w:szCs w:val="18"/>
                <w:lang w:val="en-GB"/>
              </w:rPr>
              <w:t>48 (3/district)</w:t>
            </w:r>
          </w:p>
        </w:tc>
        <w:tc>
          <w:tcPr>
            <w:tcW w:w="850" w:type="dxa"/>
            <w:shd w:val="clear" w:color="auto" w:fill="auto"/>
            <w:noWrap/>
            <w:hideMark/>
          </w:tcPr>
          <w:p w14:paraId="755230FF" w14:textId="77777777" w:rsidR="00FA2345" w:rsidRPr="00610088" w:rsidRDefault="00FA2345" w:rsidP="008E053E">
            <w:pPr>
              <w:pStyle w:val="NoSpacing"/>
              <w:rPr>
                <w:sz w:val="18"/>
                <w:szCs w:val="18"/>
                <w:lang w:val="en-GB"/>
              </w:rPr>
            </w:pPr>
            <w:r w:rsidRPr="00610088">
              <w:rPr>
                <w:sz w:val="18"/>
                <w:szCs w:val="18"/>
                <w:lang w:val="en-GB"/>
              </w:rPr>
              <w:t>64</w:t>
            </w:r>
          </w:p>
          <w:p w14:paraId="55A834E8" w14:textId="094348F2" w:rsidR="00FA2345" w:rsidRPr="00610088" w:rsidRDefault="00FA2345" w:rsidP="008E053E">
            <w:pPr>
              <w:pStyle w:val="NoSpacing"/>
              <w:rPr>
                <w:sz w:val="18"/>
                <w:szCs w:val="18"/>
                <w:lang w:val="en-GB"/>
              </w:rPr>
            </w:pPr>
            <w:r w:rsidRPr="00610088">
              <w:rPr>
                <w:sz w:val="18"/>
                <w:szCs w:val="18"/>
                <w:lang w:val="en-GB"/>
              </w:rPr>
              <w:t>(4/district)</w:t>
            </w:r>
          </w:p>
        </w:tc>
        <w:tc>
          <w:tcPr>
            <w:tcW w:w="772" w:type="dxa"/>
            <w:shd w:val="clear" w:color="auto" w:fill="auto"/>
            <w:noWrap/>
            <w:hideMark/>
          </w:tcPr>
          <w:p w14:paraId="31027FA6" w14:textId="794AACEF" w:rsidR="00FA2345" w:rsidRPr="00610088" w:rsidRDefault="00FA2345" w:rsidP="008E053E">
            <w:pPr>
              <w:pStyle w:val="NoSpacing"/>
              <w:rPr>
                <w:sz w:val="18"/>
                <w:szCs w:val="18"/>
                <w:lang w:val="en-GB"/>
              </w:rPr>
            </w:pPr>
            <w:r w:rsidRPr="00610088">
              <w:rPr>
                <w:sz w:val="18"/>
                <w:szCs w:val="18"/>
                <w:lang w:val="en-GB"/>
              </w:rPr>
              <w:t>64 (4/district)</w:t>
            </w:r>
          </w:p>
        </w:tc>
      </w:tr>
      <w:tr w:rsidR="00FA2345" w:rsidRPr="00610088" w14:paraId="337E34A4" w14:textId="77777777" w:rsidTr="00FC5D9B">
        <w:trPr>
          <w:trHeight w:val="227"/>
        </w:trPr>
        <w:tc>
          <w:tcPr>
            <w:tcW w:w="1555" w:type="dxa"/>
            <w:vMerge/>
            <w:vAlign w:val="center"/>
            <w:hideMark/>
          </w:tcPr>
          <w:p w14:paraId="23EAF3D3"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798A785" w14:textId="0B10ACDF" w:rsidR="00FA2345" w:rsidRPr="00610088" w:rsidRDefault="00FA2345" w:rsidP="008E053E">
            <w:pPr>
              <w:pStyle w:val="NoSpacing"/>
              <w:rPr>
                <w:sz w:val="18"/>
                <w:szCs w:val="18"/>
                <w:lang w:val="en-GB"/>
              </w:rPr>
            </w:pPr>
            <w:r w:rsidRPr="00610088">
              <w:rPr>
                <w:sz w:val="18"/>
                <w:szCs w:val="18"/>
                <w:lang w:val="en-GB"/>
              </w:rPr>
              <w:t>3.4 Adult Per Capita Consumption of alcohol</w:t>
            </w:r>
          </w:p>
        </w:tc>
        <w:tc>
          <w:tcPr>
            <w:tcW w:w="2976" w:type="dxa"/>
            <w:shd w:val="clear" w:color="auto" w:fill="auto"/>
            <w:hideMark/>
          </w:tcPr>
          <w:p w14:paraId="0F208FCB" w14:textId="77777777" w:rsidR="00FA2345" w:rsidRPr="00610088" w:rsidRDefault="00FA2345" w:rsidP="008E053E">
            <w:pPr>
              <w:pStyle w:val="NoSpacing"/>
              <w:rPr>
                <w:sz w:val="18"/>
                <w:szCs w:val="18"/>
                <w:lang w:val="en-GB"/>
              </w:rPr>
            </w:pPr>
            <w:r w:rsidRPr="00610088">
              <w:rPr>
                <w:sz w:val="18"/>
                <w:szCs w:val="18"/>
                <w:lang w:val="en-GB"/>
              </w:rPr>
              <w:t>Recorded alcohol use: 1. Government data: alcohol sales and alcohol production, import, export 2. FAOSTAT + Unrecorded alcohol use: survey data, FAOSTAT</w:t>
            </w:r>
          </w:p>
        </w:tc>
        <w:tc>
          <w:tcPr>
            <w:tcW w:w="850" w:type="dxa"/>
            <w:shd w:val="clear" w:color="auto" w:fill="auto"/>
            <w:noWrap/>
            <w:hideMark/>
          </w:tcPr>
          <w:p w14:paraId="6F39282C"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noWrap/>
            <w:hideMark/>
          </w:tcPr>
          <w:p w14:paraId="7EC7207C" w14:textId="21CB9E45" w:rsidR="00FA2345" w:rsidRPr="00610088" w:rsidRDefault="00FA2345" w:rsidP="008E053E">
            <w:pPr>
              <w:pStyle w:val="NoSpacing"/>
              <w:rPr>
                <w:sz w:val="18"/>
                <w:szCs w:val="18"/>
                <w:lang w:val="en-GB"/>
              </w:rPr>
            </w:pPr>
            <w:r w:rsidRPr="00610088">
              <w:rPr>
                <w:sz w:val="18"/>
                <w:szCs w:val="18"/>
                <w:lang w:val="en-GB"/>
              </w:rPr>
              <w:t xml:space="preserve"> TBD </w:t>
            </w:r>
          </w:p>
        </w:tc>
        <w:tc>
          <w:tcPr>
            <w:tcW w:w="850" w:type="dxa"/>
            <w:shd w:val="clear" w:color="auto" w:fill="auto"/>
            <w:noWrap/>
            <w:hideMark/>
          </w:tcPr>
          <w:p w14:paraId="383622AB" w14:textId="610AF569" w:rsidR="00FA2345" w:rsidRPr="00610088" w:rsidRDefault="00FA2345" w:rsidP="008E053E">
            <w:pPr>
              <w:pStyle w:val="NoSpacing"/>
              <w:rPr>
                <w:sz w:val="18"/>
                <w:szCs w:val="18"/>
                <w:lang w:val="en-GB"/>
              </w:rPr>
            </w:pPr>
            <w:r w:rsidRPr="00610088">
              <w:rPr>
                <w:sz w:val="18"/>
                <w:szCs w:val="18"/>
                <w:lang w:val="en-GB"/>
              </w:rPr>
              <w:t>TBD</w:t>
            </w:r>
          </w:p>
        </w:tc>
        <w:tc>
          <w:tcPr>
            <w:tcW w:w="851" w:type="dxa"/>
            <w:shd w:val="clear" w:color="auto" w:fill="auto"/>
            <w:noWrap/>
            <w:hideMark/>
          </w:tcPr>
          <w:p w14:paraId="0FDCCA13" w14:textId="37ADFA9D" w:rsidR="00FA2345" w:rsidRPr="00610088" w:rsidRDefault="00FA2345" w:rsidP="008E053E">
            <w:pPr>
              <w:pStyle w:val="NoSpacing"/>
              <w:rPr>
                <w:sz w:val="18"/>
                <w:szCs w:val="18"/>
                <w:lang w:val="en-GB"/>
              </w:rPr>
            </w:pPr>
            <w:r w:rsidRPr="00610088">
              <w:rPr>
                <w:sz w:val="18"/>
                <w:szCs w:val="18"/>
                <w:lang w:val="en-GB"/>
              </w:rPr>
              <w:t>TBD</w:t>
            </w:r>
          </w:p>
        </w:tc>
        <w:tc>
          <w:tcPr>
            <w:tcW w:w="850" w:type="dxa"/>
            <w:shd w:val="clear" w:color="auto" w:fill="auto"/>
            <w:noWrap/>
            <w:hideMark/>
          </w:tcPr>
          <w:p w14:paraId="2440E71D" w14:textId="10C33526" w:rsidR="00FA2345" w:rsidRPr="00610088" w:rsidRDefault="00FA2345" w:rsidP="008E053E">
            <w:pPr>
              <w:pStyle w:val="NoSpacing"/>
              <w:rPr>
                <w:sz w:val="18"/>
                <w:szCs w:val="18"/>
                <w:lang w:val="en-GB"/>
              </w:rPr>
            </w:pPr>
            <w:r w:rsidRPr="00610088">
              <w:rPr>
                <w:sz w:val="18"/>
                <w:szCs w:val="18"/>
                <w:lang w:val="en-GB"/>
              </w:rPr>
              <w:t>TBD</w:t>
            </w:r>
          </w:p>
        </w:tc>
        <w:tc>
          <w:tcPr>
            <w:tcW w:w="772" w:type="dxa"/>
            <w:shd w:val="clear" w:color="auto" w:fill="auto"/>
            <w:noWrap/>
            <w:hideMark/>
          </w:tcPr>
          <w:p w14:paraId="68EEFD74" w14:textId="27F89DE3"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2DE4D6C1" w14:textId="77777777" w:rsidTr="00FC5D9B">
        <w:trPr>
          <w:trHeight w:val="227"/>
        </w:trPr>
        <w:tc>
          <w:tcPr>
            <w:tcW w:w="1555" w:type="dxa"/>
            <w:vMerge/>
            <w:vAlign w:val="center"/>
            <w:hideMark/>
          </w:tcPr>
          <w:p w14:paraId="0BB647D4" w14:textId="77777777" w:rsidR="00FA2345" w:rsidRPr="00610088" w:rsidRDefault="00FA2345" w:rsidP="008E053E">
            <w:pPr>
              <w:pStyle w:val="NoSpacing"/>
              <w:rPr>
                <w:b/>
                <w:bCs/>
                <w:sz w:val="18"/>
                <w:szCs w:val="18"/>
                <w:lang w:val="en-GB"/>
              </w:rPr>
            </w:pPr>
          </w:p>
        </w:tc>
        <w:tc>
          <w:tcPr>
            <w:tcW w:w="3118" w:type="dxa"/>
            <w:shd w:val="clear" w:color="auto" w:fill="auto"/>
            <w:hideMark/>
          </w:tcPr>
          <w:p w14:paraId="6AEE5818" w14:textId="6081AA94" w:rsidR="00FA2345" w:rsidRPr="00610088" w:rsidRDefault="00FA2345" w:rsidP="008E053E">
            <w:pPr>
              <w:pStyle w:val="NoSpacing"/>
              <w:rPr>
                <w:sz w:val="18"/>
                <w:szCs w:val="18"/>
                <w:lang w:val="en-GB"/>
              </w:rPr>
            </w:pPr>
            <w:r w:rsidRPr="00610088">
              <w:rPr>
                <w:sz w:val="18"/>
                <w:szCs w:val="18"/>
                <w:lang w:val="en-GB"/>
              </w:rPr>
              <w:t>3.5 Prevalence of heavy episodic drinking</w:t>
            </w:r>
          </w:p>
        </w:tc>
        <w:tc>
          <w:tcPr>
            <w:tcW w:w="2976" w:type="dxa"/>
            <w:shd w:val="clear" w:color="auto" w:fill="auto"/>
            <w:hideMark/>
          </w:tcPr>
          <w:p w14:paraId="796150CF" w14:textId="77777777" w:rsidR="00FA2345" w:rsidRPr="00610088" w:rsidRDefault="00FA2345" w:rsidP="008E053E">
            <w:pPr>
              <w:pStyle w:val="NoSpacing"/>
              <w:rPr>
                <w:sz w:val="18"/>
                <w:szCs w:val="18"/>
                <w:lang w:val="en-GB"/>
              </w:rPr>
            </w:pPr>
            <w:r w:rsidRPr="00610088">
              <w:rPr>
                <w:sz w:val="18"/>
                <w:szCs w:val="18"/>
                <w:lang w:val="en-GB"/>
              </w:rPr>
              <w:t xml:space="preserve">Population-based (preferably nationally representative) survey </w:t>
            </w:r>
          </w:p>
        </w:tc>
        <w:tc>
          <w:tcPr>
            <w:tcW w:w="850" w:type="dxa"/>
            <w:shd w:val="clear" w:color="auto" w:fill="auto"/>
            <w:hideMark/>
          </w:tcPr>
          <w:p w14:paraId="256604B2"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55CEDEEE" w14:textId="1AA87A0A"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7C4B2820"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6A4F4165"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7D8C9D93"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16860119" w14:textId="38101DA5"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6019980D" w14:textId="77777777" w:rsidTr="00FC5D9B">
        <w:trPr>
          <w:trHeight w:val="227"/>
        </w:trPr>
        <w:tc>
          <w:tcPr>
            <w:tcW w:w="1555" w:type="dxa"/>
            <w:vMerge/>
            <w:vAlign w:val="center"/>
            <w:hideMark/>
          </w:tcPr>
          <w:p w14:paraId="3F0F6635" w14:textId="77777777" w:rsidR="00FA2345" w:rsidRPr="00610088" w:rsidRDefault="00FA2345" w:rsidP="008E053E">
            <w:pPr>
              <w:pStyle w:val="NoSpacing"/>
              <w:rPr>
                <w:b/>
                <w:bCs/>
                <w:sz w:val="18"/>
                <w:szCs w:val="18"/>
                <w:lang w:val="en-GB"/>
              </w:rPr>
            </w:pPr>
          </w:p>
        </w:tc>
        <w:tc>
          <w:tcPr>
            <w:tcW w:w="3118" w:type="dxa"/>
            <w:shd w:val="clear" w:color="auto" w:fill="auto"/>
            <w:hideMark/>
          </w:tcPr>
          <w:p w14:paraId="4CD0CCA8" w14:textId="4AAD378E" w:rsidR="00FA2345" w:rsidRPr="00610088" w:rsidRDefault="00FA2345" w:rsidP="008E053E">
            <w:pPr>
              <w:pStyle w:val="NoSpacing"/>
              <w:rPr>
                <w:sz w:val="18"/>
                <w:szCs w:val="18"/>
                <w:lang w:val="en-GB"/>
              </w:rPr>
            </w:pPr>
            <w:r w:rsidRPr="00610088">
              <w:rPr>
                <w:sz w:val="18"/>
                <w:szCs w:val="18"/>
                <w:lang w:val="en-GB"/>
              </w:rPr>
              <w:t>3.6 Prevalence of alcohol-related morbidity and mortality among adults and adolescents (10-19 years)</w:t>
            </w:r>
          </w:p>
        </w:tc>
        <w:tc>
          <w:tcPr>
            <w:tcW w:w="2976" w:type="dxa"/>
            <w:shd w:val="clear" w:color="auto" w:fill="auto"/>
            <w:hideMark/>
          </w:tcPr>
          <w:p w14:paraId="45550EDE"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 using validated instruments</w:t>
            </w:r>
          </w:p>
        </w:tc>
        <w:tc>
          <w:tcPr>
            <w:tcW w:w="850" w:type="dxa"/>
            <w:shd w:val="clear" w:color="auto" w:fill="auto"/>
            <w:hideMark/>
          </w:tcPr>
          <w:p w14:paraId="6B283769"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00E29782" w14:textId="1CCC2ABB"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0FDAFA1F"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5EBA2AF6"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270F1173"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081D1E21" w14:textId="42A92B11"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03F3BDDB" w14:textId="77777777" w:rsidTr="00FC5D9B">
        <w:trPr>
          <w:trHeight w:val="227"/>
        </w:trPr>
        <w:tc>
          <w:tcPr>
            <w:tcW w:w="1555" w:type="dxa"/>
            <w:vMerge/>
            <w:vAlign w:val="center"/>
            <w:hideMark/>
          </w:tcPr>
          <w:p w14:paraId="50EB102D" w14:textId="77777777" w:rsidR="00FA2345" w:rsidRPr="00610088" w:rsidRDefault="00FA2345" w:rsidP="008E053E">
            <w:pPr>
              <w:pStyle w:val="NoSpacing"/>
              <w:rPr>
                <w:b/>
                <w:bCs/>
                <w:sz w:val="18"/>
                <w:szCs w:val="18"/>
                <w:lang w:val="en-GB"/>
              </w:rPr>
            </w:pPr>
          </w:p>
        </w:tc>
        <w:tc>
          <w:tcPr>
            <w:tcW w:w="3118" w:type="dxa"/>
            <w:shd w:val="clear" w:color="auto" w:fill="auto"/>
            <w:hideMark/>
          </w:tcPr>
          <w:p w14:paraId="64D865F0" w14:textId="702AB53A" w:rsidR="00FA2345" w:rsidRPr="00610088" w:rsidRDefault="00FA2345" w:rsidP="008E053E">
            <w:pPr>
              <w:pStyle w:val="NoSpacing"/>
              <w:rPr>
                <w:sz w:val="18"/>
                <w:szCs w:val="18"/>
                <w:lang w:val="en-GB"/>
              </w:rPr>
            </w:pPr>
            <w:r w:rsidRPr="00610088">
              <w:rPr>
                <w:sz w:val="18"/>
                <w:szCs w:val="18"/>
                <w:lang w:val="en-GB"/>
              </w:rPr>
              <w:t>3.7 Prevalence of insufficiently physically active persons aged 18+ years</w:t>
            </w:r>
          </w:p>
        </w:tc>
        <w:tc>
          <w:tcPr>
            <w:tcW w:w="2976" w:type="dxa"/>
            <w:shd w:val="clear" w:color="auto" w:fill="auto"/>
            <w:hideMark/>
          </w:tcPr>
          <w:p w14:paraId="083961D8"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1C6B5E75"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5E1370D0" w14:textId="5D12BAC4"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2ADBD240"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4E1DB04C"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640145A6"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1FD9DCAE" w14:textId="3B4FB240" w:rsidR="00FA2345" w:rsidRPr="00610088" w:rsidRDefault="00FA2345" w:rsidP="008E053E">
            <w:pPr>
              <w:pStyle w:val="NoSpacing"/>
              <w:rPr>
                <w:sz w:val="18"/>
                <w:szCs w:val="18"/>
                <w:lang w:val="en-GB"/>
              </w:rPr>
            </w:pPr>
            <w:r w:rsidRPr="00610088">
              <w:rPr>
                <w:sz w:val="18"/>
                <w:szCs w:val="18"/>
                <w:lang w:val="en-GB"/>
              </w:rPr>
              <w:t> TBD</w:t>
            </w:r>
          </w:p>
        </w:tc>
      </w:tr>
      <w:tr w:rsidR="00FA2345" w:rsidRPr="00610088" w14:paraId="20878DF8" w14:textId="77777777" w:rsidTr="00FC5D9B">
        <w:trPr>
          <w:trHeight w:val="227"/>
        </w:trPr>
        <w:tc>
          <w:tcPr>
            <w:tcW w:w="1555" w:type="dxa"/>
            <w:vMerge/>
            <w:vAlign w:val="center"/>
            <w:hideMark/>
          </w:tcPr>
          <w:p w14:paraId="38C72857" w14:textId="77777777" w:rsidR="00FA2345" w:rsidRPr="00610088" w:rsidRDefault="00FA2345" w:rsidP="008E053E">
            <w:pPr>
              <w:pStyle w:val="NoSpacing"/>
              <w:rPr>
                <w:b/>
                <w:bCs/>
                <w:sz w:val="18"/>
                <w:szCs w:val="18"/>
                <w:lang w:val="en-GB"/>
              </w:rPr>
            </w:pPr>
          </w:p>
        </w:tc>
        <w:tc>
          <w:tcPr>
            <w:tcW w:w="3118" w:type="dxa"/>
            <w:shd w:val="clear" w:color="auto" w:fill="auto"/>
            <w:hideMark/>
          </w:tcPr>
          <w:p w14:paraId="4B636AC5" w14:textId="57D59DD5" w:rsidR="00FA2345" w:rsidRPr="00610088" w:rsidRDefault="00FA2345" w:rsidP="008E053E">
            <w:pPr>
              <w:pStyle w:val="NoSpacing"/>
              <w:rPr>
                <w:sz w:val="18"/>
                <w:szCs w:val="18"/>
                <w:lang w:val="en-GB"/>
              </w:rPr>
            </w:pPr>
            <w:r w:rsidRPr="00610088">
              <w:rPr>
                <w:sz w:val="18"/>
                <w:szCs w:val="18"/>
                <w:lang w:val="en-GB"/>
              </w:rPr>
              <w:t>3.8 Age-standardized mean population intake of salt (sodium chloride) per day in grams in persons aged 18+ years</w:t>
            </w:r>
          </w:p>
        </w:tc>
        <w:tc>
          <w:tcPr>
            <w:tcW w:w="2976" w:type="dxa"/>
            <w:shd w:val="clear" w:color="auto" w:fill="auto"/>
            <w:hideMark/>
          </w:tcPr>
          <w:p w14:paraId="70CB5A5D" w14:textId="77777777" w:rsidR="00FA2345" w:rsidRPr="00610088" w:rsidRDefault="00FA2345" w:rsidP="008E053E">
            <w:pPr>
              <w:pStyle w:val="NoSpacing"/>
              <w:rPr>
                <w:sz w:val="18"/>
                <w:szCs w:val="18"/>
                <w:lang w:val="en-GB"/>
              </w:rPr>
            </w:pPr>
            <w:r w:rsidRPr="00610088">
              <w:rPr>
                <w:sz w:val="18"/>
                <w:szCs w:val="18"/>
                <w:lang w:val="en-GB"/>
              </w:rPr>
              <w:t xml:space="preserve">Population-based (preferably nationally representative) survey </w:t>
            </w:r>
          </w:p>
        </w:tc>
        <w:tc>
          <w:tcPr>
            <w:tcW w:w="850" w:type="dxa"/>
            <w:shd w:val="clear" w:color="auto" w:fill="auto"/>
            <w:hideMark/>
          </w:tcPr>
          <w:p w14:paraId="44569300"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48525286" w14:textId="74168109"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1934AB42"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149ACEE2"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11FF67A8"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0E384A50" w14:textId="2A729222"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08F2FEF2" w14:textId="77777777" w:rsidTr="00FC5D9B">
        <w:trPr>
          <w:trHeight w:val="227"/>
        </w:trPr>
        <w:tc>
          <w:tcPr>
            <w:tcW w:w="1555" w:type="dxa"/>
            <w:vMerge/>
            <w:vAlign w:val="center"/>
            <w:hideMark/>
          </w:tcPr>
          <w:p w14:paraId="0B5E31B2"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7A541E5" w14:textId="5D002288" w:rsidR="00FA2345" w:rsidRPr="00610088" w:rsidRDefault="00FA2345" w:rsidP="008E053E">
            <w:pPr>
              <w:pStyle w:val="NoSpacing"/>
              <w:rPr>
                <w:sz w:val="18"/>
                <w:szCs w:val="18"/>
                <w:lang w:val="en-GB"/>
              </w:rPr>
            </w:pPr>
            <w:r w:rsidRPr="00610088">
              <w:rPr>
                <w:sz w:val="18"/>
                <w:szCs w:val="18"/>
                <w:lang w:val="en-GB"/>
              </w:rPr>
              <w:t>3.9 Age-standardized prevalence of current tobacco use among persons aged 18+ years</w:t>
            </w:r>
          </w:p>
        </w:tc>
        <w:tc>
          <w:tcPr>
            <w:tcW w:w="2976" w:type="dxa"/>
            <w:shd w:val="clear" w:color="auto" w:fill="auto"/>
            <w:hideMark/>
          </w:tcPr>
          <w:p w14:paraId="2CE525DB"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6DEA0578"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45E0AE4D" w14:textId="34F1FC6A"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578B946A"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20C99B8C"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7161190E"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350B2E10" w14:textId="6A92AF09"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1C88415E" w14:textId="77777777" w:rsidTr="00FC5D9B">
        <w:trPr>
          <w:trHeight w:val="227"/>
        </w:trPr>
        <w:tc>
          <w:tcPr>
            <w:tcW w:w="1555" w:type="dxa"/>
            <w:vMerge/>
            <w:vAlign w:val="center"/>
            <w:hideMark/>
          </w:tcPr>
          <w:p w14:paraId="6D2B494D"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0A80270" w14:textId="53010200" w:rsidR="00FA2345" w:rsidRPr="00610088" w:rsidRDefault="00FA2345" w:rsidP="008E053E">
            <w:pPr>
              <w:pStyle w:val="NoSpacing"/>
              <w:rPr>
                <w:sz w:val="18"/>
                <w:szCs w:val="18"/>
                <w:lang w:val="en-GB"/>
              </w:rPr>
            </w:pPr>
            <w:r w:rsidRPr="00610088">
              <w:rPr>
                <w:sz w:val="18"/>
                <w:szCs w:val="18"/>
                <w:lang w:val="en-GB"/>
              </w:rPr>
              <w:t>3.10 Age-standardized prevalence of raised blood pressure among persons aged 18+ years</w:t>
            </w:r>
          </w:p>
        </w:tc>
        <w:tc>
          <w:tcPr>
            <w:tcW w:w="2976" w:type="dxa"/>
            <w:shd w:val="clear" w:color="auto" w:fill="auto"/>
            <w:hideMark/>
          </w:tcPr>
          <w:p w14:paraId="15D03EAB"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 in which blood pressure was measured, not self-reported.</w:t>
            </w:r>
          </w:p>
        </w:tc>
        <w:tc>
          <w:tcPr>
            <w:tcW w:w="850" w:type="dxa"/>
            <w:shd w:val="clear" w:color="auto" w:fill="auto"/>
            <w:hideMark/>
          </w:tcPr>
          <w:p w14:paraId="7100D6E6"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484118E9" w14:textId="5176BA60"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04657718"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43967C08"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7F210E1A"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3226FB6D" w14:textId="6FA4E74F"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425B8A70" w14:textId="77777777" w:rsidTr="00FC5D9B">
        <w:trPr>
          <w:trHeight w:val="227"/>
        </w:trPr>
        <w:tc>
          <w:tcPr>
            <w:tcW w:w="1555" w:type="dxa"/>
            <w:vMerge/>
            <w:vAlign w:val="center"/>
            <w:hideMark/>
          </w:tcPr>
          <w:p w14:paraId="3240728A" w14:textId="77777777" w:rsidR="00FA2345" w:rsidRPr="00610088" w:rsidRDefault="00FA2345" w:rsidP="008E053E">
            <w:pPr>
              <w:pStyle w:val="NoSpacing"/>
              <w:rPr>
                <w:b/>
                <w:bCs/>
                <w:sz w:val="18"/>
                <w:szCs w:val="18"/>
                <w:lang w:val="en-GB"/>
              </w:rPr>
            </w:pPr>
          </w:p>
        </w:tc>
        <w:tc>
          <w:tcPr>
            <w:tcW w:w="3118" w:type="dxa"/>
            <w:shd w:val="clear" w:color="auto" w:fill="auto"/>
            <w:hideMark/>
          </w:tcPr>
          <w:p w14:paraId="6D76E53B" w14:textId="7C433D0A" w:rsidR="00FA2345" w:rsidRPr="00610088" w:rsidRDefault="00FA2345" w:rsidP="008E053E">
            <w:pPr>
              <w:pStyle w:val="NoSpacing"/>
              <w:rPr>
                <w:sz w:val="18"/>
                <w:szCs w:val="18"/>
                <w:lang w:val="en-GB"/>
              </w:rPr>
            </w:pPr>
            <w:r w:rsidRPr="00610088">
              <w:rPr>
                <w:sz w:val="18"/>
                <w:szCs w:val="18"/>
                <w:lang w:val="en-GB"/>
              </w:rPr>
              <w:t>3.11 Age-standardized mean systolic blood pressure in persons aged 18+ years</w:t>
            </w:r>
          </w:p>
        </w:tc>
        <w:tc>
          <w:tcPr>
            <w:tcW w:w="2976" w:type="dxa"/>
            <w:shd w:val="clear" w:color="auto" w:fill="auto"/>
            <w:hideMark/>
          </w:tcPr>
          <w:p w14:paraId="43E20CF7"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 in which blood pressure was measured, not self-reported.</w:t>
            </w:r>
          </w:p>
        </w:tc>
        <w:tc>
          <w:tcPr>
            <w:tcW w:w="850" w:type="dxa"/>
            <w:shd w:val="clear" w:color="auto" w:fill="auto"/>
            <w:hideMark/>
          </w:tcPr>
          <w:p w14:paraId="52183AFE"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069C0542" w14:textId="2E174FB6"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2A82666E"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67A05F4D"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0E7508E8"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3AE37064" w14:textId="1A040B2E" w:rsidR="00FA2345" w:rsidRPr="00610088" w:rsidRDefault="00FA2345" w:rsidP="008E053E">
            <w:pPr>
              <w:pStyle w:val="NoSpacing"/>
              <w:rPr>
                <w:sz w:val="18"/>
                <w:szCs w:val="18"/>
                <w:lang w:val="en-GB"/>
              </w:rPr>
            </w:pPr>
            <w:r w:rsidRPr="00610088">
              <w:rPr>
                <w:sz w:val="18"/>
                <w:szCs w:val="18"/>
                <w:lang w:val="en-GB"/>
              </w:rPr>
              <w:t> TBD</w:t>
            </w:r>
          </w:p>
        </w:tc>
      </w:tr>
      <w:tr w:rsidR="00FA2345" w:rsidRPr="00610088" w14:paraId="1564EE58" w14:textId="77777777" w:rsidTr="00FC5D9B">
        <w:trPr>
          <w:trHeight w:val="227"/>
        </w:trPr>
        <w:tc>
          <w:tcPr>
            <w:tcW w:w="1555" w:type="dxa"/>
            <w:vMerge/>
            <w:vAlign w:val="center"/>
            <w:hideMark/>
          </w:tcPr>
          <w:p w14:paraId="4CDAC9EC"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0813768" w14:textId="3777F454" w:rsidR="00FA2345" w:rsidRPr="00610088" w:rsidRDefault="00FA2345" w:rsidP="008E053E">
            <w:pPr>
              <w:pStyle w:val="NoSpacing"/>
              <w:rPr>
                <w:sz w:val="18"/>
                <w:szCs w:val="18"/>
                <w:lang w:val="en-GB"/>
              </w:rPr>
            </w:pPr>
            <w:r w:rsidRPr="00610088">
              <w:rPr>
                <w:sz w:val="18"/>
                <w:szCs w:val="18"/>
                <w:lang w:val="en-GB"/>
              </w:rPr>
              <w:t>3.12 Age-standardized prevalence of raised blood glucose/diabetes among persons aged 18+ years or on medication for raised blood glucose</w:t>
            </w:r>
          </w:p>
        </w:tc>
        <w:tc>
          <w:tcPr>
            <w:tcW w:w="2976" w:type="dxa"/>
            <w:shd w:val="clear" w:color="auto" w:fill="auto"/>
            <w:hideMark/>
          </w:tcPr>
          <w:p w14:paraId="7CB818D5" w14:textId="1F840419"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  (</w:t>
            </w:r>
          </w:p>
        </w:tc>
        <w:tc>
          <w:tcPr>
            <w:tcW w:w="850" w:type="dxa"/>
            <w:shd w:val="clear" w:color="auto" w:fill="auto"/>
            <w:hideMark/>
          </w:tcPr>
          <w:p w14:paraId="3D9DB005"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65768768" w14:textId="0E63B32D"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0F358796"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139F4110"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5F8FC5CC"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29A40BC9" w14:textId="1D6A64BA" w:rsidR="00FA2345" w:rsidRPr="00610088" w:rsidRDefault="00FA2345" w:rsidP="008E053E">
            <w:pPr>
              <w:pStyle w:val="NoSpacing"/>
              <w:rPr>
                <w:sz w:val="18"/>
                <w:szCs w:val="18"/>
                <w:lang w:val="en-GB"/>
              </w:rPr>
            </w:pPr>
            <w:r w:rsidRPr="00610088">
              <w:rPr>
                <w:sz w:val="18"/>
                <w:szCs w:val="18"/>
                <w:lang w:val="en-GB"/>
              </w:rPr>
              <w:t> TBD</w:t>
            </w:r>
          </w:p>
        </w:tc>
      </w:tr>
      <w:tr w:rsidR="00FA2345" w:rsidRPr="00610088" w14:paraId="7B6D65C2" w14:textId="77777777" w:rsidTr="00FC5D9B">
        <w:trPr>
          <w:trHeight w:val="227"/>
        </w:trPr>
        <w:tc>
          <w:tcPr>
            <w:tcW w:w="1555" w:type="dxa"/>
            <w:vMerge/>
            <w:vAlign w:val="center"/>
            <w:hideMark/>
          </w:tcPr>
          <w:p w14:paraId="5C187504"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14E0C7F" w14:textId="5EA57DC6" w:rsidR="00FA2345" w:rsidRPr="00610088" w:rsidRDefault="00FA2345" w:rsidP="008E053E">
            <w:pPr>
              <w:pStyle w:val="NoSpacing"/>
              <w:rPr>
                <w:sz w:val="18"/>
                <w:szCs w:val="18"/>
                <w:lang w:val="en-GB"/>
              </w:rPr>
            </w:pPr>
            <w:r w:rsidRPr="00610088">
              <w:rPr>
                <w:sz w:val="18"/>
                <w:szCs w:val="18"/>
                <w:lang w:val="en-GB"/>
              </w:rPr>
              <w:t>3.13 Prevalence of overweight and obesity in adolescents (10-19 years)</w:t>
            </w:r>
          </w:p>
        </w:tc>
        <w:tc>
          <w:tcPr>
            <w:tcW w:w="2976" w:type="dxa"/>
            <w:shd w:val="clear" w:color="auto" w:fill="auto"/>
            <w:hideMark/>
          </w:tcPr>
          <w:p w14:paraId="77315571" w14:textId="77777777" w:rsidR="00FA2345" w:rsidRPr="00610088" w:rsidRDefault="00FA2345" w:rsidP="008E053E">
            <w:pPr>
              <w:pStyle w:val="NoSpacing"/>
              <w:rPr>
                <w:sz w:val="18"/>
                <w:szCs w:val="18"/>
                <w:lang w:val="en-GB"/>
              </w:rPr>
            </w:pPr>
            <w:r w:rsidRPr="00610088">
              <w:rPr>
                <w:sz w:val="18"/>
                <w:szCs w:val="18"/>
                <w:lang w:val="en-GB"/>
              </w:rPr>
              <w:t xml:space="preserve">School-based or population-based (preferably nationally representative) survey in which height and weight were measured. </w:t>
            </w:r>
          </w:p>
        </w:tc>
        <w:tc>
          <w:tcPr>
            <w:tcW w:w="850" w:type="dxa"/>
            <w:shd w:val="clear" w:color="auto" w:fill="auto"/>
            <w:hideMark/>
          </w:tcPr>
          <w:p w14:paraId="3AA7CA8F"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5212A930" w14:textId="69CD6EB5"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30F17D17"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3B58AF5A"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544BDAEC"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7D1A77A8" w14:textId="7902D5EC" w:rsidR="00FA2345" w:rsidRPr="00610088" w:rsidRDefault="00FA2345" w:rsidP="008E053E">
            <w:pPr>
              <w:pStyle w:val="NoSpacing"/>
              <w:rPr>
                <w:sz w:val="18"/>
                <w:szCs w:val="18"/>
                <w:lang w:val="en-GB"/>
              </w:rPr>
            </w:pPr>
            <w:r w:rsidRPr="00610088">
              <w:rPr>
                <w:sz w:val="18"/>
                <w:szCs w:val="18"/>
                <w:lang w:val="en-GB"/>
              </w:rPr>
              <w:t> TBD</w:t>
            </w:r>
          </w:p>
        </w:tc>
      </w:tr>
      <w:tr w:rsidR="00FA2345" w:rsidRPr="00610088" w14:paraId="79EE5B0A" w14:textId="77777777" w:rsidTr="00FC5D9B">
        <w:trPr>
          <w:trHeight w:val="227"/>
        </w:trPr>
        <w:tc>
          <w:tcPr>
            <w:tcW w:w="1555" w:type="dxa"/>
            <w:vMerge/>
            <w:vAlign w:val="center"/>
            <w:hideMark/>
          </w:tcPr>
          <w:p w14:paraId="2EE5BBE3"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E65C968" w14:textId="05118243" w:rsidR="00FA2345" w:rsidRPr="00610088" w:rsidRDefault="00FA2345" w:rsidP="008E053E">
            <w:pPr>
              <w:pStyle w:val="NoSpacing"/>
              <w:rPr>
                <w:sz w:val="18"/>
                <w:szCs w:val="18"/>
                <w:lang w:val="en-GB"/>
              </w:rPr>
            </w:pPr>
            <w:r w:rsidRPr="00610088">
              <w:rPr>
                <w:sz w:val="18"/>
                <w:szCs w:val="18"/>
                <w:lang w:val="en-GB"/>
              </w:rPr>
              <w:t>3.14 Age-standardized prevalence of overweight and obesity in persons aged 18+ years</w:t>
            </w:r>
          </w:p>
        </w:tc>
        <w:tc>
          <w:tcPr>
            <w:tcW w:w="2976" w:type="dxa"/>
            <w:shd w:val="clear" w:color="auto" w:fill="auto"/>
            <w:hideMark/>
          </w:tcPr>
          <w:p w14:paraId="4939D2CD"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 in which height and weight were measured.</w:t>
            </w:r>
          </w:p>
        </w:tc>
        <w:tc>
          <w:tcPr>
            <w:tcW w:w="850" w:type="dxa"/>
            <w:shd w:val="clear" w:color="auto" w:fill="auto"/>
            <w:hideMark/>
          </w:tcPr>
          <w:p w14:paraId="4A58E394"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4F1F8E30" w14:textId="7A3FD975"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089EB716"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4BE26CD5"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4875F6CD"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708A04FD" w14:textId="30CBE200"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6DDB434D" w14:textId="77777777" w:rsidTr="00FC5D9B">
        <w:trPr>
          <w:trHeight w:val="227"/>
        </w:trPr>
        <w:tc>
          <w:tcPr>
            <w:tcW w:w="1555" w:type="dxa"/>
            <w:vMerge/>
            <w:vAlign w:val="center"/>
            <w:hideMark/>
          </w:tcPr>
          <w:p w14:paraId="482775A9" w14:textId="77777777" w:rsidR="00FA2345" w:rsidRPr="00610088" w:rsidRDefault="00FA2345" w:rsidP="008E053E">
            <w:pPr>
              <w:pStyle w:val="NoSpacing"/>
              <w:rPr>
                <w:b/>
                <w:bCs/>
                <w:sz w:val="18"/>
                <w:szCs w:val="18"/>
                <w:lang w:val="en-GB"/>
              </w:rPr>
            </w:pPr>
          </w:p>
        </w:tc>
        <w:tc>
          <w:tcPr>
            <w:tcW w:w="3118" w:type="dxa"/>
            <w:shd w:val="clear" w:color="auto" w:fill="auto"/>
            <w:hideMark/>
          </w:tcPr>
          <w:p w14:paraId="2CD9A4F2" w14:textId="0100F9BE" w:rsidR="00FA2345" w:rsidRPr="00610088" w:rsidRDefault="00FA2345" w:rsidP="008E053E">
            <w:pPr>
              <w:pStyle w:val="NoSpacing"/>
              <w:rPr>
                <w:sz w:val="18"/>
                <w:szCs w:val="18"/>
                <w:lang w:val="en-GB"/>
              </w:rPr>
            </w:pPr>
            <w:r w:rsidRPr="00610088">
              <w:rPr>
                <w:sz w:val="18"/>
                <w:szCs w:val="18"/>
                <w:lang w:val="en-GB"/>
              </w:rPr>
              <w:t>3.15 Age-standardized mean proportion of total energy intake from saturated fatty acids in persons aged 18+ years</w:t>
            </w:r>
          </w:p>
        </w:tc>
        <w:tc>
          <w:tcPr>
            <w:tcW w:w="2976" w:type="dxa"/>
            <w:shd w:val="clear" w:color="auto" w:fill="auto"/>
            <w:hideMark/>
          </w:tcPr>
          <w:p w14:paraId="03095B8C"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1909A9A2"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22BD5FEE" w14:textId="4EAA2E4D"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56160128"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25373140"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5169364C"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4C54D77A" w14:textId="1DAF30C2"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0D5CB14C" w14:textId="77777777" w:rsidTr="00FC5D9B">
        <w:trPr>
          <w:trHeight w:val="227"/>
        </w:trPr>
        <w:tc>
          <w:tcPr>
            <w:tcW w:w="1555" w:type="dxa"/>
            <w:vMerge/>
            <w:vAlign w:val="center"/>
            <w:hideMark/>
          </w:tcPr>
          <w:p w14:paraId="0FB1D4F7"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443C21A" w14:textId="0F1F4D0A" w:rsidR="00FA2345" w:rsidRPr="00610088" w:rsidRDefault="00FA2345" w:rsidP="008E053E">
            <w:pPr>
              <w:pStyle w:val="NoSpacing"/>
              <w:rPr>
                <w:sz w:val="18"/>
                <w:szCs w:val="18"/>
                <w:lang w:val="en-GB"/>
              </w:rPr>
            </w:pPr>
            <w:r w:rsidRPr="00610088">
              <w:rPr>
                <w:sz w:val="18"/>
                <w:szCs w:val="18"/>
                <w:lang w:val="en-GB"/>
              </w:rPr>
              <w:t>3.16 Age-standardized prevalence of persons aged 18+ years consuming less than five total servings (400 grams) of fruit and vegetables per day</w:t>
            </w:r>
          </w:p>
        </w:tc>
        <w:tc>
          <w:tcPr>
            <w:tcW w:w="2976" w:type="dxa"/>
            <w:shd w:val="clear" w:color="auto" w:fill="auto"/>
            <w:hideMark/>
          </w:tcPr>
          <w:p w14:paraId="3711B86E"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3DDD1E4A"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66DFDDEA" w14:textId="5E0B8FC4" w:rsidR="00FA2345" w:rsidRPr="00610088" w:rsidRDefault="00FA2345" w:rsidP="008E053E">
            <w:pPr>
              <w:pStyle w:val="NoSpacing"/>
              <w:rPr>
                <w:sz w:val="18"/>
                <w:szCs w:val="18"/>
                <w:lang w:val="en-GB"/>
              </w:rPr>
            </w:pPr>
            <w:r w:rsidRPr="00610088">
              <w:rPr>
                <w:sz w:val="18"/>
                <w:szCs w:val="18"/>
                <w:lang w:val="en-GB"/>
              </w:rPr>
              <w:t>TBD </w:t>
            </w:r>
          </w:p>
        </w:tc>
        <w:tc>
          <w:tcPr>
            <w:tcW w:w="850" w:type="dxa"/>
            <w:shd w:val="clear" w:color="000000" w:fill="BFBFBF"/>
            <w:noWrap/>
            <w:hideMark/>
          </w:tcPr>
          <w:p w14:paraId="35513C77"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08896EA3"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1B6608AE"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3467CE28" w14:textId="0AEA74FB"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34966CD5" w14:textId="77777777" w:rsidTr="00FC5D9B">
        <w:trPr>
          <w:trHeight w:val="227"/>
        </w:trPr>
        <w:tc>
          <w:tcPr>
            <w:tcW w:w="1555" w:type="dxa"/>
            <w:vMerge/>
            <w:vAlign w:val="center"/>
            <w:hideMark/>
          </w:tcPr>
          <w:p w14:paraId="380A5F24"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0F0BA34" w14:textId="4BC35511" w:rsidR="00FA2345" w:rsidRPr="00610088" w:rsidRDefault="00FA2345" w:rsidP="008E053E">
            <w:pPr>
              <w:pStyle w:val="NoSpacing"/>
              <w:rPr>
                <w:sz w:val="18"/>
                <w:szCs w:val="18"/>
                <w:lang w:val="en-GB"/>
              </w:rPr>
            </w:pPr>
            <w:r w:rsidRPr="00610088">
              <w:rPr>
                <w:sz w:val="18"/>
                <w:szCs w:val="18"/>
                <w:lang w:val="en-GB"/>
              </w:rPr>
              <w:t>3.17 Age-standardized prevalence of raised total cholesterol among persons aged 18+ years</w:t>
            </w:r>
          </w:p>
        </w:tc>
        <w:tc>
          <w:tcPr>
            <w:tcW w:w="2976" w:type="dxa"/>
            <w:shd w:val="clear" w:color="auto" w:fill="auto"/>
            <w:hideMark/>
          </w:tcPr>
          <w:p w14:paraId="3907B2A6" w14:textId="3C549713" w:rsidR="00FA2345" w:rsidRPr="00610088" w:rsidRDefault="00FA2345" w:rsidP="008E053E">
            <w:pPr>
              <w:pStyle w:val="NoSpacing"/>
              <w:rPr>
                <w:sz w:val="18"/>
                <w:szCs w:val="18"/>
                <w:lang w:val="en-GB"/>
              </w:rPr>
            </w:pPr>
            <w:r w:rsidRPr="00610088">
              <w:rPr>
                <w:sz w:val="18"/>
                <w:szCs w:val="18"/>
                <w:lang w:val="en-GB"/>
              </w:rPr>
              <w:t xml:space="preserve">Population-based (preferably nationally representative) survey in which cholesterol was measured, not self-reported. </w:t>
            </w:r>
          </w:p>
        </w:tc>
        <w:tc>
          <w:tcPr>
            <w:tcW w:w="850" w:type="dxa"/>
            <w:shd w:val="clear" w:color="auto" w:fill="auto"/>
            <w:hideMark/>
          </w:tcPr>
          <w:p w14:paraId="775D63CE"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54CAC1BB" w14:textId="5239ECE8"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0177125B"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5007E45B"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59D052D8"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28072154" w14:textId="256733CB"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2E45B839" w14:textId="77777777" w:rsidTr="00FC5D9B">
        <w:trPr>
          <w:trHeight w:val="227"/>
        </w:trPr>
        <w:tc>
          <w:tcPr>
            <w:tcW w:w="1555" w:type="dxa"/>
            <w:vMerge/>
            <w:vAlign w:val="center"/>
            <w:hideMark/>
          </w:tcPr>
          <w:p w14:paraId="09D9EEA4"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8A4B318" w14:textId="224B734C" w:rsidR="00FA2345" w:rsidRPr="00610088" w:rsidRDefault="00FA2345" w:rsidP="008E053E">
            <w:pPr>
              <w:pStyle w:val="NoSpacing"/>
              <w:rPr>
                <w:sz w:val="18"/>
                <w:szCs w:val="18"/>
                <w:lang w:val="en-GB"/>
              </w:rPr>
            </w:pPr>
            <w:r w:rsidRPr="00610088">
              <w:rPr>
                <w:sz w:val="18"/>
                <w:szCs w:val="18"/>
                <w:lang w:val="en-GB"/>
              </w:rPr>
              <w:t>3.18 Age-standardized mean total cholesterol among persons aged 18+ years</w:t>
            </w:r>
          </w:p>
        </w:tc>
        <w:tc>
          <w:tcPr>
            <w:tcW w:w="2976" w:type="dxa"/>
            <w:shd w:val="clear" w:color="auto" w:fill="auto"/>
            <w:hideMark/>
          </w:tcPr>
          <w:p w14:paraId="479D4F68" w14:textId="333F2CD2" w:rsidR="00FA2345" w:rsidRPr="00610088" w:rsidRDefault="00FA2345" w:rsidP="008E053E">
            <w:pPr>
              <w:pStyle w:val="NoSpacing"/>
              <w:rPr>
                <w:sz w:val="18"/>
                <w:szCs w:val="18"/>
                <w:lang w:val="en-GB"/>
              </w:rPr>
            </w:pPr>
            <w:r w:rsidRPr="00610088">
              <w:rPr>
                <w:sz w:val="18"/>
                <w:szCs w:val="18"/>
                <w:lang w:val="en-GB"/>
              </w:rPr>
              <w:t xml:space="preserve">Population-based (preferably nationally representative) survey in which cholesterol was measured, not self-reported. </w:t>
            </w:r>
          </w:p>
        </w:tc>
        <w:tc>
          <w:tcPr>
            <w:tcW w:w="850" w:type="dxa"/>
            <w:shd w:val="clear" w:color="auto" w:fill="auto"/>
            <w:hideMark/>
          </w:tcPr>
          <w:p w14:paraId="78FC31E7"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7E13650C" w14:textId="33104FA0"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4918808F"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4C08C9E3"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0835DE70"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15A3216B" w14:textId="240E786B"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65A12474" w14:textId="77777777" w:rsidTr="00FC5D9B">
        <w:trPr>
          <w:trHeight w:val="227"/>
        </w:trPr>
        <w:tc>
          <w:tcPr>
            <w:tcW w:w="1555" w:type="dxa"/>
            <w:vMerge w:val="restart"/>
            <w:shd w:val="clear" w:color="auto" w:fill="auto"/>
            <w:hideMark/>
          </w:tcPr>
          <w:p w14:paraId="43B93EF2" w14:textId="77777777" w:rsidR="00FA2345" w:rsidRPr="00610088" w:rsidRDefault="00FA2345" w:rsidP="008E053E">
            <w:pPr>
              <w:pStyle w:val="NoSpacing"/>
              <w:rPr>
                <w:b/>
                <w:bCs/>
                <w:sz w:val="18"/>
                <w:szCs w:val="18"/>
                <w:lang w:val="en-GB"/>
              </w:rPr>
            </w:pPr>
            <w:r w:rsidRPr="00610088">
              <w:rPr>
                <w:b/>
                <w:bCs/>
                <w:sz w:val="18"/>
                <w:szCs w:val="18"/>
                <w:lang w:val="en-GB"/>
              </w:rPr>
              <w:t>SO3 - Focus on children, adolescents and young people</w:t>
            </w:r>
          </w:p>
        </w:tc>
        <w:tc>
          <w:tcPr>
            <w:tcW w:w="3118" w:type="dxa"/>
            <w:shd w:val="clear" w:color="auto" w:fill="auto"/>
            <w:hideMark/>
          </w:tcPr>
          <w:p w14:paraId="34B09465" w14:textId="6D1F659B" w:rsidR="00FA2345" w:rsidRPr="00610088" w:rsidRDefault="00FA2345" w:rsidP="008E053E">
            <w:pPr>
              <w:pStyle w:val="NoSpacing"/>
              <w:rPr>
                <w:sz w:val="18"/>
                <w:szCs w:val="18"/>
                <w:lang w:val="en-GB"/>
              </w:rPr>
            </w:pPr>
            <w:r w:rsidRPr="00610088">
              <w:rPr>
                <w:sz w:val="18"/>
                <w:szCs w:val="18"/>
                <w:lang w:val="en-GB"/>
              </w:rPr>
              <w:t xml:space="preserve">3.19 Nr of new health promotion programs for children, adolescents and young people </w:t>
            </w:r>
          </w:p>
        </w:tc>
        <w:tc>
          <w:tcPr>
            <w:tcW w:w="2976" w:type="dxa"/>
            <w:shd w:val="clear" w:color="auto" w:fill="auto"/>
            <w:hideMark/>
          </w:tcPr>
          <w:p w14:paraId="4106D0D3" w14:textId="77777777" w:rsidR="00FA2345" w:rsidRPr="00610088" w:rsidRDefault="00FA2345" w:rsidP="008E053E">
            <w:pPr>
              <w:pStyle w:val="NoSpacing"/>
              <w:rPr>
                <w:sz w:val="18"/>
                <w:szCs w:val="18"/>
                <w:lang w:val="en-GB"/>
              </w:rPr>
            </w:pPr>
            <w:r w:rsidRPr="00610088">
              <w:rPr>
                <w:sz w:val="18"/>
                <w:szCs w:val="18"/>
                <w:lang w:val="en-GB"/>
              </w:rPr>
              <w:t>Minutes and other evidence documents related to the (establishment and advocacy/support for) the new health promotion programs</w:t>
            </w:r>
          </w:p>
        </w:tc>
        <w:tc>
          <w:tcPr>
            <w:tcW w:w="850" w:type="dxa"/>
            <w:shd w:val="clear" w:color="auto" w:fill="auto"/>
            <w:hideMark/>
          </w:tcPr>
          <w:p w14:paraId="3D85FCCE" w14:textId="77777777" w:rsidR="00FA2345" w:rsidRPr="00610088" w:rsidRDefault="00FA2345" w:rsidP="008E053E">
            <w:pPr>
              <w:pStyle w:val="NoSpacing"/>
              <w:rPr>
                <w:sz w:val="18"/>
                <w:szCs w:val="18"/>
                <w:lang w:val="en-GB"/>
              </w:rPr>
            </w:pPr>
            <w:r w:rsidRPr="00610088">
              <w:rPr>
                <w:sz w:val="18"/>
                <w:szCs w:val="18"/>
                <w:lang w:val="en-GB"/>
              </w:rPr>
              <w:t xml:space="preserve">Annual, not cumulative </w:t>
            </w:r>
          </w:p>
        </w:tc>
        <w:tc>
          <w:tcPr>
            <w:tcW w:w="2551" w:type="dxa"/>
            <w:shd w:val="clear" w:color="auto" w:fill="auto"/>
            <w:hideMark/>
          </w:tcPr>
          <w:p w14:paraId="58402F9E"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auto" w:fill="auto"/>
            <w:noWrap/>
            <w:hideMark/>
          </w:tcPr>
          <w:p w14:paraId="316FB6DC" w14:textId="77777777" w:rsidR="00FA2345" w:rsidRPr="00610088" w:rsidRDefault="00FA2345" w:rsidP="008E053E">
            <w:pPr>
              <w:pStyle w:val="NoSpacing"/>
              <w:rPr>
                <w:sz w:val="18"/>
                <w:szCs w:val="18"/>
                <w:lang w:val="en-GB"/>
              </w:rPr>
            </w:pPr>
            <w:r w:rsidRPr="00610088">
              <w:rPr>
                <w:sz w:val="18"/>
                <w:szCs w:val="18"/>
                <w:lang w:val="en-GB"/>
              </w:rPr>
              <w:t>5</w:t>
            </w:r>
          </w:p>
        </w:tc>
        <w:tc>
          <w:tcPr>
            <w:tcW w:w="851" w:type="dxa"/>
            <w:shd w:val="clear" w:color="auto" w:fill="auto"/>
            <w:noWrap/>
            <w:hideMark/>
          </w:tcPr>
          <w:p w14:paraId="25C6F66E" w14:textId="77777777" w:rsidR="00FA2345" w:rsidRPr="00610088" w:rsidRDefault="00FA2345" w:rsidP="008E053E">
            <w:pPr>
              <w:pStyle w:val="NoSpacing"/>
              <w:rPr>
                <w:sz w:val="18"/>
                <w:szCs w:val="18"/>
                <w:lang w:val="en-GB"/>
              </w:rPr>
            </w:pPr>
            <w:r w:rsidRPr="00610088">
              <w:rPr>
                <w:sz w:val="18"/>
                <w:szCs w:val="18"/>
                <w:lang w:val="en-GB"/>
              </w:rPr>
              <w:t>10</w:t>
            </w:r>
          </w:p>
        </w:tc>
        <w:tc>
          <w:tcPr>
            <w:tcW w:w="850" w:type="dxa"/>
            <w:shd w:val="clear" w:color="auto" w:fill="auto"/>
            <w:noWrap/>
            <w:hideMark/>
          </w:tcPr>
          <w:p w14:paraId="5CE8B200" w14:textId="77777777" w:rsidR="00FA2345" w:rsidRPr="00610088" w:rsidRDefault="00FA2345" w:rsidP="008E053E">
            <w:pPr>
              <w:pStyle w:val="NoSpacing"/>
              <w:rPr>
                <w:sz w:val="18"/>
                <w:szCs w:val="18"/>
                <w:lang w:val="en-GB"/>
              </w:rPr>
            </w:pPr>
            <w:r w:rsidRPr="00610088">
              <w:rPr>
                <w:sz w:val="18"/>
                <w:szCs w:val="18"/>
                <w:lang w:val="en-GB"/>
              </w:rPr>
              <w:t>20</w:t>
            </w:r>
          </w:p>
        </w:tc>
        <w:tc>
          <w:tcPr>
            <w:tcW w:w="772" w:type="dxa"/>
            <w:shd w:val="clear" w:color="auto" w:fill="auto"/>
            <w:noWrap/>
            <w:hideMark/>
          </w:tcPr>
          <w:p w14:paraId="6601943F" w14:textId="77777777" w:rsidR="00FA2345" w:rsidRPr="00610088" w:rsidRDefault="00FA2345" w:rsidP="008E053E">
            <w:pPr>
              <w:pStyle w:val="NoSpacing"/>
              <w:rPr>
                <w:sz w:val="18"/>
                <w:szCs w:val="18"/>
                <w:lang w:val="en-GB"/>
              </w:rPr>
            </w:pPr>
            <w:r w:rsidRPr="00610088">
              <w:rPr>
                <w:sz w:val="18"/>
                <w:szCs w:val="18"/>
                <w:lang w:val="en-GB"/>
              </w:rPr>
              <w:t>20</w:t>
            </w:r>
          </w:p>
        </w:tc>
      </w:tr>
      <w:tr w:rsidR="00FA2345" w:rsidRPr="00610088" w14:paraId="379DA60A" w14:textId="77777777" w:rsidTr="00FC5D9B">
        <w:trPr>
          <w:trHeight w:val="227"/>
        </w:trPr>
        <w:tc>
          <w:tcPr>
            <w:tcW w:w="1555" w:type="dxa"/>
            <w:vMerge/>
            <w:vAlign w:val="center"/>
            <w:hideMark/>
          </w:tcPr>
          <w:p w14:paraId="720061BC" w14:textId="77777777" w:rsidR="00FA2345" w:rsidRPr="00610088" w:rsidRDefault="00FA2345" w:rsidP="008E053E">
            <w:pPr>
              <w:pStyle w:val="NoSpacing"/>
              <w:rPr>
                <w:b/>
                <w:bCs/>
                <w:sz w:val="18"/>
                <w:szCs w:val="18"/>
                <w:lang w:val="en-GB"/>
              </w:rPr>
            </w:pPr>
          </w:p>
        </w:tc>
        <w:tc>
          <w:tcPr>
            <w:tcW w:w="3118" w:type="dxa"/>
            <w:shd w:val="clear" w:color="auto" w:fill="auto"/>
            <w:hideMark/>
          </w:tcPr>
          <w:p w14:paraId="13B26335" w14:textId="7F7CD32F" w:rsidR="00FA2345" w:rsidRPr="00610088" w:rsidRDefault="00FA2345" w:rsidP="008E053E">
            <w:pPr>
              <w:pStyle w:val="NoSpacing"/>
              <w:rPr>
                <w:sz w:val="18"/>
                <w:szCs w:val="18"/>
                <w:lang w:val="en-GB"/>
              </w:rPr>
            </w:pPr>
            <w:r w:rsidRPr="00610088">
              <w:rPr>
                <w:sz w:val="18"/>
                <w:szCs w:val="18"/>
                <w:lang w:val="en-GB"/>
              </w:rPr>
              <w:t>3.20 Prevalence of insufficiently physically active adolescents</w:t>
            </w:r>
          </w:p>
        </w:tc>
        <w:tc>
          <w:tcPr>
            <w:tcW w:w="2976" w:type="dxa"/>
            <w:shd w:val="clear" w:color="auto" w:fill="auto"/>
            <w:hideMark/>
          </w:tcPr>
          <w:p w14:paraId="0C35036F" w14:textId="77777777" w:rsidR="00FA2345" w:rsidRPr="00610088" w:rsidRDefault="00FA2345" w:rsidP="008E053E">
            <w:pPr>
              <w:pStyle w:val="NoSpacing"/>
              <w:rPr>
                <w:sz w:val="18"/>
                <w:szCs w:val="18"/>
                <w:lang w:val="en-GB"/>
              </w:rPr>
            </w:pPr>
            <w:r w:rsidRPr="00610088">
              <w:rPr>
                <w:sz w:val="18"/>
                <w:szCs w:val="18"/>
                <w:lang w:val="en-GB"/>
              </w:rPr>
              <w:t>School-based or population-based (preferably nationally representative) survey</w:t>
            </w:r>
          </w:p>
        </w:tc>
        <w:tc>
          <w:tcPr>
            <w:tcW w:w="850" w:type="dxa"/>
            <w:shd w:val="clear" w:color="auto" w:fill="auto"/>
            <w:hideMark/>
          </w:tcPr>
          <w:p w14:paraId="68D163F5"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43F49568" w14:textId="777F3A83"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191483BC"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430E8BAE"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20115786"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545763D4" w14:textId="1BE1E855" w:rsidR="00FA2345" w:rsidRPr="00610088" w:rsidRDefault="00FA2345" w:rsidP="008E053E">
            <w:pPr>
              <w:pStyle w:val="NoSpacing"/>
              <w:rPr>
                <w:sz w:val="18"/>
                <w:szCs w:val="18"/>
                <w:lang w:val="en-GB"/>
              </w:rPr>
            </w:pPr>
            <w:r w:rsidRPr="00610088">
              <w:rPr>
                <w:sz w:val="18"/>
                <w:szCs w:val="18"/>
                <w:lang w:val="en-GB"/>
              </w:rPr>
              <w:t> TBD</w:t>
            </w:r>
          </w:p>
        </w:tc>
      </w:tr>
      <w:tr w:rsidR="00FA2345" w:rsidRPr="00610088" w14:paraId="313BA989" w14:textId="77777777" w:rsidTr="00FC5D9B">
        <w:trPr>
          <w:trHeight w:val="227"/>
        </w:trPr>
        <w:tc>
          <w:tcPr>
            <w:tcW w:w="1555" w:type="dxa"/>
            <w:vMerge/>
            <w:vAlign w:val="center"/>
            <w:hideMark/>
          </w:tcPr>
          <w:p w14:paraId="35F7A84C" w14:textId="77777777" w:rsidR="00FA2345" w:rsidRPr="00610088" w:rsidRDefault="00FA2345" w:rsidP="008E053E">
            <w:pPr>
              <w:pStyle w:val="NoSpacing"/>
              <w:rPr>
                <w:b/>
                <w:bCs/>
                <w:sz w:val="18"/>
                <w:szCs w:val="18"/>
                <w:lang w:val="en-GB"/>
              </w:rPr>
            </w:pPr>
          </w:p>
        </w:tc>
        <w:tc>
          <w:tcPr>
            <w:tcW w:w="3118" w:type="dxa"/>
            <w:shd w:val="clear" w:color="auto" w:fill="auto"/>
            <w:hideMark/>
          </w:tcPr>
          <w:p w14:paraId="79003D34" w14:textId="338FA57F" w:rsidR="00FA2345" w:rsidRPr="00610088" w:rsidRDefault="00FA2345" w:rsidP="008E053E">
            <w:pPr>
              <w:pStyle w:val="NoSpacing"/>
              <w:rPr>
                <w:sz w:val="18"/>
                <w:szCs w:val="18"/>
                <w:lang w:val="en-GB"/>
              </w:rPr>
            </w:pPr>
            <w:r w:rsidRPr="00610088">
              <w:rPr>
                <w:sz w:val="18"/>
                <w:szCs w:val="18"/>
                <w:lang w:val="en-GB"/>
              </w:rPr>
              <w:t>3.21 Prevalence of current tobacco use among adolescents</w:t>
            </w:r>
          </w:p>
        </w:tc>
        <w:tc>
          <w:tcPr>
            <w:tcW w:w="2976" w:type="dxa"/>
            <w:shd w:val="clear" w:color="auto" w:fill="auto"/>
            <w:hideMark/>
          </w:tcPr>
          <w:p w14:paraId="37DC7B32" w14:textId="77777777" w:rsidR="00FA2345" w:rsidRPr="00610088" w:rsidRDefault="00FA2345" w:rsidP="008E053E">
            <w:pPr>
              <w:pStyle w:val="NoSpacing"/>
              <w:rPr>
                <w:sz w:val="18"/>
                <w:szCs w:val="18"/>
                <w:lang w:val="en-GB"/>
              </w:rPr>
            </w:pPr>
            <w:r w:rsidRPr="00610088">
              <w:rPr>
                <w:sz w:val="18"/>
                <w:szCs w:val="18"/>
                <w:lang w:val="en-GB"/>
              </w:rPr>
              <w:t>School-based or population-based (preferably nationally representative) survey</w:t>
            </w:r>
          </w:p>
        </w:tc>
        <w:tc>
          <w:tcPr>
            <w:tcW w:w="850" w:type="dxa"/>
            <w:shd w:val="clear" w:color="auto" w:fill="auto"/>
            <w:hideMark/>
          </w:tcPr>
          <w:p w14:paraId="206EF88B"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5C41BBFE" w14:textId="14861036"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60D5F4C2"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0B1BAF7D"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40280F4C"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5BDFBBFC" w14:textId="3B56ED76"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7B41F705" w14:textId="77777777" w:rsidTr="00FC5D9B">
        <w:trPr>
          <w:trHeight w:val="227"/>
        </w:trPr>
        <w:tc>
          <w:tcPr>
            <w:tcW w:w="1555" w:type="dxa"/>
            <w:vMerge w:val="restart"/>
            <w:shd w:val="clear" w:color="auto" w:fill="auto"/>
            <w:hideMark/>
          </w:tcPr>
          <w:p w14:paraId="58E3B154" w14:textId="77777777" w:rsidR="00FA2345" w:rsidRPr="00610088" w:rsidRDefault="00FA2345" w:rsidP="008E053E">
            <w:pPr>
              <w:pStyle w:val="NoSpacing"/>
              <w:rPr>
                <w:b/>
                <w:bCs/>
                <w:sz w:val="18"/>
                <w:szCs w:val="18"/>
                <w:lang w:val="en-GB"/>
              </w:rPr>
            </w:pPr>
            <w:r w:rsidRPr="00610088">
              <w:rPr>
                <w:b/>
                <w:bCs/>
                <w:sz w:val="18"/>
                <w:szCs w:val="18"/>
                <w:lang w:val="en-GB"/>
              </w:rPr>
              <w:t>SO3 - Provision of enabling environment for behaviour change towards healthy lifestyles</w:t>
            </w:r>
          </w:p>
        </w:tc>
        <w:tc>
          <w:tcPr>
            <w:tcW w:w="3118" w:type="dxa"/>
            <w:shd w:val="clear" w:color="auto" w:fill="auto"/>
            <w:hideMark/>
          </w:tcPr>
          <w:p w14:paraId="3216C513" w14:textId="1B698706" w:rsidR="00FA2345" w:rsidRPr="00610088" w:rsidRDefault="00FA2345" w:rsidP="008E053E">
            <w:pPr>
              <w:pStyle w:val="NoSpacing"/>
              <w:rPr>
                <w:sz w:val="18"/>
                <w:szCs w:val="18"/>
                <w:lang w:val="en-GB"/>
              </w:rPr>
            </w:pPr>
            <w:r w:rsidRPr="00610088">
              <w:rPr>
                <w:sz w:val="18"/>
                <w:szCs w:val="18"/>
                <w:lang w:val="en-GB"/>
              </w:rPr>
              <w:t xml:space="preserve">3.22 Nr of new physical activity/ sports activities </w:t>
            </w:r>
          </w:p>
        </w:tc>
        <w:tc>
          <w:tcPr>
            <w:tcW w:w="2976" w:type="dxa"/>
            <w:shd w:val="clear" w:color="auto" w:fill="auto"/>
            <w:hideMark/>
          </w:tcPr>
          <w:p w14:paraId="5FB5030F" w14:textId="14F3B061" w:rsidR="00FA2345" w:rsidRPr="00610088" w:rsidRDefault="00FA2345" w:rsidP="008E053E">
            <w:pPr>
              <w:pStyle w:val="NoSpacing"/>
              <w:rPr>
                <w:sz w:val="18"/>
                <w:szCs w:val="18"/>
                <w:lang w:val="en-GB"/>
              </w:rPr>
            </w:pPr>
            <w:r w:rsidRPr="00610088">
              <w:rPr>
                <w:sz w:val="18"/>
                <w:szCs w:val="18"/>
                <w:lang w:val="en-GB"/>
              </w:rPr>
              <w:t>Minutes and other evidence documents</w:t>
            </w:r>
          </w:p>
        </w:tc>
        <w:tc>
          <w:tcPr>
            <w:tcW w:w="850" w:type="dxa"/>
            <w:shd w:val="clear" w:color="auto" w:fill="auto"/>
            <w:hideMark/>
          </w:tcPr>
          <w:p w14:paraId="3E434B43" w14:textId="77777777" w:rsidR="00FA2345" w:rsidRPr="00610088" w:rsidRDefault="00FA2345" w:rsidP="008E053E">
            <w:pPr>
              <w:pStyle w:val="NoSpacing"/>
              <w:rPr>
                <w:sz w:val="18"/>
                <w:szCs w:val="18"/>
                <w:lang w:val="en-GB"/>
              </w:rPr>
            </w:pPr>
            <w:r w:rsidRPr="00610088">
              <w:rPr>
                <w:sz w:val="18"/>
                <w:szCs w:val="18"/>
                <w:lang w:val="en-GB"/>
              </w:rPr>
              <w:t xml:space="preserve">Annual, not cumulative </w:t>
            </w:r>
          </w:p>
        </w:tc>
        <w:tc>
          <w:tcPr>
            <w:tcW w:w="2551" w:type="dxa"/>
            <w:shd w:val="clear" w:color="auto" w:fill="auto"/>
            <w:hideMark/>
          </w:tcPr>
          <w:p w14:paraId="36AB2A00"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auto" w:fill="auto"/>
            <w:noWrap/>
            <w:hideMark/>
          </w:tcPr>
          <w:p w14:paraId="5F77019D" w14:textId="77777777" w:rsidR="00FA2345" w:rsidRPr="00610088" w:rsidRDefault="00FA2345" w:rsidP="008E053E">
            <w:pPr>
              <w:pStyle w:val="NoSpacing"/>
              <w:rPr>
                <w:sz w:val="18"/>
                <w:szCs w:val="18"/>
                <w:lang w:val="en-GB"/>
              </w:rPr>
            </w:pPr>
            <w:r w:rsidRPr="00610088">
              <w:rPr>
                <w:sz w:val="18"/>
                <w:szCs w:val="18"/>
                <w:lang w:val="en-GB"/>
              </w:rPr>
              <w:t>10</w:t>
            </w:r>
          </w:p>
        </w:tc>
        <w:tc>
          <w:tcPr>
            <w:tcW w:w="851" w:type="dxa"/>
            <w:shd w:val="clear" w:color="auto" w:fill="auto"/>
            <w:noWrap/>
            <w:hideMark/>
          </w:tcPr>
          <w:p w14:paraId="7385C60A" w14:textId="77777777" w:rsidR="00FA2345" w:rsidRPr="00610088" w:rsidRDefault="00FA2345" w:rsidP="008E053E">
            <w:pPr>
              <w:pStyle w:val="NoSpacing"/>
              <w:rPr>
                <w:sz w:val="18"/>
                <w:szCs w:val="18"/>
                <w:lang w:val="en-GB"/>
              </w:rPr>
            </w:pPr>
            <w:r w:rsidRPr="00610088">
              <w:rPr>
                <w:sz w:val="18"/>
                <w:szCs w:val="18"/>
                <w:lang w:val="en-GB"/>
              </w:rPr>
              <w:t>20</w:t>
            </w:r>
          </w:p>
        </w:tc>
        <w:tc>
          <w:tcPr>
            <w:tcW w:w="850" w:type="dxa"/>
            <w:shd w:val="clear" w:color="auto" w:fill="auto"/>
            <w:noWrap/>
            <w:hideMark/>
          </w:tcPr>
          <w:p w14:paraId="6E0B5DF3" w14:textId="77777777" w:rsidR="00FA2345" w:rsidRPr="00610088" w:rsidRDefault="00FA2345" w:rsidP="008E053E">
            <w:pPr>
              <w:pStyle w:val="NoSpacing"/>
              <w:rPr>
                <w:sz w:val="18"/>
                <w:szCs w:val="18"/>
                <w:lang w:val="en-GB"/>
              </w:rPr>
            </w:pPr>
            <w:r w:rsidRPr="00610088">
              <w:rPr>
                <w:sz w:val="18"/>
                <w:szCs w:val="18"/>
                <w:lang w:val="en-GB"/>
              </w:rPr>
              <w:t>40</w:t>
            </w:r>
          </w:p>
        </w:tc>
        <w:tc>
          <w:tcPr>
            <w:tcW w:w="772" w:type="dxa"/>
            <w:shd w:val="clear" w:color="auto" w:fill="auto"/>
            <w:noWrap/>
            <w:hideMark/>
          </w:tcPr>
          <w:p w14:paraId="452017E8" w14:textId="77777777" w:rsidR="00FA2345" w:rsidRPr="00610088" w:rsidRDefault="00FA2345" w:rsidP="008E053E">
            <w:pPr>
              <w:pStyle w:val="NoSpacing"/>
              <w:rPr>
                <w:sz w:val="18"/>
                <w:szCs w:val="18"/>
                <w:lang w:val="en-GB"/>
              </w:rPr>
            </w:pPr>
            <w:r w:rsidRPr="00610088">
              <w:rPr>
                <w:sz w:val="18"/>
                <w:szCs w:val="18"/>
                <w:lang w:val="en-GB"/>
              </w:rPr>
              <w:t>80</w:t>
            </w:r>
          </w:p>
        </w:tc>
      </w:tr>
      <w:tr w:rsidR="00FA2345" w:rsidRPr="00610088" w14:paraId="46F8E5E6" w14:textId="77777777" w:rsidTr="00FC5D9B">
        <w:trPr>
          <w:trHeight w:val="227"/>
        </w:trPr>
        <w:tc>
          <w:tcPr>
            <w:tcW w:w="1555" w:type="dxa"/>
            <w:vMerge/>
            <w:vAlign w:val="center"/>
            <w:hideMark/>
          </w:tcPr>
          <w:p w14:paraId="2CAE6F8E" w14:textId="77777777" w:rsidR="00FA2345" w:rsidRPr="00610088" w:rsidRDefault="00FA2345" w:rsidP="008E053E">
            <w:pPr>
              <w:pStyle w:val="NoSpacing"/>
              <w:rPr>
                <w:b/>
                <w:bCs/>
                <w:sz w:val="18"/>
                <w:szCs w:val="18"/>
                <w:lang w:val="en-GB"/>
              </w:rPr>
            </w:pPr>
          </w:p>
        </w:tc>
        <w:tc>
          <w:tcPr>
            <w:tcW w:w="3118" w:type="dxa"/>
            <w:shd w:val="clear" w:color="auto" w:fill="auto"/>
            <w:hideMark/>
          </w:tcPr>
          <w:p w14:paraId="3AFA746D" w14:textId="4AFE06D4" w:rsidR="00FA2345" w:rsidRPr="00610088" w:rsidRDefault="00FA2345" w:rsidP="008E053E">
            <w:pPr>
              <w:pStyle w:val="NoSpacing"/>
              <w:rPr>
                <w:sz w:val="18"/>
                <w:szCs w:val="18"/>
                <w:lang w:val="en-GB"/>
              </w:rPr>
            </w:pPr>
            <w:r w:rsidRPr="00610088">
              <w:rPr>
                <w:sz w:val="18"/>
                <w:szCs w:val="18"/>
                <w:lang w:val="en-GB"/>
              </w:rPr>
              <w:t xml:space="preserve">3.23 Nr of new public institutions with an encouraging environment for reduced salt intake </w:t>
            </w:r>
          </w:p>
        </w:tc>
        <w:tc>
          <w:tcPr>
            <w:tcW w:w="2976" w:type="dxa"/>
            <w:shd w:val="clear" w:color="auto" w:fill="auto"/>
            <w:hideMark/>
          </w:tcPr>
          <w:p w14:paraId="0AC16F76" w14:textId="7DA95010" w:rsidR="00FA2345" w:rsidRPr="00610088" w:rsidRDefault="00FA2345" w:rsidP="008E053E">
            <w:pPr>
              <w:pStyle w:val="NoSpacing"/>
              <w:rPr>
                <w:sz w:val="18"/>
                <w:szCs w:val="18"/>
                <w:lang w:val="en-GB"/>
              </w:rPr>
            </w:pPr>
            <w:r w:rsidRPr="00610088">
              <w:rPr>
                <w:sz w:val="18"/>
                <w:szCs w:val="18"/>
                <w:lang w:val="en-GB"/>
              </w:rPr>
              <w:t xml:space="preserve">Minutes and other evidence documents </w:t>
            </w:r>
          </w:p>
        </w:tc>
        <w:tc>
          <w:tcPr>
            <w:tcW w:w="850" w:type="dxa"/>
            <w:shd w:val="clear" w:color="auto" w:fill="auto"/>
            <w:hideMark/>
          </w:tcPr>
          <w:p w14:paraId="39DDA9BB" w14:textId="77777777" w:rsidR="00FA2345" w:rsidRPr="00610088" w:rsidRDefault="00FA2345" w:rsidP="008E053E">
            <w:pPr>
              <w:pStyle w:val="NoSpacing"/>
              <w:rPr>
                <w:sz w:val="18"/>
                <w:szCs w:val="18"/>
                <w:lang w:val="en-GB"/>
              </w:rPr>
            </w:pPr>
            <w:r w:rsidRPr="00610088">
              <w:rPr>
                <w:sz w:val="18"/>
                <w:szCs w:val="18"/>
                <w:lang w:val="en-GB"/>
              </w:rPr>
              <w:t xml:space="preserve">Annual, not cumulative </w:t>
            </w:r>
          </w:p>
        </w:tc>
        <w:tc>
          <w:tcPr>
            <w:tcW w:w="2551" w:type="dxa"/>
            <w:shd w:val="clear" w:color="auto" w:fill="auto"/>
            <w:hideMark/>
          </w:tcPr>
          <w:p w14:paraId="07C536B1" w14:textId="77777777" w:rsidR="00FA2345" w:rsidRPr="00610088" w:rsidRDefault="00FA2345" w:rsidP="008E053E">
            <w:pPr>
              <w:pStyle w:val="NoSpacing"/>
              <w:rPr>
                <w:sz w:val="18"/>
                <w:szCs w:val="18"/>
                <w:lang w:val="en-GB"/>
              </w:rPr>
            </w:pPr>
            <w:r w:rsidRPr="00610088">
              <w:rPr>
                <w:sz w:val="18"/>
                <w:szCs w:val="18"/>
                <w:lang w:val="en-GB"/>
              </w:rPr>
              <w:t>assumed 0 (DNCD&amp;MH, 2019)</w:t>
            </w:r>
          </w:p>
        </w:tc>
        <w:tc>
          <w:tcPr>
            <w:tcW w:w="850" w:type="dxa"/>
            <w:shd w:val="clear" w:color="auto" w:fill="auto"/>
            <w:noWrap/>
            <w:hideMark/>
          </w:tcPr>
          <w:p w14:paraId="33CFC9EA" w14:textId="77777777" w:rsidR="00FA2345" w:rsidRPr="00610088" w:rsidRDefault="00FA2345" w:rsidP="008E053E">
            <w:pPr>
              <w:pStyle w:val="NoSpacing"/>
              <w:rPr>
                <w:sz w:val="18"/>
                <w:szCs w:val="18"/>
                <w:lang w:val="en-GB"/>
              </w:rPr>
            </w:pPr>
            <w:r w:rsidRPr="00610088">
              <w:rPr>
                <w:sz w:val="18"/>
                <w:szCs w:val="18"/>
                <w:lang w:val="en-GB"/>
              </w:rPr>
              <w:t>10</w:t>
            </w:r>
          </w:p>
        </w:tc>
        <w:tc>
          <w:tcPr>
            <w:tcW w:w="851" w:type="dxa"/>
            <w:shd w:val="clear" w:color="auto" w:fill="auto"/>
            <w:noWrap/>
            <w:hideMark/>
          </w:tcPr>
          <w:p w14:paraId="4581F6E4" w14:textId="77777777" w:rsidR="00FA2345" w:rsidRPr="00610088" w:rsidRDefault="00FA2345" w:rsidP="008E053E">
            <w:pPr>
              <w:pStyle w:val="NoSpacing"/>
              <w:rPr>
                <w:sz w:val="18"/>
                <w:szCs w:val="18"/>
                <w:lang w:val="en-GB"/>
              </w:rPr>
            </w:pPr>
            <w:r w:rsidRPr="00610088">
              <w:rPr>
                <w:sz w:val="18"/>
                <w:szCs w:val="18"/>
                <w:lang w:val="en-GB"/>
              </w:rPr>
              <w:t>20</w:t>
            </w:r>
          </w:p>
        </w:tc>
        <w:tc>
          <w:tcPr>
            <w:tcW w:w="850" w:type="dxa"/>
            <w:shd w:val="clear" w:color="auto" w:fill="auto"/>
            <w:noWrap/>
            <w:hideMark/>
          </w:tcPr>
          <w:p w14:paraId="25E95D59" w14:textId="77777777" w:rsidR="00FA2345" w:rsidRPr="00610088" w:rsidRDefault="00FA2345" w:rsidP="008E053E">
            <w:pPr>
              <w:pStyle w:val="NoSpacing"/>
              <w:rPr>
                <w:sz w:val="18"/>
                <w:szCs w:val="18"/>
                <w:lang w:val="en-GB"/>
              </w:rPr>
            </w:pPr>
            <w:r w:rsidRPr="00610088">
              <w:rPr>
                <w:sz w:val="18"/>
                <w:szCs w:val="18"/>
                <w:lang w:val="en-GB"/>
              </w:rPr>
              <w:t>40</w:t>
            </w:r>
          </w:p>
        </w:tc>
        <w:tc>
          <w:tcPr>
            <w:tcW w:w="772" w:type="dxa"/>
            <w:shd w:val="clear" w:color="auto" w:fill="auto"/>
            <w:noWrap/>
            <w:hideMark/>
          </w:tcPr>
          <w:p w14:paraId="04AEF4FB" w14:textId="77777777" w:rsidR="00FA2345" w:rsidRPr="00610088" w:rsidRDefault="00FA2345" w:rsidP="008E053E">
            <w:pPr>
              <w:pStyle w:val="NoSpacing"/>
              <w:rPr>
                <w:sz w:val="18"/>
                <w:szCs w:val="18"/>
                <w:lang w:val="en-GB"/>
              </w:rPr>
            </w:pPr>
            <w:r w:rsidRPr="00610088">
              <w:rPr>
                <w:sz w:val="18"/>
                <w:szCs w:val="18"/>
                <w:lang w:val="en-GB"/>
              </w:rPr>
              <w:t>80</w:t>
            </w:r>
          </w:p>
        </w:tc>
      </w:tr>
      <w:tr w:rsidR="00FA2345" w:rsidRPr="00610088" w14:paraId="56FDC091" w14:textId="77777777" w:rsidTr="00FC5D9B">
        <w:trPr>
          <w:trHeight w:val="227"/>
        </w:trPr>
        <w:tc>
          <w:tcPr>
            <w:tcW w:w="1555" w:type="dxa"/>
            <w:vMerge w:val="restart"/>
            <w:shd w:val="clear" w:color="auto" w:fill="auto"/>
            <w:hideMark/>
          </w:tcPr>
          <w:p w14:paraId="50A2D4F4" w14:textId="77777777" w:rsidR="00FA2345" w:rsidRPr="00610088" w:rsidRDefault="00FA2345" w:rsidP="008E053E">
            <w:pPr>
              <w:pStyle w:val="NoSpacing"/>
              <w:rPr>
                <w:b/>
                <w:bCs/>
                <w:sz w:val="18"/>
                <w:szCs w:val="18"/>
                <w:lang w:val="en-GB"/>
              </w:rPr>
            </w:pPr>
            <w:r w:rsidRPr="00610088">
              <w:rPr>
                <w:b/>
                <w:bCs/>
                <w:sz w:val="18"/>
                <w:szCs w:val="18"/>
                <w:lang w:val="en-GB"/>
              </w:rPr>
              <w:t>SO4- Training of health workers at all service delivery levels</w:t>
            </w:r>
          </w:p>
        </w:tc>
        <w:tc>
          <w:tcPr>
            <w:tcW w:w="3118" w:type="dxa"/>
            <w:shd w:val="clear" w:color="auto" w:fill="auto"/>
            <w:hideMark/>
          </w:tcPr>
          <w:p w14:paraId="11D0621F" w14:textId="27065CEF" w:rsidR="00FA2345" w:rsidRPr="00610088" w:rsidRDefault="00FA2345" w:rsidP="008E053E">
            <w:pPr>
              <w:pStyle w:val="NoSpacing"/>
              <w:rPr>
                <w:sz w:val="18"/>
                <w:szCs w:val="18"/>
                <w:lang w:val="en-GB"/>
              </w:rPr>
            </w:pPr>
            <w:r w:rsidRPr="00610088">
              <w:rPr>
                <w:sz w:val="18"/>
                <w:szCs w:val="18"/>
                <w:lang w:val="en-GB"/>
              </w:rPr>
              <w:t>4.1 Nr of pre-service students trained using the harmonized reviewed curricula</w:t>
            </w:r>
          </w:p>
        </w:tc>
        <w:tc>
          <w:tcPr>
            <w:tcW w:w="2976" w:type="dxa"/>
            <w:shd w:val="clear" w:color="auto" w:fill="auto"/>
            <w:hideMark/>
          </w:tcPr>
          <w:p w14:paraId="756EDA7C" w14:textId="77777777" w:rsidR="00FA2345" w:rsidRPr="00610088" w:rsidRDefault="00FA2345" w:rsidP="008E053E">
            <w:pPr>
              <w:pStyle w:val="NoSpacing"/>
              <w:rPr>
                <w:sz w:val="18"/>
                <w:szCs w:val="18"/>
                <w:lang w:val="en-GB"/>
              </w:rPr>
            </w:pPr>
            <w:r w:rsidRPr="00610088">
              <w:rPr>
                <w:sz w:val="18"/>
                <w:szCs w:val="18"/>
                <w:lang w:val="en-GB"/>
              </w:rPr>
              <w:t>School records for nr of students trained, the harmonized reviewed curricula</w:t>
            </w:r>
          </w:p>
        </w:tc>
        <w:tc>
          <w:tcPr>
            <w:tcW w:w="850" w:type="dxa"/>
            <w:shd w:val="clear" w:color="auto" w:fill="auto"/>
            <w:hideMark/>
          </w:tcPr>
          <w:p w14:paraId="38C0CA8D"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5727453C" w14:textId="77777777" w:rsidR="00FA2345" w:rsidRPr="00610088" w:rsidRDefault="00FA2345" w:rsidP="008E053E">
            <w:pPr>
              <w:pStyle w:val="NoSpacing"/>
              <w:rPr>
                <w:sz w:val="18"/>
                <w:szCs w:val="18"/>
                <w:lang w:val="en-GB"/>
              </w:rPr>
            </w:pPr>
            <w:r w:rsidRPr="00610088">
              <w:rPr>
                <w:sz w:val="18"/>
                <w:szCs w:val="18"/>
                <w:lang w:val="en-GB"/>
              </w:rPr>
              <w:t>0 (DNCD&amp;MH, 2019)</w:t>
            </w:r>
          </w:p>
        </w:tc>
        <w:tc>
          <w:tcPr>
            <w:tcW w:w="850" w:type="dxa"/>
            <w:shd w:val="clear" w:color="auto" w:fill="auto"/>
            <w:hideMark/>
          </w:tcPr>
          <w:p w14:paraId="1897E99D" w14:textId="77777777" w:rsidR="00FA2345" w:rsidRPr="00610088" w:rsidRDefault="00FA2345" w:rsidP="008E053E">
            <w:pPr>
              <w:pStyle w:val="NoSpacing"/>
              <w:rPr>
                <w:sz w:val="18"/>
                <w:szCs w:val="18"/>
                <w:lang w:val="en-GB"/>
              </w:rPr>
            </w:pPr>
            <w:r w:rsidRPr="00610088">
              <w:rPr>
                <w:sz w:val="18"/>
                <w:szCs w:val="18"/>
                <w:lang w:val="en-GB"/>
              </w:rPr>
              <w:t>TBD, Desk guide plans?</w:t>
            </w:r>
          </w:p>
        </w:tc>
        <w:tc>
          <w:tcPr>
            <w:tcW w:w="851" w:type="dxa"/>
            <w:shd w:val="clear" w:color="auto" w:fill="auto"/>
            <w:hideMark/>
          </w:tcPr>
          <w:p w14:paraId="16E9E535" w14:textId="77777777" w:rsidR="00FA2345" w:rsidRPr="00610088" w:rsidRDefault="00FA2345" w:rsidP="008E053E">
            <w:pPr>
              <w:pStyle w:val="NoSpacing"/>
              <w:rPr>
                <w:sz w:val="18"/>
                <w:szCs w:val="18"/>
                <w:lang w:val="en-GB"/>
              </w:rPr>
            </w:pPr>
            <w:r w:rsidRPr="00610088">
              <w:rPr>
                <w:sz w:val="18"/>
                <w:szCs w:val="18"/>
                <w:lang w:val="en-GB"/>
              </w:rPr>
              <w:t>TBD</w:t>
            </w:r>
          </w:p>
        </w:tc>
        <w:tc>
          <w:tcPr>
            <w:tcW w:w="850" w:type="dxa"/>
            <w:shd w:val="clear" w:color="auto" w:fill="auto"/>
            <w:hideMark/>
          </w:tcPr>
          <w:p w14:paraId="260AEC6F" w14:textId="77777777" w:rsidR="00FA2345" w:rsidRPr="00610088" w:rsidRDefault="00FA2345" w:rsidP="008E053E">
            <w:pPr>
              <w:pStyle w:val="NoSpacing"/>
              <w:rPr>
                <w:sz w:val="18"/>
                <w:szCs w:val="18"/>
                <w:lang w:val="en-GB"/>
              </w:rPr>
            </w:pPr>
            <w:r w:rsidRPr="00610088">
              <w:rPr>
                <w:sz w:val="18"/>
                <w:szCs w:val="18"/>
                <w:lang w:val="en-GB"/>
              </w:rPr>
              <w:t>TBD</w:t>
            </w:r>
          </w:p>
        </w:tc>
        <w:tc>
          <w:tcPr>
            <w:tcW w:w="772" w:type="dxa"/>
            <w:shd w:val="clear" w:color="auto" w:fill="auto"/>
            <w:hideMark/>
          </w:tcPr>
          <w:p w14:paraId="0C1D316C" w14:textId="77777777"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55A11EC1" w14:textId="77777777" w:rsidTr="00FC5D9B">
        <w:trPr>
          <w:trHeight w:val="227"/>
        </w:trPr>
        <w:tc>
          <w:tcPr>
            <w:tcW w:w="1555" w:type="dxa"/>
            <w:vMerge/>
            <w:vAlign w:val="center"/>
            <w:hideMark/>
          </w:tcPr>
          <w:p w14:paraId="5FD16DB0"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069F22D" w14:textId="390D9ACD" w:rsidR="00FA2345" w:rsidRPr="00610088" w:rsidRDefault="00FA2345" w:rsidP="008E053E">
            <w:pPr>
              <w:pStyle w:val="NoSpacing"/>
              <w:rPr>
                <w:sz w:val="18"/>
                <w:szCs w:val="18"/>
                <w:lang w:val="en-GB"/>
              </w:rPr>
            </w:pPr>
            <w:r w:rsidRPr="00610088">
              <w:rPr>
                <w:sz w:val="18"/>
                <w:szCs w:val="18"/>
                <w:lang w:val="en-GB"/>
              </w:rPr>
              <w:t>4.2 Nr of in-service staff trained using the harmonized NCD training manual</w:t>
            </w:r>
          </w:p>
        </w:tc>
        <w:tc>
          <w:tcPr>
            <w:tcW w:w="2976" w:type="dxa"/>
            <w:shd w:val="clear" w:color="auto" w:fill="auto"/>
            <w:hideMark/>
          </w:tcPr>
          <w:p w14:paraId="6C40464F" w14:textId="77777777" w:rsidR="00FA2345" w:rsidRPr="00610088" w:rsidRDefault="00FA2345" w:rsidP="008E053E">
            <w:pPr>
              <w:pStyle w:val="NoSpacing"/>
              <w:rPr>
                <w:sz w:val="18"/>
                <w:szCs w:val="18"/>
                <w:lang w:val="en-GB"/>
              </w:rPr>
            </w:pPr>
            <w:r w:rsidRPr="00610088">
              <w:rPr>
                <w:sz w:val="18"/>
                <w:szCs w:val="18"/>
                <w:lang w:val="en-GB"/>
              </w:rPr>
              <w:t>Training records, the harmonized training manual(s)</w:t>
            </w:r>
          </w:p>
        </w:tc>
        <w:tc>
          <w:tcPr>
            <w:tcW w:w="850" w:type="dxa"/>
            <w:shd w:val="clear" w:color="auto" w:fill="auto"/>
            <w:hideMark/>
          </w:tcPr>
          <w:p w14:paraId="78D624D4"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4A4FDB04" w14:textId="4C16ECA7" w:rsidR="00FA2345" w:rsidRPr="00610088" w:rsidRDefault="00FA2345" w:rsidP="008E053E">
            <w:pPr>
              <w:pStyle w:val="NoSpacing"/>
              <w:rPr>
                <w:sz w:val="18"/>
                <w:szCs w:val="18"/>
                <w:lang w:val="en-GB"/>
              </w:rPr>
            </w:pPr>
            <w:r w:rsidRPr="00610088">
              <w:rPr>
                <w:color w:val="000000" w:themeColor="text1"/>
                <w:sz w:val="18"/>
                <w:szCs w:val="18"/>
                <w:lang w:val="en-GB"/>
              </w:rPr>
              <w:t>0</w:t>
            </w:r>
            <w:r w:rsidRPr="00610088">
              <w:rPr>
                <w:color w:val="FF0000"/>
                <w:sz w:val="18"/>
                <w:szCs w:val="18"/>
                <w:lang w:val="en-GB"/>
              </w:rPr>
              <w:t xml:space="preserve"> </w:t>
            </w:r>
            <w:r w:rsidRPr="00610088">
              <w:rPr>
                <w:sz w:val="18"/>
                <w:szCs w:val="18"/>
                <w:lang w:val="en-GB"/>
              </w:rPr>
              <w:t xml:space="preserve">(DNCD&amp;MH, 2019) </w:t>
            </w:r>
          </w:p>
        </w:tc>
        <w:tc>
          <w:tcPr>
            <w:tcW w:w="850" w:type="dxa"/>
            <w:shd w:val="clear" w:color="auto" w:fill="auto"/>
            <w:hideMark/>
          </w:tcPr>
          <w:p w14:paraId="749207FC" w14:textId="77777777" w:rsidR="00FA2345" w:rsidRPr="00610088" w:rsidRDefault="00FA2345" w:rsidP="008E053E">
            <w:pPr>
              <w:pStyle w:val="NoSpacing"/>
              <w:rPr>
                <w:sz w:val="18"/>
                <w:szCs w:val="18"/>
                <w:lang w:val="en-GB"/>
              </w:rPr>
            </w:pPr>
            <w:r w:rsidRPr="00610088">
              <w:rPr>
                <w:sz w:val="18"/>
                <w:szCs w:val="18"/>
                <w:lang w:val="en-GB"/>
              </w:rPr>
              <w:t>TBD</w:t>
            </w:r>
          </w:p>
        </w:tc>
        <w:tc>
          <w:tcPr>
            <w:tcW w:w="851" w:type="dxa"/>
            <w:shd w:val="clear" w:color="auto" w:fill="auto"/>
            <w:hideMark/>
          </w:tcPr>
          <w:p w14:paraId="21493F17" w14:textId="77777777" w:rsidR="00FA2345" w:rsidRPr="00610088" w:rsidRDefault="00FA2345" w:rsidP="008E053E">
            <w:pPr>
              <w:pStyle w:val="NoSpacing"/>
              <w:rPr>
                <w:sz w:val="18"/>
                <w:szCs w:val="18"/>
                <w:lang w:val="en-GB"/>
              </w:rPr>
            </w:pPr>
            <w:r w:rsidRPr="00610088">
              <w:rPr>
                <w:sz w:val="18"/>
                <w:szCs w:val="18"/>
                <w:lang w:val="en-GB"/>
              </w:rPr>
              <w:t>TBD</w:t>
            </w:r>
          </w:p>
        </w:tc>
        <w:tc>
          <w:tcPr>
            <w:tcW w:w="850" w:type="dxa"/>
            <w:shd w:val="clear" w:color="auto" w:fill="auto"/>
            <w:hideMark/>
          </w:tcPr>
          <w:p w14:paraId="1206289B" w14:textId="77777777" w:rsidR="00FA2345" w:rsidRPr="00610088" w:rsidRDefault="00FA2345" w:rsidP="008E053E">
            <w:pPr>
              <w:pStyle w:val="NoSpacing"/>
              <w:rPr>
                <w:sz w:val="18"/>
                <w:szCs w:val="18"/>
                <w:lang w:val="en-GB"/>
              </w:rPr>
            </w:pPr>
            <w:r w:rsidRPr="00610088">
              <w:rPr>
                <w:sz w:val="18"/>
                <w:szCs w:val="18"/>
                <w:lang w:val="en-GB"/>
              </w:rPr>
              <w:t>TBD</w:t>
            </w:r>
          </w:p>
        </w:tc>
        <w:tc>
          <w:tcPr>
            <w:tcW w:w="772" w:type="dxa"/>
            <w:shd w:val="clear" w:color="auto" w:fill="auto"/>
            <w:hideMark/>
          </w:tcPr>
          <w:p w14:paraId="11506E38" w14:textId="77777777"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2CF892BE" w14:textId="77777777" w:rsidTr="00FC5D9B">
        <w:trPr>
          <w:trHeight w:val="227"/>
        </w:trPr>
        <w:tc>
          <w:tcPr>
            <w:tcW w:w="1555" w:type="dxa"/>
            <w:vMerge w:val="restart"/>
            <w:shd w:val="clear" w:color="auto" w:fill="auto"/>
            <w:hideMark/>
          </w:tcPr>
          <w:p w14:paraId="2125A5BC" w14:textId="77777777" w:rsidR="00FA2345" w:rsidRPr="00610088" w:rsidRDefault="00FA2345" w:rsidP="008E053E">
            <w:pPr>
              <w:pStyle w:val="NoSpacing"/>
              <w:rPr>
                <w:b/>
                <w:bCs/>
                <w:sz w:val="18"/>
                <w:szCs w:val="18"/>
                <w:lang w:val="en-GB"/>
              </w:rPr>
            </w:pPr>
            <w:r w:rsidRPr="00610088">
              <w:rPr>
                <w:b/>
                <w:bCs/>
                <w:sz w:val="18"/>
                <w:szCs w:val="18"/>
                <w:lang w:val="en-GB"/>
              </w:rPr>
              <w:t>SO4- Strengthen services and PHU and hospital levels</w:t>
            </w:r>
          </w:p>
        </w:tc>
        <w:tc>
          <w:tcPr>
            <w:tcW w:w="3118" w:type="dxa"/>
            <w:shd w:val="clear" w:color="auto" w:fill="auto"/>
            <w:hideMark/>
          </w:tcPr>
          <w:p w14:paraId="3C53EC0C" w14:textId="793CB903" w:rsidR="00FA2345" w:rsidRPr="00610088" w:rsidRDefault="00FA2345" w:rsidP="008E053E">
            <w:pPr>
              <w:pStyle w:val="NoSpacing"/>
              <w:rPr>
                <w:sz w:val="18"/>
                <w:szCs w:val="18"/>
                <w:lang w:val="en-GB"/>
              </w:rPr>
            </w:pPr>
            <w:r w:rsidRPr="00610088">
              <w:rPr>
                <w:sz w:val="18"/>
                <w:szCs w:val="18"/>
                <w:lang w:val="en-GB"/>
              </w:rPr>
              <w:t>4.3 Nr of public hospitals with NCD clinic day(s)</w:t>
            </w:r>
          </w:p>
        </w:tc>
        <w:tc>
          <w:tcPr>
            <w:tcW w:w="2976" w:type="dxa"/>
            <w:shd w:val="clear" w:color="auto" w:fill="auto"/>
            <w:noWrap/>
            <w:hideMark/>
          </w:tcPr>
          <w:p w14:paraId="029E368A" w14:textId="77777777" w:rsidR="00FA2345" w:rsidRPr="00610088" w:rsidRDefault="00FA2345" w:rsidP="008E053E">
            <w:pPr>
              <w:pStyle w:val="NoSpacing"/>
              <w:rPr>
                <w:sz w:val="18"/>
                <w:szCs w:val="18"/>
                <w:lang w:val="en-GB"/>
              </w:rPr>
            </w:pPr>
            <w:r w:rsidRPr="00610088">
              <w:rPr>
                <w:sz w:val="18"/>
                <w:szCs w:val="18"/>
                <w:lang w:val="en-GB"/>
              </w:rPr>
              <w:t>Hospital records</w:t>
            </w:r>
          </w:p>
        </w:tc>
        <w:tc>
          <w:tcPr>
            <w:tcW w:w="850" w:type="dxa"/>
            <w:shd w:val="clear" w:color="auto" w:fill="auto"/>
            <w:noWrap/>
            <w:hideMark/>
          </w:tcPr>
          <w:p w14:paraId="0A9F095A" w14:textId="77777777" w:rsidR="00FA2345" w:rsidRPr="00610088" w:rsidRDefault="00FA2345" w:rsidP="008E053E">
            <w:pPr>
              <w:pStyle w:val="NoSpacing"/>
              <w:rPr>
                <w:sz w:val="18"/>
                <w:szCs w:val="18"/>
                <w:lang w:val="en-GB"/>
              </w:rPr>
            </w:pPr>
            <w:r w:rsidRPr="00610088">
              <w:rPr>
                <w:sz w:val="18"/>
                <w:szCs w:val="18"/>
                <w:lang w:val="en-GB"/>
              </w:rPr>
              <w:t>Annual</w:t>
            </w:r>
          </w:p>
        </w:tc>
        <w:tc>
          <w:tcPr>
            <w:tcW w:w="2551" w:type="dxa"/>
            <w:shd w:val="clear" w:color="auto" w:fill="auto"/>
            <w:hideMark/>
          </w:tcPr>
          <w:p w14:paraId="12368489" w14:textId="4CE24F08" w:rsidR="00FA2345" w:rsidRPr="00610088" w:rsidRDefault="00FA2345" w:rsidP="008E053E">
            <w:pPr>
              <w:pStyle w:val="NoSpacing"/>
              <w:rPr>
                <w:sz w:val="18"/>
                <w:szCs w:val="18"/>
                <w:lang w:val="en-GB"/>
              </w:rPr>
            </w:pPr>
            <w:r w:rsidRPr="00610088">
              <w:rPr>
                <w:sz w:val="18"/>
                <w:szCs w:val="18"/>
                <w:lang w:val="en-GB"/>
              </w:rPr>
              <w:t>2 (</w:t>
            </w:r>
            <w:r w:rsidRPr="00610088">
              <w:rPr>
                <w:sz w:val="15"/>
                <w:szCs w:val="15"/>
                <w:lang w:val="en-GB"/>
              </w:rPr>
              <w:t xml:space="preserve">PIH </w:t>
            </w:r>
            <w:proofErr w:type="spellStart"/>
            <w:r w:rsidRPr="00610088">
              <w:rPr>
                <w:sz w:val="15"/>
                <w:szCs w:val="15"/>
                <w:lang w:val="en-GB"/>
              </w:rPr>
              <w:t>Kono</w:t>
            </w:r>
            <w:proofErr w:type="spellEnd"/>
            <w:r w:rsidRPr="00610088">
              <w:rPr>
                <w:sz w:val="15"/>
                <w:szCs w:val="15"/>
                <w:lang w:val="en-GB"/>
              </w:rPr>
              <w:t>, Wednesday Connaught Diabetes - Friday Connaught Cancer)</w:t>
            </w:r>
          </w:p>
        </w:tc>
        <w:tc>
          <w:tcPr>
            <w:tcW w:w="850" w:type="dxa"/>
            <w:shd w:val="clear" w:color="auto" w:fill="auto"/>
            <w:noWrap/>
            <w:hideMark/>
          </w:tcPr>
          <w:p w14:paraId="50874723" w14:textId="77777777" w:rsidR="00FA2345" w:rsidRPr="00610088" w:rsidRDefault="00FA2345" w:rsidP="008E053E">
            <w:pPr>
              <w:pStyle w:val="NoSpacing"/>
              <w:rPr>
                <w:sz w:val="18"/>
                <w:szCs w:val="18"/>
                <w:lang w:val="en-GB"/>
              </w:rPr>
            </w:pPr>
            <w:r w:rsidRPr="00610088">
              <w:rPr>
                <w:sz w:val="18"/>
                <w:szCs w:val="18"/>
                <w:lang w:val="en-GB"/>
              </w:rPr>
              <w:t>10</w:t>
            </w:r>
          </w:p>
        </w:tc>
        <w:tc>
          <w:tcPr>
            <w:tcW w:w="851" w:type="dxa"/>
            <w:shd w:val="clear" w:color="auto" w:fill="auto"/>
            <w:noWrap/>
            <w:hideMark/>
          </w:tcPr>
          <w:p w14:paraId="70C0F054" w14:textId="77777777" w:rsidR="00FA2345" w:rsidRPr="00610088" w:rsidRDefault="00FA2345" w:rsidP="008E053E">
            <w:pPr>
              <w:pStyle w:val="NoSpacing"/>
              <w:rPr>
                <w:sz w:val="18"/>
                <w:szCs w:val="18"/>
                <w:lang w:val="en-GB"/>
              </w:rPr>
            </w:pPr>
            <w:r w:rsidRPr="00610088">
              <w:rPr>
                <w:sz w:val="18"/>
                <w:szCs w:val="18"/>
                <w:lang w:val="en-GB"/>
              </w:rPr>
              <w:t>20</w:t>
            </w:r>
          </w:p>
        </w:tc>
        <w:tc>
          <w:tcPr>
            <w:tcW w:w="850" w:type="dxa"/>
            <w:shd w:val="clear" w:color="auto" w:fill="auto"/>
            <w:noWrap/>
            <w:hideMark/>
          </w:tcPr>
          <w:p w14:paraId="34D0AA2C" w14:textId="77777777" w:rsidR="00FA2345" w:rsidRPr="00610088" w:rsidRDefault="00FA2345" w:rsidP="008E053E">
            <w:pPr>
              <w:pStyle w:val="NoSpacing"/>
              <w:rPr>
                <w:sz w:val="18"/>
                <w:szCs w:val="18"/>
                <w:lang w:val="en-GB"/>
              </w:rPr>
            </w:pPr>
            <w:r w:rsidRPr="00610088">
              <w:rPr>
                <w:sz w:val="18"/>
                <w:szCs w:val="18"/>
                <w:lang w:val="en-GB"/>
              </w:rPr>
              <w:t>40</w:t>
            </w:r>
          </w:p>
        </w:tc>
        <w:tc>
          <w:tcPr>
            <w:tcW w:w="772" w:type="dxa"/>
            <w:shd w:val="clear" w:color="auto" w:fill="auto"/>
            <w:noWrap/>
            <w:hideMark/>
          </w:tcPr>
          <w:p w14:paraId="441D23F0" w14:textId="77777777" w:rsidR="00FA2345" w:rsidRPr="00610088" w:rsidRDefault="00FA2345" w:rsidP="008E053E">
            <w:pPr>
              <w:pStyle w:val="NoSpacing"/>
              <w:rPr>
                <w:sz w:val="18"/>
                <w:szCs w:val="18"/>
                <w:lang w:val="en-GB"/>
              </w:rPr>
            </w:pPr>
            <w:r w:rsidRPr="00610088">
              <w:rPr>
                <w:sz w:val="18"/>
                <w:szCs w:val="18"/>
                <w:lang w:val="en-GB"/>
              </w:rPr>
              <w:t>54</w:t>
            </w:r>
          </w:p>
        </w:tc>
      </w:tr>
      <w:tr w:rsidR="00FA2345" w:rsidRPr="00610088" w14:paraId="2AED0DF0" w14:textId="77777777" w:rsidTr="00FC5D9B">
        <w:trPr>
          <w:trHeight w:val="227"/>
        </w:trPr>
        <w:tc>
          <w:tcPr>
            <w:tcW w:w="1555" w:type="dxa"/>
            <w:vMerge/>
            <w:vAlign w:val="center"/>
            <w:hideMark/>
          </w:tcPr>
          <w:p w14:paraId="572253B8" w14:textId="77777777" w:rsidR="00FA2345" w:rsidRPr="00610088" w:rsidRDefault="00FA2345" w:rsidP="008E053E">
            <w:pPr>
              <w:pStyle w:val="NoSpacing"/>
              <w:rPr>
                <w:b/>
                <w:bCs/>
                <w:sz w:val="18"/>
                <w:szCs w:val="18"/>
                <w:lang w:val="en-GB"/>
              </w:rPr>
            </w:pPr>
          </w:p>
        </w:tc>
        <w:tc>
          <w:tcPr>
            <w:tcW w:w="3118" w:type="dxa"/>
            <w:shd w:val="clear" w:color="auto" w:fill="auto"/>
            <w:hideMark/>
          </w:tcPr>
          <w:p w14:paraId="5AF2ABBC" w14:textId="792DE78A" w:rsidR="00FA2345" w:rsidRPr="00610088" w:rsidRDefault="00FA2345" w:rsidP="008E053E">
            <w:pPr>
              <w:pStyle w:val="NoSpacing"/>
              <w:rPr>
                <w:sz w:val="18"/>
                <w:szCs w:val="18"/>
                <w:lang w:val="en-GB"/>
              </w:rPr>
            </w:pPr>
            <w:r w:rsidRPr="00610088">
              <w:rPr>
                <w:sz w:val="18"/>
                <w:szCs w:val="18"/>
                <w:lang w:val="en-GB"/>
              </w:rPr>
              <w:t>4.4 Nr of districts with at least 5 CHCs providing NCD services according to the Sierra Leone adapted WHO PEN package</w:t>
            </w:r>
          </w:p>
        </w:tc>
        <w:tc>
          <w:tcPr>
            <w:tcW w:w="2976" w:type="dxa"/>
            <w:shd w:val="clear" w:color="auto" w:fill="auto"/>
            <w:noWrap/>
            <w:hideMark/>
          </w:tcPr>
          <w:p w14:paraId="362E7B2E" w14:textId="69AF9508" w:rsidR="00FA2345" w:rsidRPr="00610088" w:rsidRDefault="00FA2345" w:rsidP="008E053E">
            <w:pPr>
              <w:pStyle w:val="NoSpacing"/>
              <w:rPr>
                <w:sz w:val="18"/>
                <w:szCs w:val="18"/>
                <w:lang w:val="en-GB"/>
              </w:rPr>
            </w:pPr>
            <w:r w:rsidRPr="00610088">
              <w:rPr>
                <w:sz w:val="18"/>
                <w:szCs w:val="18"/>
                <w:lang w:val="en-GB"/>
              </w:rPr>
              <w:t> Annual survey / implementation documents</w:t>
            </w:r>
          </w:p>
        </w:tc>
        <w:tc>
          <w:tcPr>
            <w:tcW w:w="850" w:type="dxa"/>
            <w:shd w:val="clear" w:color="auto" w:fill="auto"/>
            <w:noWrap/>
            <w:hideMark/>
          </w:tcPr>
          <w:p w14:paraId="3038671B" w14:textId="2049463C" w:rsidR="00FA2345" w:rsidRPr="00610088" w:rsidRDefault="00FA2345" w:rsidP="008E053E">
            <w:pPr>
              <w:pStyle w:val="NoSpacing"/>
              <w:rPr>
                <w:sz w:val="18"/>
                <w:szCs w:val="18"/>
                <w:lang w:val="en-GB"/>
              </w:rPr>
            </w:pPr>
            <w:r w:rsidRPr="00610088">
              <w:rPr>
                <w:sz w:val="18"/>
                <w:szCs w:val="18"/>
                <w:lang w:val="en-GB"/>
              </w:rPr>
              <w:t> Annual</w:t>
            </w:r>
          </w:p>
        </w:tc>
        <w:tc>
          <w:tcPr>
            <w:tcW w:w="2551" w:type="dxa"/>
            <w:shd w:val="clear" w:color="auto" w:fill="auto"/>
            <w:noWrap/>
            <w:hideMark/>
          </w:tcPr>
          <w:p w14:paraId="7ED85703" w14:textId="77777777" w:rsidR="00FA2345" w:rsidRPr="00610088" w:rsidRDefault="00FA2345" w:rsidP="008E053E">
            <w:pPr>
              <w:pStyle w:val="NoSpacing"/>
              <w:rPr>
                <w:sz w:val="18"/>
                <w:szCs w:val="18"/>
                <w:lang w:val="en-GB"/>
              </w:rPr>
            </w:pPr>
            <w:r w:rsidRPr="00610088">
              <w:rPr>
                <w:sz w:val="18"/>
                <w:szCs w:val="18"/>
                <w:lang w:val="en-GB"/>
              </w:rPr>
              <w:t>0</w:t>
            </w:r>
          </w:p>
        </w:tc>
        <w:tc>
          <w:tcPr>
            <w:tcW w:w="850" w:type="dxa"/>
            <w:shd w:val="clear" w:color="auto" w:fill="auto"/>
            <w:noWrap/>
            <w:hideMark/>
          </w:tcPr>
          <w:p w14:paraId="4C8F16FC" w14:textId="77777777" w:rsidR="00FA2345" w:rsidRPr="00610088" w:rsidRDefault="00FA2345" w:rsidP="008E053E">
            <w:pPr>
              <w:pStyle w:val="NoSpacing"/>
              <w:rPr>
                <w:sz w:val="18"/>
                <w:szCs w:val="18"/>
                <w:lang w:val="en-GB"/>
              </w:rPr>
            </w:pPr>
            <w:r w:rsidRPr="00610088">
              <w:rPr>
                <w:sz w:val="18"/>
                <w:szCs w:val="18"/>
                <w:lang w:val="en-GB"/>
              </w:rPr>
              <w:t>2</w:t>
            </w:r>
          </w:p>
        </w:tc>
        <w:tc>
          <w:tcPr>
            <w:tcW w:w="851" w:type="dxa"/>
            <w:shd w:val="clear" w:color="auto" w:fill="auto"/>
            <w:noWrap/>
            <w:hideMark/>
          </w:tcPr>
          <w:p w14:paraId="287195FE" w14:textId="77777777" w:rsidR="00FA2345" w:rsidRPr="00610088" w:rsidRDefault="00FA2345" w:rsidP="008E053E">
            <w:pPr>
              <w:pStyle w:val="NoSpacing"/>
              <w:rPr>
                <w:sz w:val="18"/>
                <w:szCs w:val="18"/>
                <w:lang w:val="en-GB"/>
              </w:rPr>
            </w:pPr>
            <w:r w:rsidRPr="00610088">
              <w:rPr>
                <w:sz w:val="18"/>
                <w:szCs w:val="18"/>
                <w:lang w:val="en-GB"/>
              </w:rPr>
              <w:t>5</w:t>
            </w:r>
          </w:p>
        </w:tc>
        <w:tc>
          <w:tcPr>
            <w:tcW w:w="850" w:type="dxa"/>
            <w:shd w:val="clear" w:color="auto" w:fill="auto"/>
            <w:noWrap/>
            <w:hideMark/>
          </w:tcPr>
          <w:p w14:paraId="2893FFF3" w14:textId="77777777" w:rsidR="00FA2345" w:rsidRPr="00610088" w:rsidRDefault="00FA2345" w:rsidP="008E053E">
            <w:pPr>
              <w:pStyle w:val="NoSpacing"/>
              <w:rPr>
                <w:sz w:val="18"/>
                <w:szCs w:val="18"/>
                <w:lang w:val="en-GB"/>
              </w:rPr>
            </w:pPr>
            <w:r w:rsidRPr="00610088">
              <w:rPr>
                <w:sz w:val="18"/>
                <w:szCs w:val="18"/>
                <w:lang w:val="en-GB"/>
              </w:rPr>
              <w:t>10</w:t>
            </w:r>
          </w:p>
        </w:tc>
        <w:tc>
          <w:tcPr>
            <w:tcW w:w="772" w:type="dxa"/>
            <w:shd w:val="clear" w:color="auto" w:fill="auto"/>
            <w:noWrap/>
            <w:hideMark/>
          </w:tcPr>
          <w:p w14:paraId="50CEDC7A" w14:textId="77777777" w:rsidR="00FA2345" w:rsidRPr="00610088" w:rsidRDefault="00FA2345" w:rsidP="008E053E">
            <w:pPr>
              <w:pStyle w:val="NoSpacing"/>
              <w:rPr>
                <w:sz w:val="18"/>
                <w:szCs w:val="18"/>
                <w:lang w:val="en-GB"/>
              </w:rPr>
            </w:pPr>
            <w:r w:rsidRPr="00610088">
              <w:rPr>
                <w:sz w:val="18"/>
                <w:szCs w:val="18"/>
                <w:lang w:val="en-GB"/>
              </w:rPr>
              <w:t>16</w:t>
            </w:r>
          </w:p>
        </w:tc>
      </w:tr>
      <w:tr w:rsidR="00FA2345" w:rsidRPr="00610088" w14:paraId="12D1A654" w14:textId="77777777" w:rsidTr="00FC5D9B">
        <w:trPr>
          <w:trHeight w:val="227"/>
        </w:trPr>
        <w:tc>
          <w:tcPr>
            <w:tcW w:w="1555" w:type="dxa"/>
            <w:vMerge/>
            <w:vAlign w:val="center"/>
            <w:hideMark/>
          </w:tcPr>
          <w:p w14:paraId="633C6CF4" w14:textId="77777777" w:rsidR="00FA2345" w:rsidRPr="00610088" w:rsidRDefault="00FA2345" w:rsidP="00E97CF5">
            <w:pPr>
              <w:pStyle w:val="NoSpacing"/>
              <w:rPr>
                <w:b/>
                <w:bCs/>
                <w:sz w:val="18"/>
                <w:szCs w:val="18"/>
                <w:lang w:val="en-GB"/>
              </w:rPr>
            </w:pPr>
          </w:p>
        </w:tc>
        <w:tc>
          <w:tcPr>
            <w:tcW w:w="3118" w:type="dxa"/>
            <w:shd w:val="clear" w:color="auto" w:fill="auto"/>
            <w:hideMark/>
          </w:tcPr>
          <w:p w14:paraId="202CB265" w14:textId="21DA1C2A" w:rsidR="00FA2345" w:rsidRPr="00610088" w:rsidRDefault="00FA2345" w:rsidP="00E97CF5">
            <w:pPr>
              <w:pStyle w:val="NoSpacing"/>
              <w:rPr>
                <w:sz w:val="18"/>
                <w:szCs w:val="18"/>
                <w:lang w:val="en-GB"/>
              </w:rPr>
            </w:pPr>
            <w:r w:rsidRPr="00610088">
              <w:rPr>
                <w:color w:val="000000" w:themeColor="text1"/>
                <w:sz w:val="18"/>
                <w:szCs w:val="18"/>
                <w:lang w:val="en-GB"/>
              </w:rPr>
              <w:t>4.5 Nr of hospitals implementing Sierra Leone adapted WHO PEN-Plus package</w:t>
            </w:r>
          </w:p>
        </w:tc>
        <w:tc>
          <w:tcPr>
            <w:tcW w:w="2976" w:type="dxa"/>
            <w:shd w:val="clear" w:color="auto" w:fill="auto"/>
            <w:hideMark/>
          </w:tcPr>
          <w:p w14:paraId="2A4CD711" w14:textId="5CFD6F40" w:rsidR="00FA2345" w:rsidRPr="00610088" w:rsidRDefault="00FA2345" w:rsidP="00E97CF5">
            <w:pPr>
              <w:pStyle w:val="NoSpacing"/>
              <w:rPr>
                <w:sz w:val="18"/>
                <w:szCs w:val="18"/>
                <w:lang w:val="en-GB"/>
              </w:rPr>
            </w:pPr>
            <w:r w:rsidRPr="00610088">
              <w:rPr>
                <w:sz w:val="18"/>
                <w:szCs w:val="18"/>
                <w:lang w:val="en-GB"/>
              </w:rPr>
              <w:t> Annual survey / implementation documents</w:t>
            </w:r>
          </w:p>
        </w:tc>
        <w:tc>
          <w:tcPr>
            <w:tcW w:w="850" w:type="dxa"/>
            <w:shd w:val="clear" w:color="auto" w:fill="auto"/>
            <w:hideMark/>
          </w:tcPr>
          <w:p w14:paraId="60E3643E" w14:textId="37ACE3DA" w:rsidR="00FA2345" w:rsidRPr="00610088" w:rsidRDefault="00FA2345" w:rsidP="00E97CF5">
            <w:pPr>
              <w:pStyle w:val="NoSpacing"/>
              <w:rPr>
                <w:sz w:val="18"/>
                <w:szCs w:val="18"/>
                <w:lang w:val="en-GB"/>
              </w:rPr>
            </w:pPr>
            <w:r w:rsidRPr="00610088">
              <w:rPr>
                <w:sz w:val="18"/>
                <w:szCs w:val="18"/>
                <w:lang w:val="en-GB"/>
              </w:rPr>
              <w:t> Annual</w:t>
            </w:r>
          </w:p>
        </w:tc>
        <w:tc>
          <w:tcPr>
            <w:tcW w:w="2551" w:type="dxa"/>
            <w:shd w:val="clear" w:color="auto" w:fill="auto"/>
            <w:noWrap/>
            <w:hideMark/>
          </w:tcPr>
          <w:p w14:paraId="0E8979CA" w14:textId="74FDF324" w:rsidR="00FA2345" w:rsidRPr="00610088" w:rsidRDefault="00FA2345" w:rsidP="00E97CF5">
            <w:pPr>
              <w:pStyle w:val="NoSpacing"/>
              <w:rPr>
                <w:sz w:val="18"/>
                <w:szCs w:val="18"/>
                <w:lang w:val="en-GB"/>
              </w:rPr>
            </w:pPr>
            <w:r w:rsidRPr="00610088">
              <w:rPr>
                <w:sz w:val="18"/>
                <w:szCs w:val="18"/>
                <w:lang w:val="en-GB"/>
              </w:rPr>
              <w:t>0</w:t>
            </w:r>
          </w:p>
        </w:tc>
        <w:tc>
          <w:tcPr>
            <w:tcW w:w="850" w:type="dxa"/>
            <w:shd w:val="clear" w:color="auto" w:fill="auto"/>
            <w:noWrap/>
            <w:hideMark/>
          </w:tcPr>
          <w:p w14:paraId="4B11F700" w14:textId="512A50EB" w:rsidR="00FA2345" w:rsidRPr="00610088" w:rsidRDefault="00FA2345" w:rsidP="00E97CF5">
            <w:pPr>
              <w:pStyle w:val="NoSpacing"/>
              <w:rPr>
                <w:sz w:val="18"/>
                <w:szCs w:val="18"/>
                <w:lang w:val="en-GB"/>
              </w:rPr>
            </w:pPr>
            <w:r w:rsidRPr="00610088">
              <w:rPr>
                <w:sz w:val="18"/>
                <w:szCs w:val="18"/>
                <w:lang w:val="en-GB"/>
              </w:rPr>
              <w:t>2</w:t>
            </w:r>
          </w:p>
        </w:tc>
        <w:tc>
          <w:tcPr>
            <w:tcW w:w="851" w:type="dxa"/>
            <w:shd w:val="clear" w:color="auto" w:fill="auto"/>
            <w:noWrap/>
            <w:hideMark/>
          </w:tcPr>
          <w:p w14:paraId="0B3D92D2" w14:textId="47792DD9" w:rsidR="00FA2345" w:rsidRPr="00610088" w:rsidRDefault="00FA2345" w:rsidP="00E97CF5">
            <w:pPr>
              <w:pStyle w:val="NoSpacing"/>
              <w:rPr>
                <w:sz w:val="18"/>
                <w:szCs w:val="18"/>
                <w:lang w:val="en-GB"/>
              </w:rPr>
            </w:pPr>
            <w:r w:rsidRPr="00610088">
              <w:rPr>
                <w:sz w:val="18"/>
                <w:szCs w:val="18"/>
                <w:lang w:val="en-GB"/>
              </w:rPr>
              <w:t>5</w:t>
            </w:r>
          </w:p>
        </w:tc>
        <w:tc>
          <w:tcPr>
            <w:tcW w:w="850" w:type="dxa"/>
            <w:shd w:val="clear" w:color="auto" w:fill="auto"/>
            <w:noWrap/>
            <w:hideMark/>
          </w:tcPr>
          <w:p w14:paraId="54363145" w14:textId="5C2447FA" w:rsidR="00FA2345" w:rsidRPr="00610088" w:rsidRDefault="00FA2345" w:rsidP="00E97CF5">
            <w:pPr>
              <w:pStyle w:val="NoSpacing"/>
              <w:rPr>
                <w:sz w:val="18"/>
                <w:szCs w:val="18"/>
                <w:lang w:val="en-GB"/>
              </w:rPr>
            </w:pPr>
            <w:r w:rsidRPr="00610088">
              <w:rPr>
                <w:sz w:val="18"/>
                <w:szCs w:val="18"/>
                <w:lang w:val="en-GB"/>
              </w:rPr>
              <w:t>10</w:t>
            </w:r>
          </w:p>
        </w:tc>
        <w:tc>
          <w:tcPr>
            <w:tcW w:w="772" w:type="dxa"/>
            <w:shd w:val="clear" w:color="auto" w:fill="auto"/>
            <w:noWrap/>
            <w:hideMark/>
          </w:tcPr>
          <w:p w14:paraId="3E0CF9A3" w14:textId="0FD4C151" w:rsidR="00FA2345" w:rsidRPr="00610088" w:rsidRDefault="00FA2345" w:rsidP="00E97CF5">
            <w:pPr>
              <w:pStyle w:val="NoSpacing"/>
              <w:rPr>
                <w:sz w:val="18"/>
                <w:szCs w:val="18"/>
                <w:lang w:val="en-GB"/>
              </w:rPr>
            </w:pPr>
            <w:r w:rsidRPr="00610088">
              <w:rPr>
                <w:sz w:val="18"/>
                <w:szCs w:val="18"/>
                <w:lang w:val="en-GB"/>
              </w:rPr>
              <w:t>16</w:t>
            </w:r>
          </w:p>
        </w:tc>
      </w:tr>
      <w:tr w:rsidR="00FA2345" w:rsidRPr="00610088" w14:paraId="4AD14D85" w14:textId="77777777" w:rsidTr="00FC5D9B">
        <w:trPr>
          <w:trHeight w:val="227"/>
        </w:trPr>
        <w:tc>
          <w:tcPr>
            <w:tcW w:w="1555" w:type="dxa"/>
            <w:vMerge/>
            <w:vAlign w:val="center"/>
            <w:hideMark/>
          </w:tcPr>
          <w:p w14:paraId="0FE69C44" w14:textId="77777777" w:rsidR="00FA2345" w:rsidRPr="00610088" w:rsidRDefault="00FA2345" w:rsidP="008E053E">
            <w:pPr>
              <w:pStyle w:val="NoSpacing"/>
              <w:rPr>
                <w:b/>
                <w:bCs/>
                <w:sz w:val="18"/>
                <w:szCs w:val="18"/>
                <w:lang w:val="en-GB"/>
              </w:rPr>
            </w:pPr>
          </w:p>
        </w:tc>
        <w:tc>
          <w:tcPr>
            <w:tcW w:w="3118" w:type="dxa"/>
            <w:shd w:val="clear" w:color="auto" w:fill="auto"/>
            <w:hideMark/>
          </w:tcPr>
          <w:p w14:paraId="1D059593" w14:textId="375965FE" w:rsidR="00FA2345" w:rsidRPr="00610088" w:rsidRDefault="00FA2345" w:rsidP="008E053E">
            <w:pPr>
              <w:pStyle w:val="NoSpacing"/>
              <w:rPr>
                <w:sz w:val="18"/>
                <w:szCs w:val="18"/>
                <w:lang w:val="en-GB"/>
              </w:rPr>
            </w:pPr>
            <w:r w:rsidRPr="00610088">
              <w:rPr>
                <w:sz w:val="18"/>
                <w:szCs w:val="18"/>
                <w:lang w:val="en-GB"/>
              </w:rPr>
              <w:t>4.6 Proportion of eligible persons receiving drug therapy and counselling (including glycaemic control) to prevent heart attacks and strokes</w:t>
            </w:r>
          </w:p>
        </w:tc>
        <w:tc>
          <w:tcPr>
            <w:tcW w:w="2976" w:type="dxa"/>
            <w:shd w:val="clear" w:color="auto" w:fill="auto"/>
            <w:hideMark/>
          </w:tcPr>
          <w:p w14:paraId="36C47F1F" w14:textId="77777777" w:rsidR="00FA2345" w:rsidRPr="00610088" w:rsidRDefault="00FA2345" w:rsidP="008E053E">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2B4D8B2D" w14:textId="77777777" w:rsidR="00FA2345" w:rsidRPr="00610088" w:rsidRDefault="00FA2345" w:rsidP="008E053E">
            <w:pPr>
              <w:pStyle w:val="NoSpacing"/>
              <w:rPr>
                <w:sz w:val="18"/>
                <w:szCs w:val="18"/>
                <w:lang w:val="en-GB"/>
              </w:rPr>
            </w:pPr>
            <w:r w:rsidRPr="00610088">
              <w:rPr>
                <w:sz w:val="18"/>
                <w:szCs w:val="18"/>
                <w:lang w:val="en-GB"/>
              </w:rPr>
              <w:t>At least every 5 years (integrate into SARA if possible)</w:t>
            </w:r>
          </w:p>
        </w:tc>
        <w:tc>
          <w:tcPr>
            <w:tcW w:w="2551" w:type="dxa"/>
            <w:shd w:val="clear" w:color="auto" w:fill="auto"/>
            <w:hideMark/>
          </w:tcPr>
          <w:p w14:paraId="58E0F8B1" w14:textId="0B2703A4" w:rsidR="00FA2345" w:rsidRPr="00610088" w:rsidRDefault="00FA2345" w:rsidP="008E053E">
            <w:pPr>
              <w:pStyle w:val="NoSpacing"/>
              <w:rPr>
                <w:sz w:val="18"/>
                <w:szCs w:val="18"/>
                <w:lang w:val="en-GB"/>
              </w:rPr>
            </w:pPr>
            <w:r w:rsidRPr="00610088">
              <w:rPr>
                <w:sz w:val="18"/>
                <w:szCs w:val="18"/>
                <w:lang w:val="en-GB"/>
              </w:rPr>
              <w:t>TBD</w:t>
            </w:r>
          </w:p>
        </w:tc>
        <w:tc>
          <w:tcPr>
            <w:tcW w:w="850" w:type="dxa"/>
            <w:shd w:val="clear" w:color="000000" w:fill="BFBFBF"/>
            <w:noWrap/>
            <w:hideMark/>
          </w:tcPr>
          <w:p w14:paraId="49B172BF"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378BD810"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0AECAD04"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34B625B5" w14:textId="705F7B58" w:rsidR="00FA2345" w:rsidRPr="00610088" w:rsidRDefault="00FA2345" w:rsidP="008E053E">
            <w:pPr>
              <w:pStyle w:val="NoSpacing"/>
              <w:rPr>
                <w:sz w:val="18"/>
                <w:szCs w:val="18"/>
                <w:lang w:val="en-GB"/>
              </w:rPr>
            </w:pPr>
            <w:r w:rsidRPr="00610088">
              <w:rPr>
                <w:sz w:val="18"/>
                <w:szCs w:val="18"/>
                <w:lang w:val="en-GB"/>
              </w:rPr>
              <w:t>TBD</w:t>
            </w:r>
          </w:p>
        </w:tc>
      </w:tr>
      <w:tr w:rsidR="00FA2345" w:rsidRPr="00610088" w14:paraId="20252E1D" w14:textId="77777777" w:rsidTr="00FC5D9B">
        <w:trPr>
          <w:trHeight w:val="227"/>
        </w:trPr>
        <w:tc>
          <w:tcPr>
            <w:tcW w:w="1555" w:type="dxa"/>
            <w:vMerge/>
            <w:vAlign w:val="center"/>
            <w:hideMark/>
          </w:tcPr>
          <w:p w14:paraId="5A97CD11" w14:textId="77777777" w:rsidR="00FA2345" w:rsidRPr="00610088" w:rsidRDefault="00FA2345" w:rsidP="008E053E">
            <w:pPr>
              <w:pStyle w:val="NoSpacing"/>
              <w:rPr>
                <w:b/>
                <w:bCs/>
                <w:sz w:val="18"/>
                <w:szCs w:val="18"/>
                <w:lang w:val="en-GB"/>
              </w:rPr>
            </w:pPr>
          </w:p>
        </w:tc>
        <w:tc>
          <w:tcPr>
            <w:tcW w:w="3118" w:type="dxa"/>
            <w:shd w:val="clear" w:color="auto" w:fill="auto"/>
            <w:hideMark/>
          </w:tcPr>
          <w:p w14:paraId="0CA2F8A5" w14:textId="059BDE3B" w:rsidR="00FA2345" w:rsidRPr="00610088" w:rsidRDefault="00FA2345" w:rsidP="008E053E">
            <w:pPr>
              <w:pStyle w:val="NoSpacing"/>
              <w:rPr>
                <w:sz w:val="18"/>
                <w:szCs w:val="18"/>
                <w:lang w:val="en-GB"/>
              </w:rPr>
            </w:pPr>
            <w:r w:rsidRPr="00610088">
              <w:rPr>
                <w:sz w:val="18"/>
                <w:szCs w:val="18"/>
                <w:lang w:val="en-GB"/>
              </w:rPr>
              <w:t>4.7 Percentage of public and private health care facilities who have available essential NCD medicines and basic technologies (</w:t>
            </w:r>
            <w:r w:rsidRPr="00610088">
              <w:rPr>
                <w:i/>
                <w:iCs/>
                <w:sz w:val="18"/>
                <w:szCs w:val="18"/>
                <w:lang w:val="en-GB"/>
              </w:rPr>
              <w:t>detail in definition)</w:t>
            </w:r>
          </w:p>
        </w:tc>
        <w:tc>
          <w:tcPr>
            <w:tcW w:w="2976" w:type="dxa"/>
            <w:shd w:val="clear" w:color="auto" w:fill="auto"/>
            <w:hideMark/>
          </w:tcPr>
          <w:p w14:paraId="4A69119F" w14:textId="3F3A6BE8" w:rsidR="00FA2345" w:rsidRPr="00610088" w:rsidRDefault="00FA2345" w:rsidP="008E053E">
            <w:pPr>
              <w:pStyle w:val="NoSpacing"/>
              <w:rPr>
                <w:sz w:val="18"/>
                <w:szCs w:val="18"/>
                <w:highlight w:val="yellow"/>
                <w:lang w:val="en-GB"/>
              </w:rPr>
            </w:pPr>
            <w:r w:rsidRPr="00610088">
              <w:rPr>
                <w:sz w:val="18"/>
                <w:szCs w:val="18"/>
                <w:lang w:val="en-GB"/>
              </w:rPr>
              <w:t>Nationally-representative health facility assessment (</w:t>
            </w:r>
            <w:proofErr w:type="gramStart"/>
            <w:r w:rsidRPr="00610088">
              <w:rPr>
                <w:sz w:val="18"/>
                <w:szCs w:val="18"/>
                <w:lang w:val="en-GB"/>
              </w:rPr>
              <w:t>e.g.</w:t>
            </w:r>
            <w:proofErr w:type="gramEnd"/>
            <w:r w:rsidRPr="00610088">
              <w:rPr>
                <w:sz w:val="18"/>
                <w:szCs w:val="18"/>
                <w:lang w:val="en-GB"/>
              </w:rPr>
              <w:t xml:space="preserve"> SARA)</w:t>
            </w:r>
          </w:p>
        </w:tc>
        <w:tc>
          <w:tcPr>
            <w:tcW w:w="850" w:type="dxa"/>
            <w:shd w:val="clear" w:color="auto" w:fill="auto"/>
            <w:hideMark/>
          </w:tcPr>
          <w:p w14:paraId="3BD5DC06" w14:textId="77777777" w:rsidR="00FA2345" w:rsidRPr="00610088" w:rsidRDefault="00FA2345" w:rsidP="008E053E">
            <w:pPr>
              <w:pStyle w:val="NoSpacing"/>
              <w:rPr>
                <w:sz w:val="18"/>
                <w:szCs w:val="18"/>
                <w:lang w:val="en-GB"/>
              </w:rPr>
            </w:pPr>
            <w:r w:rsidRPr="00610088">
              <w:rPr>
                <w:sz w:val="18"/>
                <w:szCs w:val="18"/>
                <w:lang w:val="en-GB"/>
              </w:rPr>
              <w:t>At least every 5 years</w:t>
            </w:r>
          </w:p>
        </w:tc>
        <w:tc>
          <w:tcPr>
            <w:tcW w:w="2551" w:type="dxa"/>
            <w:shd w:val="clear" w:color="auto" w:fill="auto"/>
            <w:noWrap/>
            <w:hideMark/>
          </w:tcPr>
          <w:p w14:paraId="1666B52A" w14:textId="26F5086A" w:rsidR="00FA2345" w:rsidRPr="00610088" w:rsidRDefault="00FA2345" w:rsidP="008E053E">
            <w:pPr>
              <w:pStyle w:val="NoSpacing"/>
              <w:rPr>
                <w:sz w:val="18"/>
                <w:szCs w:val="18"/>
                <w:lang w:val="en-GB"/>
              </w:rPr>
            </w:pPr>
            <w:r w:rsidRPr="00610088">
              <w:rPr>
                <w:sz w:val="18"/>
                <w:szCs w:val="18"/>
                <w:lang w:val="en-GB"/>
              </w:rPr>
              <w:t> TBD</w:t>
            </w:r>
          </w:p>
        </w:tc>
        <w:tc>
          <w:tcPr>
            <w:tcW w:w="850" w:type="dxa"/>
            <w:shd w:val="clear" w:color="000000" w:fill="BFBFBF"/>
            <w:noWrap/>
            <w:hideMark/>
          </w:tcPr>
          <w:p w14:paraId="7D40BDB5" w14:textId="77777777" w:rsidR="00FA2345" w:rsidRPr="00610088" w:rsidRDefault="00FA2345" w:rsidP="008E053E">
            <w:pPr>
              <w:pStyle w:val="NoSpacing"/>
              <w:rPr>
                <w:sz w:val="18"/>
                <w:szCs w:val="18"/>
                <w:lang w:val="en-GB"/>
              </w:rPr>
            </w:pPr>
            <w:r w:rsidRPr="00610088">
              <w:rPr>
                <w:sz w:val="18"/>
                <w:szCs w:val="18"/>
                <w:lang w:val="en-GB"/>
              </w:rPr>
              <w:t> </w:t>
            </w:r>
          </w:p>
        </w:tc>
        <w:tc>
          <w:tcPr>
            <w:tcW w:w="851" w:type="dxa"/>
            <w:shd w:val="clear" w:color="000000" w:fill="BFBFBF"/>
            <w:noWrap/>
            <w:hideMark/>
          </w:tcPr>
          <w:p w14:paraId="37BAC476" w14:textId="77777777" w:rsidR="00FA2345" w:rsidRPr="00610088" w:rsidRDefault="00FA2345" w:rsidP="008E053E">
            <w:pPr>
              <w:pStyle w:val="NoSpacing"/>
              <w:rPr>
                <w:sz w:val="18"/>
                <w:szCs w:val="18"/>
                <w:lang w:val="en-GB"/>
              </w:rPr>
            </w:pPr>
            <w:r w:rsidRPr="00610088">
              <w:rPr>
                <w:sz w:val="18"/>
                <w:szCs w:val="18"/>
                <w:lang w:val="en-GB"/>
              </w:rPr>
              <w:t> </w:t>
            </w:r>
          </w:p>
        </w:tc>
        <w:tc>
          <w:tcPr>
            <w:tcW w:w="850" w:type="dxa"/>
            <w:shd w:val="clear" w:color="000000" w:fill="BFBFBF"/>
            <w:noWrap/>
            <w:hideMark/>
          </w:tcPr>
          <w:p w14:paraId="130FB883" w14:textId="77777777" w:rsidR="00FA2345" w:rsidRPr="00610088" w:rsidRDefault="00FA2345" w:rsidP="008E053E">
            <w:pPr>
              <w:pStyle w:val="NoSpacing"/>
              <w:rPr>
                <w:sz w:val="18"/>
                <w:szCs w:val="18"/>
                <w:lang w:val="en-GB"/>
              </w:rPr>
            </w:pPr>
            <w:r w:rsidRPr="00610088">
              <w:rPr>
                <w:sz w:val="18"/>
                <w:szCs w:val="18"/>
                <w:lang w:val="en-GB"/>
              </w:rPr>
              <w:t> </w:t>
            </w:r>
          </w:p>
        </w:tc>
        <w:tc>
          <w:tcPr>
            <w:tcW w:w="772" w:type="dxa"/>
            <w:shd w:val="clear" w:color="auto" w:fill="auto"/>
            <w:noWrap/>
            <w:hideMark/>
          </w:tcPr>
          <w:p w14:paraId="5D2644AB" w14:textId="1632E9E0" w:rsidR="00FA2345" w:rsidRPr="00610088" w:rsidRDefault="00FA2345" w:rsidP="008E053E">
            <w:pPr>
              <w:pStyle w:val="NoSpacing"/>
              <w:rPr>
                <w:sz w:val="18"/>
                <w:szCs w:val="18"/>
                <w:lang w:val="en-GB"/>
              </w:rPr>
            </w:pPr>
            <w:r w:rsidRPr="00610088">
              <w:rPr>
                <w:sz w:val="18"/>
                <w:szCs w:val="18"/>
                <w:lang w:val="en-GB"/>
              </w:rPr>
              <w:t>TBD</w:t>
            </w:r>
          </w:p>
        </w:tc>
      </w:tr>
      <w:tr w:rsidR="00051AE5" w:rsidRPr="00610088" w14:paraId="585F968A" w14:textId="77777777" w:rsidTr="00FC5D9B">
        <w:trPr>
          <w:trHeight w:val="227"/>
        </w:trPr>
        <w:tc>
          <w:tcPr>
            <w:tcW w:w="1555" w:type="dxa"/>
            <w:vMerge/>
            <w:vAlign w:val="center"/>
            <w:hideMark/>
          </w:tcPr>
          <w:p w14:paraId="4D66C7C8" w14:textId="77777777" w:rsidR="00051AE5" w:rsidRPr="00610088" w:rsidRDefault="00051AE5" w:rsidP="00051AE5">
            <w:pPr>
              <w:pStyle w:val="NoSpacing"/>
              <w:rPr>
                <w:b/>
                <w:bCs/>
                <w:sz w:val="18"/>
                <w:szCs w:val="18"/>
                <w:lang w:val="en-GB"/>
              </w:rPr>
            </w:pPr>
          </w:p>
        </w:tc>
        <w:tc>
          <w:tcPr>
            <w:tcW w:w="3118" w:type="dxa"/>
            <w:shd w:val="clear" w:color="auto" w:fill="auto"/>
            <w:hideMark/>
          </w:tcPr>
          <w:p w14:paraId="3374023D" w14:textId="77777777" w:rsidR="00051AE5" w:rsidRPr="00610088" w:rsidRDefault="00051AE5" w:rsidP="00051AE5">
            <w:pPr>
              <w:pStyle w:val="NoSpacing"/>
              <w:rPr>
                <w:sz w:val="18"/>
                <w:szCs w:val="18"/>
                <w:lang w:val="en-GB"/>
              </w:rPr>
            </w:pPr>
            <w:r w:rsidRPr="00610088">
              <w:rPr>
                <w:sz w:val="18"/>
                <w:szCs w:val="18"/>
                <w:lang w:val="en-GB"/>
              </w:rPr>
              <w:t>4.8 Access to palliative care assessed by oral morphine-equivalent consumption of strong opioid analgesics (excluding methadone) per terminal diagnosis as identified by appropriately trained health care professionals.</w:t>
            </w:r>
          </w:p>
          <w:p w14:paraId="7B0B14CD" w14:textId="4C1C59E6" w:rsidR="00051AE5" w:rsidRPr="00610088" w:rsidRDefault="00051AE5" w:rsidP="00051AE5">
            <w:pPr>
              <w:pStyle w:val="NoSpacing"/>
              <w:rPr>
                <w:sz w:val="18"/>
                <w:szCs w:val="18"/>
                <w:lang w:val="en-GB"/>
              </w:rPr>
            </w:pPr>
          </w:p>
        </w:tc>
        <w:tc>
          <w:tcPr>
            <w:tcW w:w="2976" w:type="dxa"/>
            <w:shd w:val="clear" w:color="auto" w:fill="auto"/>
            <w:hideMark/>
          </w:tcPr>
          <w:p w14:paraId="2B2E7D6C" w14:textId="0119265D" w:rsidR="00051AE5" w:rsidRPr="00610088" w:rsidRDefault="00051AE5" w:rsidP="00051AE5">
            <w:pPr>
              <w:pStyle w:val="NoSpacing"/>
              <w:rPr>
                <w:sz w:val="18"/>
                <w:szCs w:val="18"/>
                <w:lang w:val="en-GB"/>
              </w:rPr>
            </w:pPr>
            <w:r w:rsidRPr="00610088">
              <w:rPr>
                <w:sz w:val="18"/>
                <w:szCs w:val="18"/>
                <w:lang w:val="en-GB"/>
              </w:rPr>
              <w:t>Consumption of opioids (predominantly morphine) from International Narcotics Control Board</w:t>
            </w:r>
            <w:r w:rsidR="00CF1229" w:rsidRPr="00610088">
              <w:rPr>
                <w:sz w:val="18"/>
                <w:szCs w:val="18"/>
                <w:lang w:val="en-GB"/>
              </w:rPr>
              <w:t xml:space="preserve"> (INCB)</w:t>
            </w:r>
            <w:r w:rsidRPr="00610088">
              <w:rPr>
                <w:sz w:val="18"/>
                <w:szCs w:val="18"/>
                <w:lang w:val="en-GB"/>
              </w:rPr>
              <w:t xml:space="preserve"> annual reports for narcotics consumption. Terminal illness from vital registration systems which record cancer and other terminal diseases with sufficient completeness to allow estimation. </w:t>
            </w:r>
          </w:p>
        </w:tc>
        <w:tc>
          <w:tcPr>
            <w:tcW w:w="850" w:type="dxa"/>
            <w:shd w:val="clear" w:color="auto" w:fill="auto"/>
            <w:noWrap/>
            <w:hideMark/>
          </w:tcPr>
          <w:p w14:paraId="318E6F61"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5E21AA38" w14:textId="77777777" w:rsidR="00051AE5" w:rsidRPr="00610088" w:rsidRDefault="00051AE5" w:rsidP="00051AE5">
            <w:pPr>
              <w:pStyle w:val="NoSpacing"/>
              <w:rPr>
                <w:color w:val="FF0000"/>
                <w:sz w:val="18"/>
                <w:szCs w:val="18"/>
                <w:lang w:val="en-GB"/>
              </w:rPr>
            </w:pPr>
          </w:p>
          <w:p w14:paraId="6B040923" w14:textId="77777777" w:rsidR="00051AE5" w:rsidRPr="00610088" w:rsidRDefault="00051AE5" w:rsidP="00051AE5">
            <w:pPr>
              <w:pStyle w:val="NoSpacing"/>
              <w:rPr>
                <w:color w:val="000000" w:themeColor="text1"/>
                <w:sz w:val="18"/>
                <w:szCs w:val="18"/>
                <w:lang w:val="en-GB"/>
              </w:rPr>
            </w:pPr>
            <w:r w:rsidRPr="00610088">
              <w:rPr>
                <w:color w:val="000000" w:themeColor="text1"/>
                <w:sz w:val="18"/>
                <w:szCs w:val="18"/>
                <w:lang w:val="en-GB"/>
              </w:rPr>
              <w:t xml:space="preserve">For now, not able to calculate, but kept for future. </w:t>
            </w:r>
          </w:p>
          <w:p w14:paraId="114F77E2" w14:textId="77777777" w:rsidR="00051AE5" w:rsidRPr="00610088" w:rsidRDefault="00051AE5" w:rsidP="00051AE5">
            <w:pPr>
              <w:pStyle w:val="NoSpacing"/>
              <w:rPr>
                <w:i/>
                <w:iCs/>
                <w:sz w:val="18"/>
                <w:szCs w:val="18"/>
                <w:lang w:val="en-GB"/>
              </w:rPr>
            </w:pPr>
          </w:p>
          <w:p w14:paraId="4053993B" w14:textId="18690E1F" w:rsidR="00051AE5" w:rsidRPr="00610088" w:rsidRDefault="00051AE5" w:rsidP="00051AE5">
            <w:pPr>
              <w:pStyle w:val="NoSpacing"/>
              <w:rPr>
                <w:i/>
                <w:iCs/>
                <w:sz w:val="18"/>
                <w:szCs w:val="18"/>
                <w:lang w:val="en-GB"/>
              </w:rPr>
            </w:pPr>
            <w:r w:rsidRPr="00610088">
              <w:rPr>
                <w:i/>
                <w:iCs/>
                <w:sz w:val="18"/>
                <w:szCs w:val="18"/>
                <w:lang w:val="en-GB"/>
              </w:rPr>
              <w:t xml:space="preserve">NB: current usage considered not true reflection of need based upon lack of accessibility </w:t>
            </w:r>
          </w:p>
        </w:tc>
        <w:tc>
          <w:tcPr>
            <w:tcW w:w="850" w:type="dxa"/>
            <w:shd w:val="clear" w:color="auto" w:fill="auto"/>
            <w:noWrap/>
            <w:hideMark/>
          </w:tcPr>
          <w:p w14:paraId="622A40BA" w14:textId="2F00F6F9" w:rsidR="00051AE5" w:rsidRPr="00610088" w:rsidRDefault="00051AE5" w:rsidP="00051AE5">
            <w:pPr>
              <w:pStyle w:val="NoSpacing"/>
              <w:rPr>
                <w:sz w:val="18"/>
                <w:szCs w:val="18"/>
                <w:lang w:val="en-GB"/>
              </w:rPr>
            </w:pPr>
          </w:p>
        </w:tc>
        <w:tc>
          <w:tcPr>
            <w:tcW w:w="851" w:type="dxa"/>
            <w:shd w:val="clear" w:color="auto" w:fill="auto"/>
            <w:noWrap/>
            <w:hideMark/>
          </w:tcPr>
          <w:p w14:paraId="0A0206AD" w14:textId="4D7AF82A" w:rsidR="00051AE5" w:rsidRPr="00610088" w:rsidRDefault="00051AE5" w:rsidP="00051AE5">
            <w:pPr>
              <w:pStyle w:val="NoSpacing"/>
              <w:rPr>
                <w:sz w:val="18"/>
                <w:szCs w:val="18"/>
                <w:lang w:val="en-GB"/>
              </w:rPr>
            </w:pPr>
          </w:p>
        </w:tc>
        <w:tc>
          <w:tcPr>
            <w:tcW w:w="850" w:type="dxa"/>
            <w:shd w:val="clear" w:color="auto" w:fill="auto"/>
            <w:noWrap/>
            <w:hideMark/>
          </w:tcPr>
          <w:p w14:paraId="0AC6CBEE" w14:textId="0C683B21" w:rsidR="00051AE5" w:rsidRPr="00610088" w:rsidRDefault="00051AE5" w:rsidP="00051AE5">
            <w:pPr>
              <w:pStyle w:val="NoSpacing"/>
              <w:rPr>
                <w:sz w:val="18"/>
                <w:szCs w:val="18"/>
                <w:lang w:val="en-GB"/>
              </w:rPr>
            </w:pPr>
          </w:p>
        </w:tc>
        <w:tc>
          <w:tcPr>
            <w:tcW w:w="772" w:type="dxa"/>
            <w:shd w:val="clear" w:color="auto" w:fill="auto"/>
            <w:noWrap/>
            <w:hideMark/>
          </w:tcPr>
          <w:p w14:paraId="078A1BF7" w14:textId="77777777" w:rsidR="00051AE5" w:rsidRPr="00610088" w:rsidRDefault="00051AE5" w:rsidP="00051AE5">
            <w:pPr>
              <w:pStyle w:val="NoSpacing"/>
              <w:rPr>
                <w:sz w:val="18"/>
                <w:szCs w:val="18"/>
                <w:lang w:val="en-GB"/>
              </w:rPr>
            </w:pPr>
            <w:r w:rsidRPr="00610088">
              <w:rPr>
                <w:sz w:val="18"/>
                <w:szCs w:val="18"/>
                <w:lang w:val="en-GB"/>
              </w:rPr>
              <w:t> </w:t>
            </w:r>
          </w:p>
        </w:tc>
      </w:tr>
      <w:tr w:rsidR="00051AE5" w:rsidRPr="00610088" w14:paraId="6763972C" w14:textId="77777777" w:rsidTr="00FC5D9B">
        <w:trPr>
          <w:trHeight w:val="227"/>
        </w:trPr>
        <w:tc>
          <w:tcPr>
            <w:tcW w:w="1555" w:type="dxa"/>
            <w:vMerge/>
            <w:vAlign w:val="center"/>
            <w:hideMark/>
          </w:tcPr>
          <w:p w14:paraId="661F14BB" w14:textId="77777777" w:rsidR="00051AE5" w:rsidRPr="00610088" w:rsidRDefault="00051AE5" w:rsidP="00051AE5">
            <w:pPr>
              <w:pStyle w:val="NoSpacing"/>
              <w:rPr>
                <w:b/>
                <w:bCs/>
                <w:sz w:val="18"/>
                <w:szCs w:val="18"/>
                <w:lang w:val="en-GB"/>
              </w:rPr>
            </w:pPr>
          </w:p>
        </w:tc>
        <w:tc>
          <w:tcPr>
            <w:tcW w:w="3118" w:type="dxa"/>
            <w:shd w:val="clear" w:color="auto" w:fill="auto"/>
            <w:hideMark/>
          </w:tcPr>
          <w:p w14:paraId="516B39A7" w14:textId="22E97226" w:rsidR="00051AE5" w:rsidRPr="00610088" w:rsidRDefault="00051AE5" w:rsidP="00051AE5">
            <w:pPr>
              <w:pStyle w:val="NoSpacing"/>
              <w:rPr>
                <w:sz w:val="18"/>
                <w:szCs w:val="18"/>
                <w:lang w:val="en-GB"/>
              </w:rPr>
            </w:pPr>
            <w:r w:rsidRPr="00610088">
              <w:rPr>
                <w:sz w:val="18"/>
                <w:szCs w:val="18"/>
                <w:lang w:val="en-GB"/>
              </w:rPr>
              <w:t>4.9 Availability of vaccines against human papillomavirus</w:t>
            </w:r>
          </w:p>
        </w:tc>
        <w:tc>
          <w:tcPr>
            <w:tcW w:w="2976" w:type="dxa"/>
            <w:shd w:val="clear" w:color="auto" w:fill="auto"/>
            <w:hideMark/>
          </w:tcPr>
          <w:p w14:paraId="33679969" w14:textId="77777777" w:rsidR="00051AE5" w:rsidRPr="00610088" w:rsidRDefault="00051AE5" w:rsidP="00051AE5">
            <w:pPr>
              <w:pStyle w:val="NoSpacing"/>
              <w:rPr>
                <w:sz w:val="18"/>
                <w:szCs w:val="18"/>
                <w:lang w:val="en-GB"/>
              </w:rPr>
            </w:pPr>
            <w:r w:rsidRPr="00610088">
              <w:rPr>
                <w:sz w:val="18"/>
                <w:szCs w:val="18"/>
                <w:lang w:val="en-GB"/>
              </w:rPr>
              <w:t>WHO-UNICEF Joint Reporting Form (JRF), DHIS 2.0 in future</w:t>
            </w:r>
          </w:p>
        </w:tc>
        <w:tc>
          <w:tcPr>
            <w:tcW w:w="850" w:type="dxa"/>
            <w:shd w:val="clear" w:color="auto" w:fill="auto"/>
            <w:noWrap/>
            <w:hideMark/>
          </w:tcPr>
          <w:p w14:paraId="287519AD"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noWrap/>
            <w:hideMark/>
          </w:tcPr>
          <w:p w14:paraId="2F66D518" w14:textId="2A993609" w:rsidR="00051AE5" w:rsidRPr="00610088" w:rsidRDefault="00051AE5" w:rsidP="00051AE5">
            <w:pPr>
              <w:pStyle w:val="NoSpacing"/>
              <w:rPr>
                <w:sz w:val="18"/>
                <w:szCs w:val="18"/>
                <w:lang w:val="en-GB"/>
              </w:rPr>
            </w:pPr>
            <w:r w:rsidRPr="00610088">
              <w:rPr>
                <w:sz w:val="18"/>
                <w:szCs w:val="18"/>
                <w:lang w:val="en-GB"/>
              </w:rPr>
              <w:t> TBD</w:t>
            </w:r>
          </w:p>
        </w:tc>
        <w:tc>
          <w:tcPr>
            <w:tcW w:w="850" w:type="dxa"/>
            <w:shd w:val="clear" w:color="auto" w:fill="auto"/>
            <w:noWrap/>
            <w:hideMark/>
          </w:tcPr>
          <w:p w14:paraId="1709CBFE" w14:textId="18A94220" w:rsidR="00051AE5" w:rsidRPr="00610088" w:rsidRDefault="00051AE5" w:rsidP="00051AE5">
            <w:pPr>
              <w:pStyle w:val="NoSpacing"/>
              <w:rPr>
                <w:sz w:val="18"/>
                <w:szCs w:val="18"/>
                <w:lang w:val="en-GB"/>
              </w:rPr>
            </w:pPr>
            <w:r w:rsidRPr="00610088">
              <w:rPr>
                <w:sz w:val="18"/>
                <w:szCs w:val="18"/>
                <w:lang w:val="en-GB"/>
              </w:rPr>
              <w:t>TBD</w:t>
            </w:r>
          </w:p>
        </w:tc>
        <w:tc>
          <w:tcPr>
            <w:tcW w:w="851" w:type="dxa"/>
            <w:shd w:val="clear" w:color="auto" w:fill="auto"/>
            <w:noWrap/>
            <w:hideMark/>
          </w:tcPr>
          <w:p w14:paraId="6DE393AE" w14:textId="776C9F77" w:rsidR="00051AE5" w:rsidRPr="00610088" w:rsidRDefault="00051AE5" w:rsidP="00051AE5">
            <w:pPr>
              <w:pStyle w:val="NoSpacing"/>
              <w:rPr>
                <w:sz w:val="18"/>
                <w:szCs w:val="18"/>
                <w:lang w:val="en-GB"/>
              </w:rPr>
            </w:pPr>
            <w:r w:rsidRPr="00610088">
              <w:rPr>
                <w:sz w:val="18"/>
                <w:szCs w:val="18"/>
                <w:lang w:val="en-GB"/>
              </w:rPr>
              <w:t>TBD</w:t>
            </w:r>
          </w:p>
        </w:tc>
        <w:tc>
          <w:tcPr>
            <w:tcW w:w="850" w:type="dxa"/>
            <w:shd w:val="clear" w:color="auto" w:fill="auto"/>
            <w:noWrap/>
            <w:hideMark/>
          </w:tcPr>
          <w:p w14:paraId="4EA57432" w14:textId="238D40F3" w:rsidR="00051AE5" w:rsidRPr="00610088" w:rsidRDefault="00051AE5" w:rsidP="00051AE5">
            <w:pPr>
              <w:pStyle w:val="NoSpacing"/>
              <w:rPr>
                <w:sz w:val="18"/>
                <w:szCs w:val="18"/>
                <w:lang w:val="en-GB"/>
              </w:rPr>
            </w:pPr>
            <w:r w:rsidRPr="00610088">
              <w:rPr>
                <w:sz w:val="18"/>
                <w:szCs w:val="18"/>
                <w:lang w:val="en-GB"/>
              </w:rPr>
              <w:t>TBD</w:t>
            </w:r>
          </w:p>
        </w:tc>
        <w:tc>
          <w:tcPr>
            <w:tcW w:w="772" w:type="dxa"/>
            <w:shd w:val="clear" w:color="auto" w:fill="auto"/>
            <w:noWrap/>
            <w:hideMark/>
          </w:tcPr>
          <w:p w14:paraId="3C6770EA" w14:textId="4288E826" w:rsidR="00051AE5" w:rsidRPr="00610088" w:rsidRDefault="00051AE5" w:rsidP="00051AE5">
            <w:pPr>
              <w:pStyle w:val="NoSpacing"/>
              <w:rPr>
                <w:sz w:val="18"/>
                <w:szCs w:val="18"/>
                <w:lang w:val="en-GB"/>
              </w:rPr>
            </w:pPr>
            <w:r w:rsidRPr="00610088">
              <w:rPr>
                <w:sz w:val="18"/>
                <w:szCs w:val="18"/>
                <w:lang w:val="en-GB"/>
              </w:rPr>
              <w:t>TBD</w:t>
            </w:r>
          </w:p>
        </w:tc>
      </w:tr>
      <w:tr w:rsidR="00051AE5" w:rsidRPr="00610088" w14:paraId="7D012E81" w14:textId="77777777" w:rsidTr="00FC5D9B">
        <w:trPr>
          <w:trHeight w:val="227"/>
        </w:trPr>
        <w:tc>
          <w:tcPr>
            <w:tcW w:w="1555" w:type="dxa"/>
            <w:vMerge/>
            <w:vAlign w:val="center"/>
            <w:hideMark/>
          </w:tcPr>
          <w:p w14:paraId="72AB6ED7" w14:textId="77777777" w:rsidR="00051AE5" w:rsidRPr="00610088" w:rsidRDefault="00051AE5" w:rsidP="00051AE5">
            <w:pPr>
              <w:pStyle w:val="NoSpacing"/>
              <w:rPr>
                <w:b/>
                <w:bCs/>
                <w:sz w:val="18"/>
                <w:szCs w:val="18"/>
                <w:lang w:val="en-GB"/>
              </w:rPr>
            </w:pPr>
          </w:p>
        </w:tc>
        <w:tc>
          <w:tcPr>
            <w:tcW w:w="3118" w:type="dxa"/>
            <w:shd w:val="clear" w:color="auto" w:fill="auto"/>
            <w:hideMark/>
          </w:tcPr>
          <w:p w14:paraId="35C8119C" w14:textId="4DF19E50" w:rsidR="00051AE5" w:rsidRPr="00610088" w:rsidRDefault="00051AE5" w:rsidP="00051AE5">
            <w:pPr>
              <w:pStyle w:val="NoSpacing"/>
              <w:rPr>
                <w:sz w:val="18"/>
                <w:szCs w:val="18"/>
                <w:lang w:val="en-GB"/>
              </w:rPr>
            </w:pPr>
            <w:r w:rsidRPr="00610088">
              <w:rPr>
                <w:sz w:val="18"/>
                <w:szCs w:val="18"/>
                <w:lang w:val="en-GB"/>
              </w:rPr>
              <w:t>4.10 Vaccination coverage against hepatitis B virus monitored by number of third doses of Hep-B vaccine (HepB3) administered to infants</w:t>
            </w:r>
          </w:p>
        </w:tc>
        <w:tc>
          <w:tcPr>
            <w:tcW w:w="2976" w:type="dxa"/>
            <w:shd w:val="clear" w:color="auto" w:fill="auto"/>
            <w:hideMark/>
          </w:tcPr>
          <w:p w14:paraId="76C9CFC6" w14:textId="7DFD4E12" w:rsidR="00051AE5" w:rsidRPr="00610088" w:rsidRDefault="00051AE5" w:rsidP="00051AE5">
            <w:pPr>
              <w:pStyle w:val="NoSpacing"/>
              <w:rPr>
                <w:sz w:val="18"/>
                <w:szCs w:val="18"/>
                <w:lang w:val="en-GB"/>
              </w:rPr>
            </w:pPr>
            <w:r w:rsidRPr="00610088">
              <w:rPr>
                <w:sz w:val="18"/>
                <w:szCs w:val="18"/>
                <w:lang w:val="en-GB"/>
              </w:rPr>
              <w:t>Surveys (DHS, MICS)</w:t>
            </w:r>
          </w:p>
        </w:tc>
        <w:tc>
          <w:tcPr>
            <w:tcW w:w="850" w:type="dxa"/>
            <w:shd w:val="clear" w:color="auto" w:fill="auto"/>
            <w:hideMark/>
          </w:tcPr>
          <w:p w14:paraId="3734DD7C" w14:textId="5D653944" w:rsidR="00051AE5" w:rsidRPr="00610088" w:rsidRDefault="00051AE5" w:rsidP="00051AE5">
            <w:pPr>
              <w:pStyle w:val="NoSpacing"/>
              <w:rPr>
                <w:sz w:val="18"/>
                <w:szCs w:val="18"/>
                <w:lang w:val="en-GB"/>
              </w:rPr>
            </w:pPr>
            <w:r w:rsidRPr="00610088">
              <w:rPr>
                <w:sz w:val="18"/>
                <w:szCs w:val="18"/>
                <w:lang w:val="en-GB"/>
              </w:rPr>
              <w:t>every 2-3 years</w:t>
            </w:r>
          </w:p>
        </w:tc>
        <w:tc>
          <w:tcPr>
            <w:tcW w:w="2551" w:type="dxa"/>
            <w:shd w:val="clear" w:color="auto" w:fill="auto"/>
            <w:hideMark/>
          </w:tcPr>
          <w:p w14:paraId="0221AFF3" w14:textId="55ADF347" w:rsidR="00051AE5" w:rsidRPr="00610088" w:rsidRDefault="00051AE5" w:rsidP="00051AE5">
            <w:pPr>
              <w:pStyle w:val="NoSpacing"/>
              <w:rPr>
                <w:sz w:val="18"/>
                <w:szCs w:val="18"/>
                <w:lang w:val="en-GB"/>
              </w:rPr>
            </w:pPr>
            <w:r w:rsidRPr="00610088">
              <w:rPr>
                <w:sz w:val="18"/>
                <w:szCs w:val="18"/>
                <w:lang w:val="en-GB"/>
              </w:rPr>
              <w:t>84.9% (MICS 2017)</w:t>
            </w:r>
          </w:p>
        </w:tc>
        <w:tc>
          <w:tcPr>
            <w:tcW w:w="850" w:type="dxa"/>
            <w:shd w:val="clear" w:color="auto" w:fill="auto"/>
            <w:noWrap/>
            <w:hideMark/>
          </w:tcPr>
          <w:p w14:paraId="50B4AC1C" w14:textId="77777777" w:rsidR="00051AE5" w:rsidRPr="00610088" w:rsidRDefault="00051AE5" w:rsidP="00051AE5">
            <w:pPr>
              <w:pStyle w:val="NoSpacing"/>
              <w:rPr>
                <w:sz w:val="18"/>
                <w:szCs w:val="18"/>
                <w:lang w:val="en-GB"/>
              </w:rPr>
            </w:pPr>
            <w:r w:rsidRPr="00610088">
              <w:rPr>
                <w:sz w:val="18"/>
                <w:szCs w:val="18"/>
                <w:lang w:val="en-GB"/>
              </w:rPr>
              <w:t> TBD</w:t>
            </w:r>
          </w:p>
          <w:p w14:paraId="61679ED8" w14:textId="41E6DA1B" w:rsidR="00051AE5" w:rsidRPr="00610088" w:rsidRDefault="00051AE5" w:rsidP="00051AE5">
            <w:pPr>
              <w:pStyle w:val="NoSpacing"/>
              <w:rPr>
                <w:sz w:val="18"/>
                <w:szCs w:val="18"/>
                <w:lang w:val="en-GB"/>
              </w:rPr>
            </w:pPr>
          </w:p>
        </w:tc>
        <w:tc>
          <w:tcPr>
            <w:tcW w:w="851" w:type="dxa"/>
            <w:shd w:val="clear" w:color="auto" w:fill="auto"/>
            <w:noWrap/>
            <w:hideMark/>
          </w:tcPr>
          <w:p w14:paraId="5F45ACB2" w14:textId="3F830DF2" w:rsidR="00051AE5" w:rsidRPr="00610088" w:rsidRDefault="00051AE5" w:rsidP="00051AE5">
            <w:pPr>
              <w:pStyle w:val="NoSpacing"/>
              <w:rPr>
                <w:sz w:val="18"/>
                <w:szCs w:val="18"/>
                <w:lang w:val="en-GB"/>
              </w:rPr>
            </w:pPr>
            <w:r w:rsidRPr="00610088">
              <w:rPr>
                <w:sz w:val="18"/>
                <w:szCs w:val="18"/>
                <w:lang w:val="en-GB"/>
              </w:rPr>
              <w:t>TBD</w:t>
            </w:r>
          </w:p>
        </w:tc>
        <w:tc>
          <w:tcPr>
            <w:tcW w:w="850" w:type="dxa"/>
            <w:shd w:val="clear" w:color="auto" w:fill="auto"/>
            <w:noWrap/>
            <w:hideMark/>
          </w:tcPr>
          <w:p w14:paraId="0EFF0C8C" w14:textId="5AD9031F" w:rsidR="00051AE5" w:rsidRPr="00610088" w:rsidRDefault="00051AE5" w:rsidP="00051AE5">
            <w:pPr>
              <w:pStyle w:val="NoSpacing"/>
              <w:rPr>
                <w:sz w:val="18"/>
                <w:szCs w:val="18"/>
                <w:lang w:val="en-GB"/>
              </w:rPr>
            </w:pPr>
            <w:r w:rsidRPr="00610088">
              <w:rPr>
                <w:sz w:val="18"/>
                <w:szCs w:val="18"/>
                <w:lang w:val="en-GB"/>
              </w:rPr>
              <w:t>TBD</w:t>
            </w:r>
          </w:p>
        </w:tc>
        <w:tc>
          <w:tcPr>
            <w:tcW w:w="772" w:type="dxa"/>
            <w:shd w:val="clear" w:color="auto" w:fill="auto"/>
            <w:noWrap/>
            <w:hideMark/>
          </w:tcPr>
          <w:p w14:paraId="69910F34" w14:textId="331F2F91" w:rsidR="00051AE5" w:rsidRPr="00610088" w:rsidRDefault="00051AE5" w:rsidP="00051AE5">
            <w:pPr>
              <w:pStyle w:val="NoSpacing"/>
              <w:rPr>
                <w:sz w:val="18"/>
                <w:szCs w:val="18"/>
                <w:lang w:val="en-GB"/>
              </w:rPr>
            </w:pPr>
            <w:r w:rsidRPr="00610088">
              <w:rPr>
                <w:sz w:val="18"/>
                <w:szCs w:val="18"/>
                <w:lang w:val="en-GB"/>
              </w:rPr>
              <w:t>TBD</w:t>
            </w:r>
          </w:p>
        </w:tc>
      </w:tr>
      <w:tr w:rsidR="00051AE5" w:rsidRPr="00610088" w14:paraId="79ED5EBB" w14:textId="77777777" w:rsidTr="00FC5D9B">
        <w:trPr>
          <w:trHeight w:val="227"/>
        </w:trPr>
        <w:tc>
          <w:tcPr>
            <w:tcW w:w="1555" w:type="dxa"/>
            <w:vMerge/>
            <w:vAlign w:val="center"/>
            <w:hideMark/>
          </w:tcPr>
          <w:p w14:paraId="31620B4B" w14:textId="77777777" w:rsidR="00051AE5" w:rsidRPr="00610088" w:rsidRDefault="00051AE5" w:rsidP="00051AE5">
            <w:pPr>
              <w:pStyle w:val="NoSpacing"/>
              <w:rPr>
                <w:b/>
                <w:bCs/>
                <w:sz w:val="18"/>
                <w:szCs w:val="18"/>
                <w:lang w:val="en-GB"/>
              </w:rPr>
            </w:pPr>
          </w:p>
        </w:tc>
        <w:tc>
          <w:tcPr>
            <w:tcW w:w="3118" w:type="dxa"/>
            <w:shd w:val="clear" w:color="auto" w:fill="auto"/>
            <w:hideMark/>
          </w:tcPr>
          <w:p w14:paraId="1957FC9D" w14:textId="614305A3" w:rsidR="00051AE5" w:rsidRPr="00610088" w:rsidRDefault="00051AE5" w:rsidP="00051AE5">
            <w:pPr>
              <w:pStyle w:val="NoSpacing"/>
              <w:rPr>
                <w:sz w:val="18"/>
                <w:szCs w:val="18"/>
                <w:lang w:val="en-GB"/>
              </w:rPr>
            </w:pPr>
            <w:r w:rsidRPr="00610088">
              <w:rPr>
                <w:sz w:val="18"/>
                <w:szCs w:val="18"/>
                <w:lang w:val="en-GB"/>
              </w:rPr>
              <w:t>4.11 Proportion of women between the ages of 30–49 screened for cervical cancer at least once in the last 5 years</w:t>
            </w:r>
          </w:p>
        </w:tc>
        <w:tc>
          <w:tcPr>
            <w:tcW w:w="2976" w:type="dxa"/>
            <w:shd w:val="clear" w:color="auto" w:fill="auto"/>
            <w:hideMark/>
          </w:tcPr>
          <w:p w14:paraId="37317F53" w14:textId="77777777" w:rsidR="00051AE5" w:rsidRPr="00610088" w:rsidRDefault="00051AE5" w:rsidP="00051AE5">
            <w:pPr>
              <w:pStyle w:val="NoSpacing"/>
              <w:rPr>
                <w:sz w:val="18"/>
                <w:szCs w:val="18"/>
                <w:lang w:val="en-GB"/>
              </w:rPr>
            </w:pPr>
            <w:r w:rsidRPr="00610088">
              <w:rPr>
                <w:sz w:val="18"/>
                <w:szCs w:val="18"/>
                <w:lang w:val="en-GB"/>
              </w:rPr>
              <w:t>Population-based (preferably nationally representative) survey</w:t>
            </w:r>
          </w:p>
        </w:tc>
        <w:tc>
          <w:tcPr>
            <w:tcW w:w="850" w:type="dxa"/>
            <w:shd w:val="clear" w:color="auto" w:fill="auto"/>
            <w:hideMark/>
          </w:tcPr>
          <w:p w14:paraId="00EE5518" w14:textId="77777777" w:rsidR="00051AE5" w:rsidRPr="00610088" w:rsidRDefault="00051AE5" w:rsidP="00051AE5">
            <w:pPr>
              <w:pStyle w:val="NoSpacing"/>
              <w:rPr>
                <w:sz w:val="18"/>
                <w:szCs w:val="18"/>
                <w:lang w:val="en-GB"/>
              </w:rPr>
            </w:pPr>
            <w:r w:rsidRPr="00610088">
              <w:rPr>
                <w:sz w:val="18"/>
                <w:szCs w:val="18"/>
                <w:lang w:val="en-GB"/>
              </w:rPr>
              <w:t>At least every 5 years</w:t>
            </w:r>
          </w:p>
        </w:tc>
        <w:tc>
          <w:tcPr>
            <w:tcW w:w="2551" w:type="dxa"/>
            <w:shd w:val="clear" w:color="auto" w:fill="auto"/>
            <w:hideMark/>
          </w:tcPr>
          <w:p w14:paraId="52432733" w14:textId="3E06810F" w:rsidR="00051AE5" w:rsidRPr="00610088" w:rsidRDefault="00051AE5" w:rsidP="00051AE5">
            <w:pPr>
              <w:pStyle w:val="NoSpacing"/>
              <w:rPr>
                <w:sz w:val="18"/>
                <w:szCs w:val="18"/>
                <w:lang w:val="en-GB"/>
              </w:rPr>
            </w:pPr>
            <w:r w:rsidRPr="00610088">
              <w:rPr>
                <w:color w:val="000000" w:themeColor="text1"/>
                <w:sz w:val="18"/>
                <w:szCs w:val="18"/>
                <w:lang w:val="en-GB"/>
              </w:rPr>
              <w:t>TBD</w:t>
            </w:r>
          </w:p>
        </w:tc>
        <w:tc>
          <w:tcPr>
            <w:tcW w:w="850" w:type="dxa"/>
            <w:shd w:val="clear" w:color="000000" w:fill="BFBFBF"/>
            <w:noWrap/>
            <w:hideMark/>
          </w:tcPr>
          <w:p w14:paraId="7543B32E" w14:textId="77777777" w:rsidR="00051AE5" w:rsidRPr="00610088" w:rsidRDefault="00051AE5" w:rsidP="00051AE5">
            <w:pPr>
              <w:pStyle w:val="NoSpacing"/>
              <w:rPr>
                <w:sz w:val="18"/>
                <w:szCs w:val="18"/>
                <w:lang w:val="en-GB"/>
              </w:rPr>
            </w:pPr>
            <w:r w:rsidRPr="00610088">
              <w:rPr>
                <w:sz w:val="18"/>
                <w:szCs w:val="18"/>
                <w:lang w:val="en-GB"/>
              </w:rPr>
              <w:t> </w:t>
            </w:r>
          </w:p>
        </w:tc>
        <w:tc>
          <w:tcPr>
            <w:tcW w:w="851" w:type="dxa"/>
            <w:shd w:val="clear" w:color="000000" w:fill="BFBFBF"/>
            <w:noWrap/>
            <w:hideMark/>
          </w:tcPr>
          <w:p w14:paraId="413DE758" w14:textId="77777777" w:rsidR="00051AE5" w:rsidRPr="00610088" w:rsidRDefault="00051AE5" w:rsidP="00051AE5">
            <w:pPr>
              <w:pStyle w:val="NoSpacing"/>
              <w:rPr>
                <w:sz w:val="18"/>
                <w:szCs w:val="18"/>
                <w:lang w:val="en-GB"/>
              </w:rPr>
            </w:pPr>
            <w:r w:rsidRPr="00610088">
              <w:rPr>
                <w:sz w:val="18"/>
                <w:szCs w:val="18"/>
                <w:lang w:val="en-GB"/>
              </w:rPr>
              <w:t> </w:t>
            </w:r>
          </w:p>
        </w:tc>
        <w:tc>
          <w:tcPr>
            <w:tcW w:w="850" w:type="dxa"/>
            <w:shd w:val="clear" w:color="000000" w:fill="BFBFBF"/>
            <w:noWrap/>
            <w:hideMark/>
          </w:tcPr>
          <w:p w14:paraId="7EE0E9B7" w14:textId="77777777" w:rsidR="00051AE5" w:rsidRPr="00610088" w:rsidRDefault="00051AE5" w:rsidP="00051AE5">
            <w:pPr>
              <w:pStyle w:val="NoSpacing"/>
              <w:rPr>
                <w:sz w:val="18"/>
                <w:szCs w:val="18"/>
                <w:lang w:val="en-GB"/>
              </w:rPr>
            </w:pPr>
            <w:r w:rsidRPr="00610088">
              <w:rPr>
                <w:sz w:val="18"/>
                <w:szCs w:val="18"/>
                <w:lang w:val="en-GB"/>
              </w:rPr>
              <w:t> </w:t>
            </w:r>
          </w:p>
        </w:tc>
        <w:tc>
          <w:tcPr>
            <w:tcW w:w="772" w:type="dxa"/>
            <w:shd w:val="clear" w:color="auto" w:fill="auto"/>
            <w:noWrap/>
            <w:hideMark/>
          </w:tcPr>
          <w:p w14:paraId="15730E04" w14:textId="45EED9FC" w:rsidR="00051AE5" w:rsidRPr="00610088" w:rsidRDefault="00051AE5" w:rsidP="00051AE5">
            <w:pPr>
              <w:pStyle w:val="NoSpacing"/>
              <w:rPr>
                <w:sz w:val="18"/>
                <w:szCs w:val="18"/>
                <w:lang w:val="en-GB"/>
              </w:rPr>
            </w:pPr>
            <w:r w:rsidRPr="00610088">
              <w:rPr>
                <w:sz w:val="18"/>
                <w:szCs w:val="18"/>
                <w:lang w:val="en-GB"/>
              </w:rPr>
              <w:t>TBD</w:t>
            </w:r>
          </w:p>
        </w:tc>
      </w:tr>
      <w:tr w:rsidR="00051AE5" w:rsidRPr="00610088" w14:paraId="024F904E" w14:textId="77777777" w:rsidTr="00FC5D9B">
        <w:trPr>
          <w:trHeight w:val="227"/>
        </w:trPr>
        <w:tc>
          <w:tcPr>
            <w:tcW w:w="1555" w:type="dxa"/>
            <w:shd w:val="clear" w:color="auto" w:fill="auto"/>
            <w:hideMark/>
          </w:tcPr>
          <w:p w14:paraId="22581D61" w14:textId="77777777" w:rsidR="00051AE5" w:rsidRPr="00610088" w:rsidRDefault="00051AE5" w:rsidP="00051AE5">
            <w:pPr>
              <w:pStyle w:val="NoSpacing"/>
              <w:rPr>
                <w:b/>
                <w:bCs/>
                <w:sz w:val="18"/>
                <w:szCs w:val="18"/>
                <w:lang w:val="en-GB"/>
              </w:rPr>
            </w:pPr>
            <w:r w:rsidRPr="00610088">
              <w:rPr>
                <w:b/>
                <w:bCs/>
                <w:sz w:val="18"/>
                <w:szCs w:val="18"/>
                <w:lang w:val="en-GB"/>
              </w:rPr>
              <w:t>SO4- Establish/ strengthen NCD community / family services and care</w:t>
            </w:r>
          </w:p>
        </w:tc>
        <w:tc>
          <w:tcPr>
            <w:tcW w:w="3118" w:type="dxa"/>
            <w:shd w:val="clear" w:color="auto" w:fill="auto"/>
            <w:hideMark/>
          </w:tcPr>
          <w:p w14:paraId="296BC604" w14:textId="6D6ABCEE" w:rsidR="00051AE5" w:rsidRPr="00610088" w:rsidRDefault="00051AE5" w:rsidP="00051AE5">
            <w:pPr>
              <w:pStyle w:val="NoSpacing"/>
              <w:rPr>
                <w:sz w:val="18"/>
                <w:szCs w:val="18"/>
                <w:lang w:val="en-GB"/>
              </w:rPr>
            </w:pPr>
            <w:r w:rsidRPr="00610088">
              <w:rPr>
                <w:sz w:val="18"/>
                <w:szCs w:val="18"/>
                <w:lang w:val="en-GB"/>
              </w:rPr>
              <w:t>4.12 Nr PEN-CHCs where surrounding communities / families are providing (support to) NCD management and care</w:t>
            </w:r>
          </w:p>
        </w:tc>
        <w:tc>
          <w:tcPr>
            <w:tcW w:w="2976" w:type="dxa"/>
            <w:shd w:val="clear" w:color="auto" w:fill="auto"/>
            <w:hideMark/>
          </w:tcPr>
          <w:p w14:paraId="3ECA82E9" w14:textId="77777777" w:rsidR="00051AE5" w:rsidRPr="00610088" w:rsidRDefault="00051AE5" w:rsidP="00051AE5">
            <w:pPr>
              <w:pStyle w:val="NoSpacing"/>
              <w:rPr>
                <w:sz w:val="18"/>
                <w:szCs w:val="18"/>
                <w:lang w:val="en-GB"/>
              </w:rPr>
            </w:pPr>
            <w:r w:rsidRPr="00610088">
              <w:rPr>
                <w:sz w:val="18"/>
                <w:szCs w:val="18"/>
                <w:lang w:val="en-GB"/>
              </w:rPr>
              <w:t>Activity establishment records</w:t>
            </w:r>
          </w:p>
          <w:p w14:paraId="3C0D8C1F" w14:textId="4F95FF78" w:rsidR="00051AE5" w:rsidRPr="00610088" w:rsidRDefault="00051AE5" w:rsidP="00051AE5">
            <w:pPr>
              <w:pStyle w:val="NoSpacing"/>
              <w:rPr>
                <w:sz w:val="18"/>
                <w:szCs w:val="18"/>
                <w:lang w:val="en-GB"/>
              </w:rPr>
            </w:pPr>
          </w:p>
        </w:tc>
        <w:tc>
          <w:tcPr>
            <w:tcW w:w="850" w:type="dxa"/>
            <w:shd w:val="clear" w:color="auto" w:fill="auto"/>
            <w:hideMark/>
          </w:tcPr>
          <w:p w14:paraId="6EC550FC" w14:textId="77777777" w:rsidR="00051AE5" w:rsidRPr="00610088" w:rsidRDefault="00051AE5" w:rsidP="00051AE5">
            <w:pPr>
              <w:pStyle w:val="NoSpacing"/>
              <w:rPr>
                <w:sz w:val="18"/>
                <w:szCs w:val="18"/>
                <w:lang w:val="en-GB"/>
              </w:rPr>
            </w:pPr>
            <w:r w:rsidRPr="00610088">
              <w:rPr>
                <w:sz w:val="18"/>
                <w:szCs w:val="18"/>
                <w:lang w:val="en-GB"/>
              </w:rPr>
              <w:t xml:space="preserve">Annual, not cumulative </w:t>
            </w:r>
          </w:p>
        </w:tc>
        <w:tc>
          <w:tcPr>
            <w:tcW w:w="2551" w:type="dxa"/>
            <w:shd w:val="clear" w:color="auto" w:fill="auto"/>
            <w:hideMark/>
          </w:tcPr>
          <w:p w14:paraId="22C0B794" w14:textId="61E961C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auto"/>
            <w:noWrap/>
            <w:hideMark/>
          </w:tcPr>
          <w:p w14:paraId="624B458A" w14:textId="77777777" w:rsidR="00051AE5" w:rsidRPr="00610088" w:rsidRDefault="00051AE5" w:rsidP="00051AE5">
            <w:pPr>
              <w:pStyle w:val="NoSpacing"/>
              <w:rPr>
                <w:sz w:val="18"/>
                <w:szCs w:val="18"/>
                <w:lang w:val="en-GB"/>
              </w:rPr>
            </w:pPr>
            <w:r w:rsidRPr="00610088">
              <w:rPr>
                <w:sz w:val="18"/>
                <w:szCs w:val="18"/>
                <w:lang w:val="en-GB"/>
              </w:rPr>
              <w:t xml:space="preserve">10 </w:t>
            </w:r>
          </w:p>
          <w:p w14:paraId="564F6F1F" w14:textId="4F9A01FE" w:rsidR="00051AE5" w:rsidRPr="00610088" w:rsidRDefault="00051AE5" w:rsidP="00051AE5">
            <w:pPr>
              <w:pStyle w:val="NoSpacing"/>
              <w:rPr>
                <w:sz w:val="18"/>
                <w:szCs w:val="18"/>
                <w:lang w:val="en-GB"/>
              </w:rPr>
            </w:pPr>
            <w:r w:rsidRPr="00610088">
              <w:rPr>
                <w:sz w:val="18"/>
                <w:szCs w:val="18"/>
                <w:lang w:val="en-GB"/>
              </w:rPr>
              <w:t>(2 districts with 5 CHC each)</w:t>
            </w:r>
          </w:p>
        </w:tc>
        <w:tc>
          <w:tcPr>
            <w:tcW w:w="851" w:type="dxa"/>
            <w:shd w:val="clear" w:color="auto" w:fill="auto"/>
            <w:noWrap/>
            <w:hideMark/>
          </w:tcPr>
          <w:p w14:paraId="2A4C1BF1" w14:textId="77777777" w:rsidR="00051AE5" w:rsidRPr="00610088" w:rsidRDefault="00051AE5" w:rsidP="00051AE5">
            <w:pPr>
              <w:pStyle w:val="NoSpacing"/>
              <w:rPr>
                <w:sz w:val="18"/>
                <w:szCs w:val="18"/>
                <w:lang w:val="en-GB"/>
              </w:rPr>
            </w:pPr>
            <w:r w:rsidRPr="00610088">
              <w:rPr>
                <w:sz w:val="18"/>
                <w:szCs w:val="18"/>
                <w:lang w:val="en-GB"/>
              </w:rPr>
              <w:t xml:space="preserve">25 </w:t>
            </w:r>
          </w:p>
          <w:p w14:paraId="4066E79B" w14:textId="7CB797EB" w:rsidR="00051AE5" w:rsidRPr="00610088" w:rsidRDefault="00051AE5" w:rsidP="00051AE5">
            <w:pPr>
              <w:pStyle w:val="NoSpacing"/>
              <w:rPr>
                <w:sz w:val="18"/>
                <w:szCs w:val="18"/>
                <w:lang w:val="en-GB"/>
              </w:rPr>
            </w:pPr>
            <w:r w:rsidRPr="00610088">
              <w:rPr>
                <w:sz w:val="18"/>
                <w:szCs w:val="18"/>
                <w:lang w:val="en-GB"/>
              </w:rPr>
              <w:t>(5 districts with 5 CHC each)</w:t>
            </w:r>
          </w:p>
        </w:tc>
        <w:tc>
          <w:tcPr>
            <w:tcW w:w="850" w:type="dxa"/>
            <w:shd w:val="clear" w:color="auto" w:fill="auto"/>
            <w:noWrap/>
            <w:hideMark/>
          </w:tcPr>
          <w:p w14:paraId="48545DA0" w14:textId="77777777" w:rsidR="00051AE5" w:rsidRPr="00610088" w:rsidRDefault="00051AE5" w:rsidP="00051AE5">
            <w:pPr>
              <w:pStyle w:val="NoSpacing"/>
              <w:rPr>
                <w:sz w:val="18"/>
                <w:szCs w:val="18"/>
                <w:lang w:val="en-GB"/>
              </w:rPr>
            </w:pPr>
            <w:r w:rsidRPr="00610088">
              <w:rPr>
                <w:sz w:val="18"/>
                <w:szCs w:val="18"/>
                <w:lang w:val="en-GB"/>
              </w:rPr>
              <w:t xml:space="preserve">50 </w:t>
            </w:r>
          </w:p>
          <w:p w14:paraId="46CFFC00" w14:textId="44D8B2E9" w:rsidR="00051AE5" w:rsidRPr="00610088" w:rsidRDefault="00051AE5" w:rsidP="00051AE5">
            <w:pPr>
              <w:pStyle w:val="NoSpacing"/>
              <w:rPr>
                <w:sz w:val="18"/>
                <w:szCs w:val="18"/>
                <w:lang w:val="en-GB"/>
              </w:rPr>
            </w:pPr>
            <w:r w:rsidRPr="00610088">
              <w:rPr>
                <w:sz w:val="18"/>
                <w:szCs w:val="18"/>
                <w:lang w:val="en-GB"/>
              </w:rPr>
              <w:t>(10 districts with 5 CHC each)</w:t>
            </w:r>
          </w:p>
        </w:tc>
        <w:tc>
          <w:tcPr>
            <w:tcW w:w="772" w:type="dxa"/>
            <w:shd w:val="clear" w:color="auto" w:fill="auto"/>
            <w:noWrap/>
            <w:hideMark/>
          </w:tcPr>
          <w:p w14:paraId="6451C6D5" w14:textId="77777777" w:rsidR="00051AE5" w:rsidRPr="00610088" w:rsidRDefault="00051AE5" w:rsidP="00051AE5">
            <w:pPr>
              <w:pStyle w:val="NoSpacing"/>
              <w:rPr>
                <w:sz w:val="18"/>
                <w:szCs w:val="18"/>
                <w:lang w:val="en-GB"/>
              </w:rPr>
            </w:pPr>
            <w:r w:rsidRPr="00610088">
              <w:rPr>
                <w:sz w:val="18"/>
                <w:szCs w:val="18"/>
                <w:lang w:val="en-GB"/>
              </w:rPr>
              <w:t xml:space="preserve">80 </w:t>
            </w:r>
          </w:p>
          <w:p w14:paraId="34036BE9" w14:textId="679899D1" w:rsidR="00051AE5" w:rsidRPr="00610088" w:rsidRDefault="00051AE5" w:rsidP="00051AE5">
            <w:pPr>
              <w:pStyle w:val="NoSpacing"/>
              <w:rPr>
                <w:sz w:val="18"/>
                <w:szCs w:val="18"/>
                <w:lang w:val="en-GB"/>
              </w:rPr>
            </w:pPr>
            <w:r w:rsidRPr="00610088">
              <w:rPr>
                <w:sz w:val="18"/>
                <w:szCs w:val="18"/>
                <w:lang w:val="en-GB"/>
              </w:rPr>
              <w:t>(16 districts with 5 CHC each)</w:t>
            </w:r>
          </w:p>
        </w:tc>
      </w:tr>
      <w:tr w:rsidR="00051AE5" w:rsidRPr="00610088" w14:paraId="31F62AFD" w14:textId="77777777" w:rsidTr="00FC5D9B">
        <w:trPr>
          <w:trHeight w:val="227"/>
        </w:trPr>
        <w:tc>
          <w:tcPr>
            <w:tcW w:w="1555" w:type="dxa"/>
            <w:shd w:val="clear" w:color="auto" w:fill="auto"/>
            <w:hideMark/>
          </w:tcPr>
          <w:p w14:paraId="415FBED4" w14:textId="1BCE92E1" w:rsidR="00051AE5" w:rsidRPr="00610088" w:rsidRDefault="00051AE5" w:rsidP="00051AE5">
            <w:pPr>
              <w:pStyle w:val="NoSpacing"/>
              <w:rPr>
                <w:b/>
                <w:bCs/>
                <w:sz w:val="18"/>
                <w:szCs w:val="18"/>
                <w:lang w:val="en-GB"/>
              </w:rPr>
            </w:pPr>
            <w:r w:rsidRPr="00610088">
              <w:rPr>
                <w:b/>
                <w:bCs/>
                <w:sz w:val="18"/>
                <w:szCs w:val="18"/>
                <w:lang w:val="en-GB"/>
              </w:rPr>
              <w:lastRenderedPageBreak/>
              <w:t>SO4- Establish guidelines / protocols for NCD prevention, screening, diagnosis, management and care</w:t>
            </w:r>
          </w:p>
        </w:tc>
        <w:tc>
          <w:tcPr>
            <w:tcW w:w="3118" w:type="dxa"/>
            <w:shd w:val="clear" w:color="auto" w:fill="auto"/>
            <w:hideMark/>
          </w:tcPr>
          <w:p w14:paraId="1128913B" w14:textId="67A727A0" w:rsidR="00051AE5" w:rsidRPr="00610088" w:rsidRDefault="00051AE5" w:rsidP="00051AE5">
            <w:pPr>
              <w:pStyle w:val="NoSpacing"/>
              <w:rPr>
                <w:sz w:val="18"/>
                <w:szCs w:val="18"/>
                <w:lang w:val="en-GB"/>
              </w:rPr>
            </w:pPr>
            <w:r w:rsidRPr="00610088">
              <w:rPr>
                <w:sz w:val="18"/>
                <w:szCs w:val="18"/>
                <w:lang w:val="en-GB"/>
              </w:rPr>
              <w:t>4.13 % of NCD service sites with updated NCD guidelines /protocols for PHUs and Hospitals</w:t>
            </w:r>
          </w:p>
        </w:tc>
        <w:tc>
          <w:tcPr>
            <w:tcW w:w="2976" w:type="dxa"/>
            <w:shd w:val="clear" w:color="auto" w:fill="auto"/>
            <w:hideMark/>
          </w:tcPr>
          <w:p w14:paraId="3E3AC4C4" w14:textId="77777777" w:rsidR="00051AE5" w:rsidRPr="00610088" w:rsidRDefault="00051AE5" w:rsidP="00051AE5">
            <w:pPr>
              <w:pStyle w:val="NoSpacing"/>
              <w:rPr>
                <w:sz w:val="18"/>
                <w:szCs w:val="18"/>
                <w:lang w:val="en-GB"/>
              </w:rPr>
            </w:pPr>
            <w:r w:rsidRPr="00610088">
              <w:rPr>
                <w:sz w:val="18"/>
                <w:szCs w:val="18"/>
                <w:lang w:val="en-GB"/>
              </w:rPr>
              <w:t>Survey / Supervision records (</w:t>
            </w:r>
            <w:proofErr w:type="gramStart"/>
            <w:r w:rsidRPr="00610088">
              <w:rPr>
                <w:sz w:val="18"/>
                <w:szCs w:val="18"/>
                <w:lang w:val="en-GB"/>
              </w:rPr>
              <w:t>e.g.</w:t>
            </w:r>
            <w:proofErr w:type="gramEnd"/>
            <w:r w:rsidRPr="00610088">
              <w:rPr>
                <w:sz w:val="18"/>
                <w:szCs w:val="18"/>
                <w:lang w:val="en-GB"/>
              </w:rPr>
              <w:t xml:space="preserve"> SARA, ISSV)</w:t>
            </w:r>
          </w:p>
        </w:tc>
        <w:tc>
          <w:tcPr>
            <w:tcW w:w="850" w:type="dxa"/>
            <w:shd w:val="clear" w:color="auto" w:fill="auto"/>
            <w:hideMark/>
          </w:tcPr>
          <w:p w14:paraId="6F9B732F" w14:textId="77777777" w:rsidR="00051AE5" w:rsidRPr="00610088" w:rsidRDefault="00051AE5" w:rsidP="00051AE5">
            <w:pPr>
              <w:pStyle w:val="NoSpacing"/>
              <w:rPr>
                <w:sz w:val="18"/>
                <w:szCs w:val="18"/>
                <w:lang w:val="en-GB"/>
              </w:rPr>
            </w:pPr>
            <w:r w:rsidRPr="00610088">
              <w:rPr>
                <w:sz w:val="18"/>
                <w:szCs w:val="18"/>
                <w:lang w:val="en-GB"/>
              </w:rPr>
              <w:t>Every 2-3 years (survey), Annual (ISSV)</w:t>
            </w:r>
          </w:p>
        </w:tc>
        <w:tc>
          <w:tcPr>
            <w:tcW w:w="2551" w:type="dxa"/>
            <w:shd w:val="clear" w:color="auto" w:fill="auto"/>
            <w:hideMark/>
          </w:tcPr>
          <w:p w14:paraId="399EC610" w14:textId="77777777" w:rsidR="00051AE5" w:rsidRPr="00610088" w:rsidRDefault="00051AE5" w:rsidP="00051AE5">
            <w:pPr>
              <w:pStyle w:val="NoSpacing"/>
              <w:rPr>
                <w:sz w:val="18"/>
                <w:szCs w:val="18"/>
                <w:lang w:val="en-GB"/>
              </w:rPr>
            </w:pPr>
            <w:r w:rsidRPr="00610088">
              <w:rPr>
                <w:sz w:val="18"/>
                <w:szCs w:val="18"/>
                <w:lang w:val="en-GB"/>
              </w:rPr>
              <w:t>No (DNCD&amp;MH, 2019)</w:t>
            </w:r>
          </w:p>
        </w:tc>
        <w:tc>
          <w:tcPr>
            <w:tcW w:w="850" w:type="dxa"/>
            <w:shd w:val="clear" w:color="auto" w:fill="auto"/>
            <w:hideMark/>
          </w:tcPr>
          <w:p w14:paraId="1B21348C" w14:textId="40403F89" w:rsidR="00051AE5" w:rsidRPr="00610088" w:rsidRDefault="00051AE5" w:rsidP="00051AE5">
            <w:pPr>
              <w:pStyle w:val="NoSpacing"/>
              <w:rPr>
                <w:sz w:val="18"/>
                <w:szCs w:val="18"/>
                <w:lang w:val="en-GB"/>
              </w:rPr>
            </w:pPr>
            <w:r w:rsidRPr="00610088">
              <w:rPr>
                <w:sz w:val="18"/>
                <w:szCs w:val="18"/>
                <w:lang w:val="en-GB"/>
              </w:rPr>
              <w:t>Yes, 5% sites with guidelines…. Depends on desk guide distribution</w:t>
            </w:r>
          </w:p>
        </w:tc>
        <w:tc>
          <w:tcPr>
            <w:tcW w:w="851" w:type="dxa"/>
            <w:shd w:val="clear" w:color="auto" w:fill="auto"/>
            <w:hideMark/>
          </w:tcPr>
          <w:p w14:paraId="63E9A571" w14:textId="4E429376" w:rsidR="00051AE5" w:rsidRPr="00610088" w:rsidRDefault="00051AE5" w:rsidP="00051AE5">
            <w:pPr>
              <w:pStyle w:val="NoSpacing"/>
              <w:rPr>
                <w:sz w:val="18"/>
                <w:szCs w:val="18"/>
                <w:lang w:val="en-GB"/>
              </w:rPr>
            </w:pPr>
            <w:r w:rsidRPr="00610088">
              <w:rPr>
                <w:sz w:val="18"/>
                <w:szCs w:val="18"/>
                <w:lang w:val="en-GB"/>
              </w:rPr>
              <w:t>Yes, 20% sites with guidelines….</w:t>
            </w:r>
          </w:p>
        </w:tc>
        <w:tc>
          <w:tcPr>
            <w:tcW w:w="850" w:type="dxa"/>
            <w:shd w:val="clear" w:color="auto" w:fill="auto"/>
            <w:hideMark/>
          </w:tcPr>
          <w:p w14:paraId="157CBDF0" w14:textId="44FC3040" w:rsidR="00051AE5" w:rsidRPr="00610088" w:rsidRDefault="00051AE5" w:rsidP="00051AE5">
            <w:pPr>
              <w:pStyle w:val="NoSpacing"/>
              <w:rPr>
                <w:sz w:val="18"/>
                <w:szCs w:val="18"/>
                <w:lang w:val="en-GB"/>
              </w:rPr>
            </w:pPr>
            <w:r w:rsidRPr="00610088">
              <w:rPr>
                <w:sz w:val="18"/>
                <w:szCs w:val="18"/>
                <w:lang w:val="en-GB"/>
              </w:rPr>
              <w:t>Yes, 50% sites with guidelines….</w:t>
            </w:r>
          </w:p>
        </w:tc>
        <w:tc>
          <w:tcPr>
            <w:tcW w:w="772" w:type="dxa"/>
            <w:shd w:val="clear" w:color="auto" w:fill="auto"/>
            <w:hideMark/>
          </w:tcPr>
          <w:p w14:paraId="6D8F6A84" w14:textId="77777777" w:rsidR="00051AE5" w:rsidRPr="00610088" w:rsidRDefault="00051AE5" w:rsidP="00051AE5">
            <w:pPr>
              <w:pStyle w:val="NoSpacing"/>
              <w:rPr>
                <w:sz w:val="18"/>
                <w:szCs w:val="18"/>
                <w:lang w:val="en-GB"/>
              </w:rPr>
            </w:pPr>
            <w:r w:rsidRPr="00610088">
              <w:rPr>
                <w:sz w:val="18"/>
                <w:szCs w:val="18"/>
                <w:lang w:val="en-GB"/>
              </w:rPr>
              <w:t>Yes, 95 % sites with guidelines….</w:t>
            </w:r>
          </w:p>
        </w:tc>
      </w:tr>
      <w:tr w:rsidR="00051AE5" w:rsidRPr="00610088" w14:paraId="43BA9A8B" w14:textId="77777777" w:rsidTr="00FC5D9B">
        <w:trPr>
          <w:trHeight w:val="227"/>
        </w:trPr>
        <w:tc>
          <w:tcPr>
            <w:tcW w:w="1555" w:type="dxa"/>
            <w:vMerge w:val="restart"/>
            <w:shd w:val="clear" w:color="000000" w:fill="D9E2F3"/>
            <w:hideMark/>
          </w:tcPr>
          <w:p w14:paraId="4BDBE814" w14:textId="77777777" w:rsidR="00051AE5" w:rsidRPr="00610088" w:rsidRDefault="00051AE5" w:rsidP="00051AE5">
            <w:pPr>
              <w:pStyle w:val="NoSpacing"/>
              <w:rPr>
                <w:b/>
                <w:bCs/>
                <w:sz w:val="18"/>
                <w:szCs w:val="18"/>
                <w:lang w:val="en-GB"/>
              </w:rPr>
            </w:pPr>
            <w:r w:rsidRPr="00610088">
              <w:rPr>
                <w:b/>
                <w:bCs/>
                <w:sz w:val="18"/>
                <w:szCs w:val="18"/>
                <w:lang w:val="en-GB"/>
              </w:rPr>
              <w:t xml:space="preserve">SO5 - Establish national and district level coordination and partnership structures and support NCDI commission and its related TWGs and District NCD committees </w:t>
            </w:r>
            <w:r w:rsidRPr="00610088">
              <w:rPr>
                <w:b/>
                <w:bCs/>
                <w:i/>
                <w:iCs/>
                <w:sz w:val="18"/>
                <w:szCs w:val="18"/>
                <w:lang w:val="en-GB"/>
              </w:rPr>
              <w:t>(see also SO1</w:t>
            </w:r>
            <w:r w:rsidRPr="00610088">
              <w:rPr>
                <w:b/>
                <w:bCs/>
                <w:sz w:val="18"/>
                <w:szCs w:val="18"/>
                <w:lang w:val="en-GB"/>
              </w:rPr>
              <w:t xml:space="preserve"> </w:t>
            </w:r>
          </w:p>
        </w:tc>
        <w:tc>
          <w:tcPr>
            <w:tcW w:w="3118" w:type="dxa"/>
            <w:shd w:val="clear" w:color="000000" w:fill="D9E2F3"/>
            <w:hideMark/>
          </w:tcPr>
          <w:p w14:paraId="4E631BA2" w14:textId="3027B689" w:rsidR="00051AE5" w:rsidRPr="00610088" w:rsidRDefault="00051AE5" w:rsidP="00051AE5">
            <w:pPr>
              <w:pStyle w:val="NoSpacing"/>
              <w:rPr>
                <w:sz w:val="18"/>
                <w:szCs w:val="18"/>
                <w:lang w:val="en-GB"/>
              </w:rPr>
            </w:pPr>
            <w:r w:rsidRPr="00610088">
              <w:rPr>
                <w:sz w:val="18"/>
                <w:szCs w:val="18"/>
                <w:lang w:val="en-GB"/>
              </w:rPr>
              <w:t>5.1 Nr of NCDI commission meetings</w:t>
            </w:r>
          </w:p>
        </w:tc>
        <w:tc>
          <w:tcPr>
            <w:tcW w:w="2976" w:type="dxa"/>
            <w:shd w:val="clear" w:color="000000" w:fill="D9E2F3"/>
            <w:hideMark/>
          </w:tcPr>
          <w:p w14:paraId="592B480E" w14:textId="77777777" w:rsidR="00051AE5" w:rsidRPr="00610088" w:rsidRDefault="00051AE5" w:rsidP="00051AE5">
            <w:pPr>
              <w:pStyle w:val="NoSpacing"/>
              <w:rPr>
                <w:sz w:val="18"/>
                <w:szCs w:val="18"/>
                <w:lang w:val="en-GB"/>
              </w:rPr>
            </w:pPr>
            <w:r w:rsidRPr="00610088">
              <w:rPr>
                <w:sz w:val="18"/>
                <w:szCs w:val="18"/>
                <w:lang w:val="en-GB"/>
              </w:rPr>
              <w:t>Meeting minutes and attendance lists</w:t>
            </w:r>
          </w:p>
        </w:tc>
        <w:tc>
          <w:tcPr>
            <w:tcW w:w="850" w:type="dxa"/>
            <w:shd w:val="clear" w:color="000000" w:fill="D9E2F3"/>
            <w:hideMark/>
          </w:tcPr>
          <w:p w14:paraId="6C781A53"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000000" w:fill="D9E2F3"/>
            <w:hideMark/>
          </w:tcPr>
          <w:p w14:paraId="5696C8CE" w14:textId="62ACCB27" w:rsidR="00051AE5" w:rsidRPr="00610088" w:rsidRDefault="00051AE5" w:rsidP="00051AE5">
            <w:pPr>
              <w:pStyle w:val="NoSpacing"/>
              <w:rPr>
                <w:sz w:val="18"/>
                <w:szCs w:val="18"/>
                <w:lang w:val="en-GB"/>
              </w:rPr>
            </w:pPr>
            <w:r w:rsidRPr="00610088">
              <w:rPr>
                <w:sz w:val="18"/>
                <w:szCs w:val="18"/>
                <w:lang w:val="en-GB"/>
              </w:rPr>
              <w:t xml:space="preserve">Established early 2019 – </w:t>
            </w:r>
            <w:r w:rsidRPr="00610088">
              <w:rPr>
                <w:color w:val="000000" w:themeColor="text1"/>
                <w:sz w:val="18"/>
                <w:szCs w:val="18"/>
                <w:lang w:val="en-GB"/>
              </w:rPr>
              <w:t xml:space="preserve">3 </w:t>
            </w:r>
            <w:r w:rsidRPr="00610088">
              <w:rPr>
                <w:sz w:val="18"/>
                <w:szCs w:val="18"/>
                <w:lang w:val="en-GB"/>
              </w:rPr>
              <w:t>(DNCD&amp;MH, 2019)</w:t>
            </w:r>
          </w:p>
        </w:tc>
        <w:tc>
          <w:tcPr>
            <w:tcW w:w="850" w:type="dxa"/>
            <w:shd w:val="clear" w:color="000000" w:fill="D9E2F3"/>
            <w:hideMark/>
          </w:tcPr>
          <w:p w14:paraId="71A25AFA" w14:textId="77777777" w:rsidR="00051AE5" w:rsidRPr="00610088" w:rsidRDefault="00051AE5" w:rsidP="00051AE5">
            <w:pPr>
              <w:pStyle w:val="NoSpacing"/>
              <w:rPr>
                <w:sz w:val="18"/>
                <w:szCs w:val="18"/>
                <w:lang w:val="en-GB"/>
              </w:rPr>
            </w:pPr>
            <w:r w:rsidRPr="00610088">
              <w:rPr>
                <w:sz w:val="18"/>
                <w:szCs w:val="18"/>
                <w:lang w:val="en-GB"/>
              </w:rPr>
              <w:t>4</w:t>
            </w:r>
          </w:p>
        </w:tc>
        <w:tc>
          <w:tcPr>
            <w:tcW w:w="851" w:type="dxa"/>
            <w:shd w:val="clear" w:color="000000" w:fill="D9E2F3"/>
            <w:hideMark/>
          </w:tcPr>
          <w:p w14:paraId="7C892858" w14:textId="77777777" w:rsidR="00051AE5" w:rsidRPr="00610088" w:rsidRDefault="00051AE5" w:rsidP="00051AE5">
            <w:pPr>
              <w:pStyle w:val="NoSpacing"/>
              <w:rPr>
                <w:sz w:val="18"/>
                <w:szCs w:val="18"/>
                <w:lang w:val="en-GB"/>
              </w:rPr>
            </w:pPr>
            <w:r w:rsidRPr="00610088">
              <w:rPr>
                <w:sz w:val="18"/>
                <w:szCs w:val="18"/>
                <w:lang w:val="en-GB"/>
              </w:rPr>
              <w:t>4</w:t>
            </w:r>
          </w:p>
        </w:tc>
        <w:tc>
          <w:tcPr>
            <w:tcW w:w="850" w:type="dxa"/>
            <w:shd w:val="clear" w:color="000000" w:fill="D9E2F3"/>
            <w:hideMark/>
          </w:tcPr>
          <w:p w14:paraId="34DDBE2B" w14:textId="77777777" w:rsidR="00051AE5" w:rsidRPr="00610088" w:rsidRDefault="00051AE5" w:rsidP="00051AE5">
            <w:pPr>
              <w:pStyle w:val="NoSpacing"/>
              <w:rPr>
                <w:sz w:val="18"/>
                <w:szCs w:val="18"/>
                <w:lang w:val="en-GB"/>
              </w:rPr>
            </w:pPr>
            <w:r w:rsidRPr="00610088">
              <w:rPr>
                <w:sz w:val="18"/>
                <w:szCs w:val="18"/>
                <w:lang w:val="en-GB"/>
              </w:rPr>
              <w:t>4</w:t>
            </w:r>
          </w:p>
        </w:tc>
        <w:tc>
          <w:tcPr>
            <w:tcW w:w="772" w:type="dxa"/>
            <w:shd w:val="clear" w:color="000000" w:fill="D9E2F3"/>
            <w:hideMark/>
          </w:tcPr>
          <w:p w14:paraId="39D53763" w14:textId="77777777" w:rsidR="00051AE5" w:rsidRPr="00610088" w:rsidRDefault="00051AE5" w:rsidP="00051AE5">
            <w:pPr>
              <w:pStyle w:val="NoSpacing"/>
              <w:rPr>
                <w:sz w:val="18"/>
                <w:szCs w:val="18"/>
                <w:lang w:val="en-GB"/>
              </w:rPr>
            </w:pPr>
            <w:r w:rsidRPr="00610088">
              <w:rPr>
                <w:sz w:val="18"/>
                <w:szCs w:val="18"/>
                <w:lang w:val="en-GB"/>
              </w:rPr>
              <w:t>4</w:t>
            </w:r>
          </w:p>
        </w:tc>
      </w:tr>
      <w:tr w:rsidR="00051AE5" w:rsidRPr="00610088" w14:paraId="6148022F" w14:textId="77777777" w:rsidTr="00FC5D9B">
        <w:trPr>
          <w:trHeight w:val="227"/>
        </w:trPr>
        <w:tc>
          <w:tcPr>
            <w:tcW w:w="1555" w:type="dxa"/>
            <w:vMerge/>
            <w:vAlign w:val="center"/>
            <w:hideMark/>
          </w:tcPr>
          <w:p w14:paraId="68C7AE92" w14:textId="77777777" w:rsidR="00051AE5" w:rsidRPr="00610088" w:rsidRDefault="00051AE5" w:rsidP="00051AE5">
            <w:pPr>
              <w:pStyle w:val="NoSpacing"/>
              <w:rPr>
                <w:b/>
                <w:bCs/>
                <w:sz w:val="18"/>
                <w:szCs w:val="18"/>
                <w:lang w:val="en-GB"/>
              </w:rPr>
            </w:pPr>
          </w:p>
        </w:tc>
        <w:tc>
          <w:tcPr>
            <w:tcW w:w="3118" w:type="dxa"/>
            <w:shd w:val="clear" w:color="auto" w:fill="auto"/>
            <w:hideMark/>
          </w:tcPr>
          <w:p w14:paraId="4F80FC57" w14:textId="5EE7AE0B" w:rsidR="00051AE5" w:rsidRPr="00610088" w:rsidRDefault="00051AE5" w:rsidP="00051AE5">
            <w:pPr>
              <w:pStyle w:val="NoSpacing"/>
              <w:rPr>
                <w:sz w:val="18"/>
                <w:szCs w:val="18"/>
                <w:lang w:val="en-GB"/>
              </w:rPr>
            </w:pPr>
            <w:r w:rsidRPr="00610088">
              <w:rPr>
                <w:sz w:val="18"/>
                <w:szCs w:val="18"/>
                <w:lang w:val="en-GB"/>
              </w:rPr>
              <w:t>5.2 Nr of National TWG meetings</w:t>
            </w:r>
          </w:p>
        </w:tc>
        <w:tc>
          <w:tcPr>
            <w:tcW w:w="2976" w:type="dxa"/>
            <w:shd w:val="clear" w:color="auto" w:fill="auto"/>
            <w:hideMark/>
          </w:tcPr>
          <w:p w14:paraId="78DC13CD" w14:textId="49D561CD" w:rsidR="00051AE5" w:rsidRPr="00610088" w:rsidRDefault="00051AE5" w:rsidP="00051AE5">
            <w:pPr>
              <w:pStyle w:val="NoSpacing"/>
              <w:rPr>
                <w:sz w:val="18"/>
                <w:szCs w:val="18"/>
                <w:lang w:val="en-GB"/>
              </w:rPr>
            </w:pPr>
            <w:r w:rsidRPr="00610088">
              <w:rPr>
                <w:sz w:val="18"/>
                <w:szCs w:val="18"/>
                <w:lang w:val="en-GB"/>
              </w:rPr>
              <w:t xml:space="preserve">Meeting minutes and attendance lists </w:t>
            </w:r>
          </w:p>
        </w:tc>
        <w:tc>
          <w:tcPr>
            <w:tcW w:w="850" w:type="dxa"/>
            <w:shd w:val="clear" w:color="auto" w:fill="auto"/>
            <w:hideMark/>
          </w:tcPr>
          <w:p w14:paraId="2DF0A705"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044434ED" w14:textId="77777777" w:rsidR="00051AE5" w:rsidRPr="00610088" w:rsidRDefault="00051AE5" w:rsidP="00051AE5">
            <w:pPr>
              <w:pStyle w:val="NoSpacing"/>
              <w:rPr>
                <w:sz w:val="18"/>
                <w:szCs w:val="18"/>
                <w:lang w:val="en-GB"/>
              </w:rPr>
            </w:pPr>
            <w:r w:rsidRPr="00610088">
              <w:rPr>
                <w:sz w:val="18"/>
                <w:szCs w:val="18"/>
                <w:lang w:val="en-GB"/>
              </w:rPr>
              <w:t>TBD (DNCD&amp;MH, 2019)</w:t>
            </w:r>
          </w:p>
        </w:tc>
        <w:tc>
          <w:tcPr>
            <w:tcW w:w="850" w:type="dxa"/>
            <w:shd w:val="clear" w:color="auto" w:fill="auto"/>
            <w:hideMark/>
          </w:tcPr>
          <w:p w14:paraId="47AF0DDD" w14:textId="77777777" w:rsidR="00051AE5" w:rsidRPr="00610088" w:rsidRDefault="00051AE5" w:rsidP="00051AE5">
            <w:pPr>
              <w:pStyle w:val="NoSpacing"/>
              <w:rPr>
                <w:sz w:val="18"/>
                <w:szCs w:val="18"/>
                <w:lang w:val="en-GB"/>
              </w:rPr>
            </w:pPr>
            <w:r w:rsidRPr="00610088">
              <w:rPr>
                <w:sz w:val="18"/>
                <w:szCs w:val="18"/>
                <w:lang w:val="en-GB"/>
              </w:rPr>
              <w:t>4/year by type</w:t>
            </w:r>
          </w:p>
        </w:tc>
        <w:tc>
          <w:tcPr>
            <w:tcW w:w="851" w:type="dxa"/>
            <w:shd w:val="clear" w:color="auto" w:fill="auto"/>
            <w:hideMark/>
          </w:tcPr>
          <w:p w14:paraId="21B39FBE" w14:textId="77777777" w:rsidR="00051AE5" w:rsidRPr="00610088" w:rsidRDefault="00051AE5" w:rsidP="00051AE5">
            <w:pPr>
              <w:pStyle w:val="NoSpacing"/>
              <w:rPr>
                <w:sz w:val="18"/>
                <w:szCs w:val="18"/>
                <w:lang w:val="en-GB"/>
              </w:rPr>
            </w:pPr>
            <w:r w:rsidRPr="00610088">
              <w:rPr>
                <w:sz w:val="18"/>
                <w:szCs w:val="18"/>
                <w:lang w:val="en-GB"/>
              </w:rPr>
              <w:t>4/year by type</w:t>
            </w:r>
          </w:p>
        </w:tc>
        <w:tc>
          <w:tcPr>
            <w:tcW w:w="850" w:type="dxa"/>
            <w:shd w:val="clear" w:color="auto" w:fill="auto"/>
            <w:hideMark/>
          </w:tcPr>
          <w:p w14:paraId="0304084E" w14:textId="77777777" w:rsidR="00051AE5" w:rsidRPr="00610088" w:rsidRDefault="00051AE5" w:rsidP="00051AE5">
            <w:pPr>
              <w:pStyle w:val="NoSpacing"/>
              <w:rPr>
                <w:sz w:val="18"/>
                <w:szCs w:val="18"/>
                <w:lang w:val="en-GB"/>
              </w:rPr>
            </w:pPr>
            <w:r w:rsidRPr="00610088">
              <w:rPr>
                <w:sz w:val="18"/>
                <w:szCs w:val="18"/>
                <w:lang w:val="en-GB"/>
              </w:rPr>
              <w:t>4/year by type</w:t>
            </w:r>
          </w:p>
        </w:tc>
        <w:tc>
          <w:tcPr>
            <w:tcW w:w="772" w:type="dxa"/>
            <w:shd w:val="clear" w:color="auto" w:fill="auto"/>
            <w:hideMark/>
          </w:tcPr>
          <w:p w14:paraId="4CBF485D" w14:textId="77777777" w:rsidR="00051AE5" w:rsidRPr="00610088" w:rsidRDefault="00051AE5" w:rsidP="00051AE5">
            <w:pPr>
              <w:pStyle w:val="NoSpacing"/>
              <w:rPr>
                <w:sz w:val="18"/>
                <w:szCs w:val="18"/>
                <w:lang w:val="en-GB"/>
              </w:rPr>
            </w:pPr>
            <w:r w:rsidRPr="00610088">
              <w:rPr>
                <w:sz w:val="18"/>
                <w:szCs w:val="18"/>
                <w:lang w:val="en-GB"/>
              </w:rPr>
              <w:t>4/year by type</w:t>
            </w:r>
          </w:p>
        </w:tc>
      </w:tr>
      <w:tr w:rsidR="00051AE5" w:rsidRPr="00610088" w14:paraId="55CFCF7A" w14:textId="77777777" w:rsidTr="00FC5D9B">
        <w:trPr>
          <w:trHeight w:val="227"/>
        </w:trPr>
        <w:tc>
          <w:tcPr>
            <w:tcW w:w="1555" w:type="dxa"/>
            <w:vMerge/>
            <w:vAlign w:val="center"/>
            <w:hideMark/>
          </w:tcPr>
          <w:p w14:paraId="2288B339" w14:textId="77777777" w:rsidR="00051AE5" w:rsidRPr="00610088" w:rsidRDefault="00051AE5" w:rsidP="00051AE5">
            <w:pPr>
              <w:pStyle w:val="NoSpacing"/>
              <w:rPr>
                <w:b/>
                <w:bCs/>
                <w:sz w:val="18"/>
                <w:szCs w:val="18"/>
                <w:lang w:val="en-GB"/>
              </w:rPr>
            </w:pPr>
          </w:p>
        </w:tc>
        <w:tc>
          <w:tcPr>
            <w:tcW w:w="3118" w:type="dxa"/>
            <w:shd w:val="clear" w:color="000000" w:fill="D9E2F3"/>
            <w:hideMark/>
          </w:tcPr>
          <w:p w14:paraId="715045A1" w14:textId="21A99956" w:rsidR="00051AE5" w:rsidRPr="00610088" w:rsidRDefault="00051AE5" w:rsidP="00051AE5">
            <w:pPr>
              <w:pStyle w:val="NoSpacing"/>
              <w:rPr>
                <w:sz w:val="18"/>
                <w:szCs w:val="18"/>
                <w:lang w:val="en-GB"/>
              </w:rPr>
            </w:pPr>
            <w:r w:rsidRPr="00610088">
              <w:rPr>
                <w:sz w:val="18"/>
                <w:szCs w:val="18"/>
                <w:lang w:val="en-GB"/>
              </w:rPr>
              <w:t>5.3 Nr of District NCD committee meetings in each of the 16 districts</w:t>
            </w:r>
          </w:p>
        </w:tc>
        <w:tc>
          <w:tcPr>
            <w:tcW w:w="2976" w:type="dxa"/>
            <w:shd w:val="clear" w:color="000000" w:fill="D9E2F3"/>
            <w:hideMark/>
          </w:tcPr>
          <w:p w14:paraId="2FA60D1F" w14:textId="382B9EF3" w:rsidR="00051AE5" w:rsidRPr="00610088" w:rsidRDefault="00051AE5" w:rsidP="00051AE5">
            <w:pPr>
              <w:pStyle w:val="NoSpacing"/>
              <w:rPr>
                <w:sz w:val="18"/>
                <w:szCs w:val="18"/>
                <w:lang w:val="en-GB"/>
              </w:rPr>
            </w:pPr>
            <w:r w:rsidRPr="00610088">
              <w:rPr>
                <w:sz w:val="18"/>
                <w:szCs w:val="18"/>
                <w:lang w:val="en-GB"/>
              </w:rPr>
              <w:t xml:space="preserve">Meeting minutes and attendance lists </w:t>
            </w:r>
          </w:p>
        </w:tc>
        <w:tc>
          <w:tcPr>
            <w:tcW w:w="850" w:type="dxa"/>
            <w:shd w:val="clear" w:color="000000" w:fill="D9E2F3"/>
            <w:hideMark/>
          </w:tcPr>
          <w:p w14:paraId="10522EBD"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000000" w:fill="D9E2F3"/>
            <w:hideMark/>
          </w:tcPr>
          <w:p w14:paraId="3BD7BF49" w14:textId="77777777" w:rsidR="00051AE5" w:rsidRPr="00610088" w:rsidRDefault="00051AE5" w:rsidP="00051AE5">
            <w:pPr>
              <w:pStyle w:val="NoSpacing"/>
              <w:rPr>
                <w:sz w:val="18"/>
                <w:szCs w:val="18"/>
                <w:lang w:val="en-GB"/>
              </w:rPr>
            </w:pPr>
            <w:r w:rsidRPr="00610088">
              <w:rPr>
                <w:sz w:val="18"/>
                <w:szCs w:val="18"/>
                <w:lang w:val="en-GB"/>
              </w:rPr>
              <w:t>TBD (DNCD&amp;MH, 2019)</w:t>
            </w:r>
          </w:p>
        </w:tc>
        <w:tc>
          <w:tcPr>
            <w:tcW w:w="850" w:type="dxa"/>
            <w:shd w:val="clear" w:color="000000" w:fill="D9E2F3"/>
            <w:hideMark/>
          </w:tcPr>
          <w:p w14:paraId="5ED216F4" w14:textId="77777777" w:rsidR="00051AE5" w:rsidRPr="00610088" w:rsidRDefault="00051AE5" w:rsidP="00051AE5">
            <w:pPr>
              <w:pStyle w:val="NoSpacing"/>
              <w:rPr>
                <w:sz w:val="18"/>
                <w:szCs w:val="18"/>
                <w:lang w:val="en-GB"/>
              </w:rPr>
            </w:pPr>
            <w:r w:rsidRPr="00610088">
              <w:rPr>
                <w:sz w:val="18"/>
                <w:szCs w:val="18"/>
                <w:lang w:val="en-GB"/>
              </w:rPr>
              <w:t>12/year in each district</w:t>
            </w:r>
          </w:p>
        </w:tc>
        <w:tc>
          <w:tcPr>
            <w:tcW w:w="851" w:type="dxa"/>
            <w:shd w:val="clear" w:color="000000" w:fill="D9E2F3"/>
            <w:hideMark/>
          </w:tcPr>
          <w:p w14:paraId="3CC77AC3" w14:textId="77777777" w:rsidR="00051AE5" w:rsidRPr="00610088" w:rsidRDefault="00051AE5" w:rsidP="00051AE5">
            <w:pPr>
              <w:pStyle w:val="NoSpacing"/>
              <w:rPr>
                <w:sz w:val="18"/>
                <w:szCs w:val="18"/>
                <w:lang w:val="en-GB"/>
              </w:rPr>
            </w:pPr>
            <w:r w:rsidRPr="00610088">
              <w:rPr>
                <w:sz w:val="18"/>
                <w:szCs w:val="18"/>
                <w:lang w:val="en-GB"/>
              </w:rPr>
              <w:t>12/year in each district</w:t>
            </w:r>
          </w:p>
        </w:tc>
        <w:tc>
          <w:tcPr>
            <w:tcW w:w="850" w:type="dxa"/>
            <w:shd w:val="clear" w:color="000000" w:fill="D9E2F3"/>
            <w:hideMark/>
          </w:tcPr>
          <w:p w14:paraId="4BBD68CD" w14:textId="77777777" w:rsidR="00051AE5" w:rsidRPr="00610088" w:rsidRDefault="00051AE5" w:rsidP="00051AE5">
            <w:pPr>
              <w:pStyle w:val="NoSpacing"/>
              <w:rPr>
                <w:sz w:val="18"/>
                <w:szCs w:val="18"/>
                <w:lang w:val="en-GB"/>
              </w:rPr>
            </w:pPr>
            <w:r w:rsidRPr="00610088">
              <w:rPr>
                <w:sz w:val="18"/>
                <w:szCs w:val="18"/>
                <w:lang w:val="en-GB"/>
              </w:rPr>
              <w:t>12/year in each district</w:t>
            </w:r>
          </w:p>
        </w:tc>
        <w:tc>
          <w:tcPr>
            <w:tcW w:w="772" w:type="dxa"/>
            <w:shd w:val="clear" w:color="000000" w:fill="D9E2F3"/>
            <w:hideMark/>
          </w:tcPr>
          <w:p w14:paraId="3C6A51C5" w14:textId="77777777" w:rsidR="00051AE5" w:rsidRPr="00610088" w:rsidRDefault="00051AE5" w:rsidP="00051AE5">
            <w:pPr>
              <w:pStyle w:val="NoSpacing"/>
              <w:rPr>
                <w:sz w:val="18"/>
                <w:szCs w:val="18"/>
                <w:lang w:val="en-GB"/>
              </w:rPr>
            </w:pPr>
            <w:r w:rsidRPr="00610088">
              <w:rPr>
                <w:sz w:val="18"/>
                <w:szCs w:val="18"/>
                <w:lang w:val="en-GB"/>
              </w:rPr>
              <w:t>12/year in each district</w:t>
            </w:r>
          </w:p>
        </w:tc>
      </w:tr>
      <w:tr w:rsidR="00051AE5" w:rsidRPr="00610088" w14:paraId="45B4DC8A" w14:textId="77777777" w:rsidTr="00FC5D9B">
        <w:trPr>
          <w:trHeight w:val="227"/>
        </w:trPr>
        <w:tc>
          <w:tcPr>
            <w:tcW w:w="1555" w:type="dxa"/>
            <w:vMerge/>
            <w:vAlign w:val="center"/>
            <w:hideMark/>
          </w:tcPr>
          <w:p w14:paraId="20575E27" w14:textId="77777777" w:rsidR="00051AE5" w:rsidRPr="00610088" w:rsidRDefault="00051AE5" w:rsidP="00051AE5">
            <w:pPr>
              <w:pStyle w:val="NoSpacing"/>
              <w:rPr>
                <w:b/>
                <w:bCs/>
                <w:sz w:val="18"/>
                <w:szCs w:val="18"/>
                <w:lang w:val="en-GB"/>
              </w:rPr>
            </w:pPr>
          </w:p>
        </w:tc>
        <w:tc>
          <w:tcPr>
            <w:tcW w:w="3118" w:type="dxa"/>
            <w:shd w:val="clear" w:color="auto" w:fill="auto"/>
            <w:hideMark/>
          </w:tcPr>
          <w:p w14:paraId="52C3C80C" w14:textId="2931DDE2" w:rsidR="00051AE5" w:rsidRPr="00610088" w:rsidRDefault="00051AE5" w:rsidP="00051AE5">
            <w:pPr>
              <w:pStyle w:val="NoSpacing"/>
              <w:rPr>
                <w:sz w:val="18"/>
                <w:szCs w:val="18"/>
                <w:lang w:val="en-GB"/>
              </w:rPr>
            </w:pPr>
            <w:r w:rsidRPr="00610088">
              <w:rPr>
                <w:sz w:val="18"/>
                <w:szCs w:val="18"/>
                <w:lang w:val="en-GB"/>
              </w:rPr>
              <w:t>5.4 Nr of stakeholder orientation meetings on NCD prevention and control</w:t>
            </w:r>
          </w:p>
        </w:tc>
        <w:tc>
          <w:tcPr>
            <w:tcW w:w="2976" w:type="dxa"/>
            <w:shd w:val="clear" w:color="auto" w:fill="auto"/>
            <w:hideMark/>
          </w:tcPr>
          <w:p w14:paraId="5AFA85BB" w14:textId="77777777" w:rsidR="00051AE5" w:rsidRPr="00610088" w:rsidRDefault="00051AE5" w:rsidP="00051AE5">
            <w:pPr>
              <w:pStyle w:val="NoSpacing"/>
              <w:rPr>
                <w:sz w:val="18"/>
                <w:szCs w:val="18"/>
                <w:lang w:val="en-GB"/>
              </w:rPr>
            </w:pPr>
            <w:r w:rsidRPr="00610088">
              <w:rPr>
                <w:sz w:val="18"/>
                <w:szCs w:val="18"/>
                <w:lang w:val="en-GB"/>
              </w:rPr>
              <w:t>Meeting minutes and attendance lists of all district NCD committees</w:t>
            </w:r>
          </w:p>
        </w:tc>
        <w:tc>
          <w:tcPr>
            <w:tcW w:w="850" w:type="dxa"/>
            <w:shd w:val="clear" w:color="auto" w:fill="auto"/>
            <w:hideMark/>
          </w:tcPr>
          <w:p w14:paraId="57E94873"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2B8D44BC" w14:textId="77777777" w:rsidR="00051AE5" w:rsidRPr="00610088" w:rsidRDefault="00051AE5" w:rsidP="00051AE5">
            <w:pPr>
              <w:pStyle w:val="NoSpacing"/>
              <w:rPr>
                <w:sz w:val="18"/>
                <w:szCs w:val="18"/>
                <w:lang w:val="en-GB"/>
              </w:rPr>
            </w:pPr>
            <w:r w:rsidRPr="00610088">
              <w:rPr>
                <w:sz w:val="18"/>
                <w:szCs w:val="18"/>
                <w:lang w:val="en-GB"/>
              </w:rPr>
              <w:t xml:space="preserve">0 (DNCD&amp;MH, 2019) </w:t>
            </w:r>
          </w:p>
        </w:tc>
        <w:tc>
          <w:tcPr>
            <w:tcW w:w="850" w:type="dxa"/>
            <w:shd w:val="clear" w:color="auto" w:fill="auto"/>
            <w:hideMark/>
          </w:tcPr>
          <w:p w14:paraId="6592BBC8" w14:textId="77777777" w:rsidR="00051AE5" w:rsidRPr="00610088" w:rsidRDefault="00051AE5" w:rsidP="00051AE5">
            <w:pPr>
              <w:pStyle w:val="NoSpacing"/>
              <w:rPr>
                <w:sz w:val="18"/>
                <w:szCs w:val="18"/>
                <w:lang w:val="en-GB"/>
              </w:rPr>
            </w:pPr>
            <w:r w:rsidRPr="00610088">
              <w:rPr>
                <w:sz w:val="18"/>
                <w:szCs w:val="18"/>
                <w:lang w:val="en-GB"/>
              </w:rPr>
              <w:t>16 (1 per district)</w:t>
            </w:r>
          </w:p>
        </w:tc>
        <w:tc>
          <w:tcPr>
            <w:tcW w:w="851" w:type="dxa"/>
            <w:shd w:val="clear" w:color="auto" w:fill="auto"/>
            <w:hideMark/>
          </w:tcPr>
          <w:p w14:paraId="493ADF8B" w14:textId="77777777" w:rsidR="00051AE5" w:rsidRPr="00610088" w:rsidRDefault="00051AE5" w:rsidP="00051AE5">
            <w:pPr>
              <w:pStyle w:val="NoSpacing"/>
              <w:rPr>
                <w:sz w:val="18"/>
                <w:szCs w:val="18"/>
                <w:lang w:val="en-GB"/>
              </w:rPr>
            </w:pPr>
            <w:r w:rsidRPr="00610088">
              <w:rPr>
                <w:sz w:val="18"/>
                <w:szCs w:val="18"/>
                <w:lang w:val="en-GB"/>
              </w:rPr>
              <w:t>16 (1 per district)</w:t>
            </w:r>
          </w:p>
        </w:tc>
        <w:tc>
          <w:tcPr>
            <w:tcW w:w="850" w:type="dxa"/>
            <w:shd w:val="clear" w:color="auto" w:fill="auto"/>
            <w:hideMark/>
          </w:tcPr>
          <w:p w14:paraId="729EA2F2" w14:textId="77777777" w:rsidR="00051AE5" w:rsidRPr="00610088" w:rsidRDefault="00051AE5" w:rsidP="00051AE5">
            <w:pPr>
              <w:pStyle w:val="NoSpacing"/>
              <w:rPr>
                <w:sz w:val="18"/>
                <w:szCs w:val="18"/>
                <w:lang w:val="en-GB"/>
              </w:rPr>
            </w:pPr>
            <w:r w:rsidRPr="00610088">
              <w:rPr>
                <w:sz w:val="18"/>
                <w:szCs w:val="18"/>
                <w:lang w:val="en-GB"/>
              </w:rPr>
              <w:t>16 (1 per district)</w:t>
            </w:r>
          </w:p>
        </w:tc>
        <w:tc>
          <w:tcPr>
            <w:tcW w:w="772" w:type="dxa"/>
            <w:shd w:val="clear" w:color="auto" w:fill="auto"/>
            <w:hideMark/>
          </w:tcPr>
          <w:p w14:paraId="4ADE1ABF" w14:textId="77777777" w:rsidR="00051AE5" w:rsidRPr="00610088" w:rsidRDefault="00051AE5" w:rsidP="00051AE5">
            <w:pPr>
              <w:pStyle w:val="NoSpacing"/>
              <w:rPr>
                <w:sz w:val="18"/>
                <w:szCs w:val="18"/>
                <w:lang w:val="en-GB"/>
              </w:rPr>
            </w:pPr>
            <w:r w:rsidRPr="00610088">
              <w:rPr>
                <w:sz w:val="18"/>
                <w:szCs w:val="18"/>
                <w:lang w:val="en-GB"/>
              </w:rPr>
              <w:t>16 (1 per district)</w:t>
            </w:r>
          </w:p>
        </w:tc>
      </w:tr>
      <w:tr w:rsidR="00051AE5" w:rsidRPr="00610088" w14:paraId="48B415EB" w14:textId="77777777" w:rsidTr="00FC5D9B">
        <w:trPr>
          <w:trHeight w:val="227"/>
        </w:trPr>
        <w:tc>
          <w:tcPr>
            <w:tcW w:w="1555" w:type="dxa"/>
            <w:shd w:val="clear" w:color="000000" w:fill="D9E2F3"/>
            <w:hideMark/>
          </w:tcPr>
          <w:p w14:paraId="467D7B17" w14:textId="77777777" w:rsidR="00051AE5" w:rsidRPr="00610088" w:rsidRDefault="00051AE5" w:rsidP="00051AE5">
            <w:pPr>
              <w:pStyle w:val="NoSpacing"/>
              <w:rPr>
                <w:b/>
                <w:bCs/>
                <w:sz w:val="18"/>
                <w:szCs w:val="18"/>
                <w:lang w:val="en-GB"/>
              </w:rPr>
            </w:pPr>
            <w:r w:rsidRPr="00610088">
              <w:rPr>
                <w:b/>
                <w:bCs/>
                <w:sz w:val="18"/>
                <w:szCs w:val="18"/>
                <w:lang w:val="en-GB"/>
              </w:rPr>
              <w:t xml:space="preserve">SO5 - Ensure community level participation in all relevant NCD activities </w:t>
            </w:r>
          </w:p>
        </w:tc>
        <w:tc>
          <w:tcPr>
            <w:tcW w:w="3118" w:type="dxa"/>
            <w:shd w:val="clear" w:color="000000" w:fill="D9E2F3"/>
            <w:hideMark/>
          </w:tcPr>
          <w:p w14:paraId="56E7FCD8" w14:textId="3DB84C54" w:rsidR="00051AE5" w:rsidRPr="00610088" w:rsidRDefault="00051AE5" w:rsidP="00051AE5">
            <w:pPr>
              <w:pStyle w:val="NoSpacing"/>
              <w:rPr>
                <w:sz w:val="18"/>
                <w:szCs w:val="18"/>
                <w:lang w:val="en-GB"/>
              </w:rPr>
            </w:pPr>
            <w:r w:rsidRPr="00610088">
              <w:rPr>
                <w:sz w:val="18"/>
                <w:szCs w:val="18"/>
                <w:lang w:val="en-GB"/>
              </w:rPr>
              <w:t>5.5 Number of community engagement activities at district level on NCDs</w:t>
            </w:r>
          </w:p>
        </w:tc>
        <w:tc>
          <w:tcPr>
            <w:tcW w:w="2976" w:type="dxa"/>
            <w:shd w:val="clear" w:color="000000" w:fill="D9E2F3"/>
            <w:hideMark/>
          </w:tcPr>
          <w:p w14:paraId="34C7CABA" w14:textId="6A562D92" w:rsidR="00051AE5" w:rsidRPr="00610088" w:rsidRDefault="00051AE5" w:rsidP="00051AE5">
            <w:pPr>
              <w:pStyle w:val="NoSpacing"/>
              <w:rPr>
                <w:sz w:val="18"/>
                <w:szCs w:val="18"/>
                <w:lang w:val="en-GB"/>
              </w:rPr>
            </w:pPr>
            <w:r w:rsidRPr="00610088">
              <w:rPr>
                <w:sz w:val="18"/>
                <w:szCs w:val="18"/>
                <w:lang w:val="en-GB"/>
              </w:rPr>
              <w:t>Community engagement records</w:t>
            </w:r>
          </w:p>
        </w:tc>
        <w:tc>
          <w:tcPr>
            <w:tcW w:w="850" w:type="dxa"/>
            <w:shd w:val="clear" w:color="000000" w:fill="D9E2F3"/>
            <w:hideMark/>
          </w:tcPr>
          <w:p w14:paraId="6FB91809" w14:textId="50DCA9DA" w:rsidR="00051AE5" w:rsidRPr="00610088" w:rsidRDefault="00051AE5" w:rsidP="00051AE5">
            <w:pPr>
              <w:pStyle w:val="NoSpacing"/>
              <w:rPr>
                <w:sz w:val="18"/>
                <w:szCs w:val="18"/>
                <w:lang w:val="en-GB"/>
              </w:rPr>
            </w:pPr>
            <w:r w:rsidRPr="00610088">
              <w:rPr>
                <w:sz w:val="18"/>
                <w:szCs w:val="18"/>
                <w:lang w:val="en-GB"/>
              </w:rPr>
              <w:t> Annual</w:t>
            </w:r>
          </w:p>
        </w:tc>
        <w:tc>
          <w:tcPr>
            <w:tcW w:w="2551" w:type="dxa"/>
            <w:shd w:val="clear" w:color="000000" w:fill="D9E2F3"/>
            <w:hideMark/>
          </w:tcPr>
          <w:p w14:paraId="2ADC02A3" w14:textId="2881E7A8" w:rsidR="00051AE5" w:rsidRPr="00610088" w:rsidRDefault="00051AE5" w:rsidP="00051AE5">
            <w:pPr>
              <w:pStyle w:val="NoSpacing"/>
              <w:rPr>
                <w:sz w:val="18"/>
                <w:szCs w:val="18"/>
                <w:lang w:val="en-GB"/>
              </w:rPr>
            </w:pPr>
            <w:r w:rsidRPr="00610088">
              <w:rPr>
                <w:sz w:val="18"/>
                <w:szCs w:val="18"/>
                <w:lang w:val="en-GB"/>
              </w:rPr>
              <w:t>2 (WA urban), (DNCD&amp;MH)</w:t>
            </w:r>
          </w:p>
        </w:tc>
        <w:tc>
          <w:tcPr>
            <w:tcW w:w="850" w:type="dxa"/>
            <w:shd w:val="clear" w:color="000000" w:fill="D9E2F3"/>
            <w:hideMark/>
          </w:tcPr>
          <w:p w14:paraId="555DFA4F" w14:textId="759A7585" w:rsidR="00051AE5" w:rsidRPr="00610088" w:rsidRDefault="00051AE5" w:rsidP="00051AE5">
            <w:pPr>
              <w:pStyle w:val="NoSpacing"/>
              <w:rPr>
                <w:sz w:val="18"/>
                <w:szCs w:val="18"/>
                <w:lang w:val="en-GB"/>
              </w:rPr>
            </w:pPr>
            <w:r w:rsidRPr="00610088">
              <w:rPr>
                <w:sz w:val="18"/>
                <w:szCs w:val="18"/>
                <w:lang w:val="en-GB"/>
              </w:rPr>
              <w:t>32 (2/district)</w:t>
            </w:r>
          </w:p>
        </w:tc>
        <w:tc>
          <w:tcPr>
            <w:tcW w:w="851" w:type="dxa"/>
            <w:shd w:val="clear" w:color="000000" w:fill="D9E2F3"/>
            <w:hideMark/>
          </w:tcPr>
          <w:p w14:paraId="11589366" w14:textId="014627C2" w:rsidR="00051AE5" w:rsidRPr="00610088" w:rsidRDefault="00051AE5" w:rsidP="00051AE5">
            <w:pPr>
              <w:pStyle w:val="NoSpacing"/>
              <w:rPr>
                <w:sz w:val="18"/>
                <w:szCs w:val="18"/>
                <w:lang w:val="en-GB"/>
              </w:rPr>
            </w:pPr>
            <w:r w:rsidRPr="00610088">
              <w:rPr>
                <w:sz w:val="18"/>
                <w:szCs w:val="18"/>
                <w:lang w:val="en-GB"/>
              </w:rPr>
              <w:t>48 (3/district)</w:t>
            </w:r>
          </w:p>
        </w:tc>
        <w:tc>
          <w:tcPr>
            <w:tcW w:w="850" w:type="dxa"/>
            <w:shd w:val="clear" w:color="000000" w:fill="D9E2F3"/>
            <w:hideMark/>
          </w:tcPr>
          <w:p w14:paraId="12899AA6" w14:textId="77777777" w:rsidR="00051AE5" w:rsidRPr="00610088" w:rsidRDefault="00051AE5" w:rsidP="00051AE5">
            <w:pPr>
              <w:pStyle w:val="NoSpacing"/>
              <w:rPr>
                <w:sz w:val="18"/>
                <w:szCs w:val="18"/>
                <w:lang w:val="en-GB"/>
              </w:rPr>
            </w:pPr>
            <w:r w:rsidRPr="00610088">
              <w:rPr>
                <w:sz w:val="18"/>
                <w:szCs w:val="18"/>
                <w:lang w:val="en-GB"/>
              </w:rPr>
              <w:t>64</w:t>
            </w:r>
          </w:p>
          <w:p w14:paraId="0E1B7CB6" w14:textId="43FE9E0F" w:rsidR="00051AE5" w:rsidRPr="00610088" w:rsidRDefault="00051AE5" w:rsidP="00051AE5">
            <w:pPr>
              <w:pStyle w:val="NoSpacing"/>
              <w:rPr>
                <w:sz w:val="18"/>
                <w:szCs w:val="18"/>
                <w:lang w:val="en-GB"/>
              </w:rPr>
            </w:pPr>
            <w:r w:rsidRPr="00610088">
              <w:rPr>
                <w:sz w:val="18"/>
                <w:szCs w:val="18"/>
                <w:lang w:val="en-GB"/>
              </w:rPr>
              <w:t>(4/district)</w:t>
            </w:r>
          </w:p>
        </w:tc>
        <w:tc>
          <w:tcPr>
            <w:tcW w:w="772" w:type="dxa"/>
            <w:shd w:val="clear" w:color="000000" w:fill="D9E2F3"/>
            <w:hideMark/>
          </w:tcPr>
          <w:p w14:paraId="4F8BFEA0" w14:textId="6AC6437A" w:rsidR="00051AE5" w:rsidRPr="00610088" w:rsidRDefault="00051AE5" w:rsidP="00051AE5">
            <w:pPr>
              <w:pStyle w:val="NoSpacing"/>
              <w:rPr>
                <w:sz w:val="18"/>
                <w:szCs w:val="18"/>
                <w:lang w:val="en-GB"/>
              </w:rPr>
            </w:pPr>
            <w:r w:rsidRPr="00610088">
              <w:rPr>
                <w:sz w:val="18"/>
                <w:szCs w:val="18"/>
                <w:lang w:val="en-GB"/>
              </w:rPr>
              <w:t>64 (4/district)</w:t>
            </w:r>
          </w:p>
        </w:tc>
      </w:tr>
      <w:tr w:rsidR="00051AE5" w:rsidRPr="00610088" w14:paraId="056A7254" w14:textId="77777777" w:rsidTr="00FC5D9B">
        <w:trPr>
          <w:trHeight w:val="227"/>
        </w:trPr>
        <w:tc>
          <w:tcPr>
            <w:tcW w:w="1555" w:type="dxa"/>
            <w:shd w:val="clear" w:color="auto" w:fill="auto"/>
            <w:hideMark/>
          </w:tcPr>
          <w:p w14:paraId="3FB9B163" w14:textId="77777777" w:rsidR="00051AE5" w:rsidRPr="00610088" w:rsidRDefault="00051AE5" w:rsidP="00051AE5">
            <w:pPr>
              <w:pStyle w:val="NoSpacing"/>
              <w:rPr>
                <w:b/>
                <w:bCs/>
                <w:sz w:val="18"/>
                <w:szCs w:val="18"/>
                <w:lang w:val="en-GB"/>
              </w:rPr>
            </w:pPr>
            <w:r w:rsidRPr="00610088">
              <w:rPr>
                <w:b/>
                <w:bCs/>
                <w:sz w:val="18"/>
                <w:szCs w:val="18"/>
                <w:lang w:val="en-GB"/>
              </w:rPr>
              <w:t xml:space="preserve">SO5- Participation of all relevant NCD implementers / stakeholders/ partners/ donors in coordination and partnership structures </w:t>
            </w:r>
          </w:p>
        </w:tc>
        <w:tc>
          <w:tcPr>
            <w:tcW w:w="3118" w:type="dxa"/>
            <w:shd w:val="clear" w:color="auto" w:fill="auto"/>
            <w:hideMark/>
          </w:tcPr>
          <w:p w14:paraId="51D6F4B6" w14:textId="4CFD1CBC" w:rsidR="00051AE5" w:rsidRPr="00610088" w:rsidRDefault="00051AE5" w:rsidP="00051AE5">
            <w:pPr>
              <w:pStyle w:val="NoSpacing"/>
              <w:rPr>
                <w:sz w:val="18"/>
                <w:szCs w:val="18"/>
                <w:lang w:val="en-GB"/>
              </w:rPr>
            </w:pPr>
            <w:r w:rsidRPr="00610088">
              <w:rPr>
                <w:sz w:val="18"/>
                <w:szCs w:val="18"/>
                <w:lang w:val="en-GB"/>
              </w:rPr>
              <w:t>5.6 Presence of an actively updated database with all relevant NCD partners</w:t>
            </w:r>
          </w:p>
        </w:tc>
        <w:tc>
          <w:tcPr>
            <w:tcW w:w="2976" w:type="dxa"/>
            <w:shd w:val="clear" w:color="auto" w:fill="auto"/>
            <w:hideMark/>
          </w:tcPr>
          <w:p w14:paraId="6E42746C" w14:textId="77777777" w:rsidR="00051AE5" w:rsidRPr="00610088" w:rsidRDefault="00051AE5" w:rsidP="00051AE5">
            <w:pPr>
              <w:pStyle w:val="NoSpacing"/>
              <w:rPr>
                <w:sz w:val="18"/>
                <w:szCs w:val="18"/>
                <w:lang w:val="en-GB"/>
              </w:rPr>
            </w:pPr>
            <w:r w:rsidRPr="00610088">
              <w:rPr>
                <w:sz w:val="18"/>
                <w:szCs w:val="18"/>
                <w:lang w:val="en-GB"/>
              </w:rPr>
              <w:t>Database itself, DNCD&amp;MH documents that provide evidence most / all partners are included</w:t>
            </w:r>
          </w:p>
        </w:tc>
        <w:tc>
          <w:tcPr>
            <w:tcW w:w="850" w:type="dxa"/>
            <w:shd w:val="clear" w:color="auto" w:fill="auto"/>
            <w:hideMark/>
          </w:tcPr>
          <w:p w14:paraId="067945BB"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7574B906" w14:textId="77777777" w:rsidR="00051AE5" w:rsidRPr="00610088" w:rsidRDefault="00051AE5" w:rsidP="00051AE5">
            <w:pPr>
              <w:pStyle w:val="NoSpacing"/>
              <w:rPr>
                <w:sz w:val="18"/>
                <w:szCs w:val="18"/>
                <w:lang w:val="en-GB"/>
              </w:rPr>
            </w:pPr>
            <w:r w:rsidRPr="00610088">
              <w:rPr>
                <w:sz w:val="18"/>
                <w:szCs w:val="18"/>
                <w:lang w:val="en-GB"/>
              </w:rPr>
              <w:t>No</w:t>
            </w:r>
          </w:p>
        </w:tc>
        <w:tc>
          <w:tcPr>
            <w:tcW w:w="850" w:type="dxa"/>
            <w:shd w:val="clear" w:color="auto" w:fill="auto"/>
            <w:hideMark/>
          </w:tcPr>
          <w:p w14:paraId="19EB0DD3" w14:textId="77777777" w:rsidR="00051AE5" w:rsidRPr="00610088" w:rsidRDefault="00051AE5" w:rsidP="00051AE5">
            <w:pPr>
              <w:pStyle w:val="NoSpacing"/>
              <w:rPr>
                <w:sz w:val="18"/>
                <w:szCs w:val="18"/>
                <w:lang w:val="en-GB"/>
              </w:rPr>
            </w:pPr>
            <w:r w:rsidRPr="00610088">
              <w:rPr>
                <w:sz w:val="18"/>
                <w:szCs w:val="18"/>
                <w:lang w:val="en-GB"/>
              </w:rPr>
              <w:t>Yes</w:t>
            </w:r>
          </w:p>
        </w:tc>
        <w:tc>
          <w:tcPr>
            <w:tcW w:w="851" w:type="dxa"/>
            <w:shd w:val="clear" w:color="auto" w:fill="auto"/>
            <w:hideMark/>
          </w:tcPr>
          <w:p w14:paraId="697E07D4" w14:textId="77777777" w:rsidR="00051AE5" w:rsidRPr="00610088" w:rsidRDefault="00051AE5" w:rsidP="00051AE5">
            <w:pPr>
              <w:pStyle w:val="NoSpacing"/>
              <w:rPr>
                <w:sz w:val="18"/>
                <w:szCs w:val="18"/>
                <w:lang w:val="en-GB"/>
              </w:rPr>
            </w:pPr>
            <w:r w:rsidRPr="00610088">
              <w:rPr>
                <w:sz w:val="18"/>
                <w:szCs w:val="18"/>
                <w:lang w:val="en-GB"/>
              </w:rPr>
              <w:t>Yes</w:t>
            </w:r>
          </w:p>
        </w:tc>
        <w:tc>
          <w:tcPr>
            <w:tcW w:w="850" w:type="dxa"/>
            <w:shd w:val="clear" w:color="auto" w:fill="auto"/>
            <w:hideMark/>
          </w:tcPr>
          <w:p w14:paraId="22FF485A" w14:textId="77777777" w:rsidR="00051AE5" w:rsidRPr="00610088" w:rsidRDefault="00051AE5" w:rsidP="00051AE5">
            <w:pPr>
              <w:pStyle w:val="NoSpacing"/>
              <w:rPr>
                <w:sz w:val="18"/>
                <w:szCs w:val="18"/>
                <w:lang w:val="en-GB"/>
              </w:rPr>
            </w:pPr>
            <w:r w:rsidRPr="00610088">
              <w:rPr>
                <w:sz w:val="18"/>
                <w:szCs w:val="18"/>
                <w:lang w:val="en-GB"/>
              </w:rPr>
              <w:t>Yes</w:t>
            </w:r>
          </w:p>
        </w:tc>
        <w:tc>
          <w:tcPr>
            <w:tcW w:w="772" w:type="dxa"/>
            <w:shd w:val="clear" w:color="auto" w:fill="auto"/>
            <w:hideMark/>
          </w:tcPr>
          <w:p w14:paraId="36877399" w14:textId="77777777" w:rsidR="00051AE5" w:rsidRPr="00610088" w:rsidRDefault="00051AE5" w:rsidP="00051AE5">
            <w:pPr>
              <w:pStyle w:val="NoSpacing"/>
              <w:rPr>
                <w:sz w:val="18"/>
                <w:szCs w:val="18"/>
                <w:lang w:val="en-GB"/>
              </w:rPr>
            </w:pPr>
            <w:r w:rsidRPr="00610088">
              <w:rPr>
                <w:sz w:val="18"/>
                <w:szCs w:val="18"/>
                <w:lang w:val="en-GB"/>
              </w:rPr>
              <w:t>Yes</w:t>
            </w:r>
          </w:p>
        </w:tc>
      </w:tr>
      <w:tr w:rsidR="00051AE5" w:rsidRPr="00610088" w14:paraId="0E14CEFD" w14:textId="77777777" w:rsidTr="00FC5D9B">
        <w:trPr>
          <w:trHeight w:val="227"/>
        </w:trPr>
        <w:tc>
          <w:tcPr>
            <w:tcW w:w="1555" w:type="dxa"/>
            <w:shd w:val="clear" w:color="000000" w:fill="D9E2F3"/>
            <w:hideMark/>
          </w:tcPr>
          <w:p w14:paraId="5FB0A767" w14:textId="0486264E" w:rsidR="00051AE5" w:rsidRPr="00610088" w:rsidRDefault="00051AE5" w:rsidP="00051AE5">
            <w:pPr>
              <w:pStyle w:val="NoSpacing"/>
              <w:rPr>
                <w:b/>
                <w:bCs/>
                <w:sz w:val="18"/>
                <w:szCs w:val="18"/>
                <w:lang w:val="en-GB"/>
              </w:rPr>
            </w:pPr>
            <w:r w:rsidRPr="00610088">
              <w:rPr>
                <w:b/>
                <w:bCs/>
                <w:sz w:val="18"/>
                <w:szCs w:val="18"/>
                <w:lang w:val="en-GB"/>
              </w:rPr>
              <w:lastRenderedPageBreak/>
              <w:t xml:space="preserve">SO5- Alignment of all NCD implementers to NCD Directorate/ </w:t>
            </w:r>
            <w:proofErr w:type="spellStart"/>
            <w:r w:rsidR="00156C15">
              <w:rPr>
                <w:b/>
                <w:bCs/>
                <w:sz w:val="18"/>
                <w:szCs w:val="18"/>
                <w:lang w:val="en-GB"/>
              </w:rPr>
              <w:t>MoHS</w:t>
            </w:r>
            <w:proofErr w:type="spellEnd"/>
            <w:r w:rsidRPr="00610088">
              <w:rPr>
                <w:b/>
                <w:bCs/>
                <w:sz w:val="18"/>
                <w:szCs w:val="18"/>
                <w:lang w:val="en-GB"/>
              </w:rPr>
              <w:t xml:space="preserve"> NCD guidelines / programs </w:t>
            </w:r>
          </w:p>
        </w:tc>
        <w:tc>
          <w:tcPr>
            <w:tcW w:w="3118" w:type="dxa"/>
            <w:shd w:val="clear" w:color="000000" w:fill="D9E2F3"/>
            <w:hideMark/>
          </w:tcPr>
          <w:p w14:paraId="1712FEAD" w14:textId="34EF7D3C" w:rsidR="00051AE5" w:rsidRPr="00610088" w:rsidRDefault="00051AE5" w:rsidP="00051AE5">
            <w:pPr>
              <w:pStyle w:val="NoSpacing"/>
              <w:rPr>
                <w:sz w:val="18"/>
                <w:szCs w:val="18"/>
                <w:lang w:val="en-GB"/>
              </w:rPr>
            </w:pPr>
            <w:r w:rsidRPr="00610088">
              <w:rPr>
                <w:sz w:val="18"/>
                <w:szCs w:val="18"/>
                <w:lang w:val="en-GB"/>
              </w:rPr>
              <w:t>5.7 Attendance of partners to harmonization / joint development meetings</w:t>
            </w:r>
          </w:p>
        </w:tc>
        <w:tc>
          <w:tcPr>
            <w:tcW w:w="2976" w:type="dxa"/>
            <w:shd w:val="clear" w:color="000000" w:fill="D9E2F3"/>
            <w:hideMark/>
          </w:tcPr>
          <w:p w14:paraId="59848D7F" w14:textId="30D7D9F5" w:rsidR="00051AE5" w:rsidRPr="00610088" w:rsidRDefault="00051AE5" w:rsidP="00051AE5">
            <w:pPr>
              <w:pStyle w:val="NoSpacing"/>
              <w:rPr>
                <w:sz w:val="18"/>
                <w:szCs w:val="18"/>
                <w:lang w:val="en-GB"/>
              </w:rPr>
            </w:pPr>
            <w:r w:rsidRPr="00610088">
              <w:rPr>
                <w:sz w:val="18"/>
                <w:szCs w:val="18"/>
                <w:lang w:val="en-GB"/>
              </w:rPr>
              <w:t> Attendance lists and minutes</w:t>
            </w:r>
          </w:p>
        </w:tc>
        <w:tc>
          <w:tcPr>
            <w:tcW w:w="850" w:type="dxa"/>
            <w:shd w:val="clear" w:color="000000" w:fill="D9E2F3"/>
            <w:hideMark/>
          </w:tcPr>
          <w:p w14:paraId="4D351D13"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000000" w:fill="D9E2F3"/>
            <w:hideMark/>
          </w:tcPr>
          <w:p w14:paraId="09A936E0" w14:textId="77777777" w:rsidR="00051AE5" w:rsidRPr="00610088" w:rsidRDefault="00051AE5" w:rsidP="00051AE5">
            <w:pPr>
              <w:pStyle w:val="NoSpacing"/>
              <w:rPr>
                <w:sz w:val="18"/>
                <w:szCs w:val="18"/>
                <w:lang w:val="en-GB"/>
              </w:rPr>
            </w:pPr>
            <w:r w:rsidRPr="00610088">
              <w:rPr>
                <w:sz w:val="18"/>
                <w:szCs w:val="18"/>
                <w:lang w:val="en-GB"/>
              </w:rPr>
              <w:t>No</w:t>
            </w:r>
          </w:p>
        </w:tc>
        <w:tc>
          <w:tcPr>
            <w:tcW w:w="850" w:type="dxa"/>
            <w:shd w:val="clear" w:color="000000" w:fill="D9E2F3"/>
            <w:hideMark/>
          </w:tcPr>
          <w:p w14:paraId="3BAAE21A" w14:textId="77777777" w:rsidR="00051AE5" w:rsidRPr="00610088" w:rsidRDefault="00051AE5" w:rsidP="00051AE5">
            <w:pPr>
              <w:pStyle w:val="NoSpacing"/>
              <w:rPr>
                <w:sz w:val="18"/>
                <w:szCs w:val="18"/>
                <w:lang w:val="en-GB"/>
              </w:rPr>
            </w:pPr>
            <w:r w:rsidRPr="00610088">
              <w:rPr>
                <w:sz w:val="18"/>
                <w:szCs w:val="18"/>
                <w:lang w:val="en-GB"/>
              </w:rPr>
              <w:t>Yes</w:t>
            </w:r>
          </w:p>
        </w:tc>
        <w:tc>
          <w:tcPr>
            <w:tcW w:w="851" w:type="dxa"/>
            <w:shd w:val="clear" w:color="000000" w:fill="D9E2F3"/>
            <w:hideMark/>
          </w:tcPr>
          <w:p w14:paraId="25B0D82A" w14:textId="77777777" w:rsidR="00051AE5" w:rsidRPr="00610088" w:rsidRDefault="00051AE5" w:rsidP="00051AE5">
            <w:pPr>
              <w:pStyle w:val="NoSpacing"/>
              <w:rPr>
                <w:sz w:val="18"/>
                <w:szCs w:val="18"/>
                <w:lang w:val="en-GB"/>
              </w:rPr>
            </w:pPr>
            <w:r w:rsidRPr="00610088">
              <w:rPr>
                <w:sz w:val="18"/>
                <w:szCs w:val="18"/>
                <w:lang w:val="en-GB"/>
              </w:rPr>
              <w:t>Yes</w:t>
            </w:r>
          </w:p>
        </w:tc>
        <w:tc>
          <w:tcPr>
            <w:tcW w:w="850" w:type="dxa"/>
            <w:shd w:val="clear" w:color="000000" w:fill="D9E2F3"/>
            <w:hideMark/>
          </w:tcPr>
          <w:p w14:paraId="0C617922" w14:textId="77777777" w:rsidR="00051AE5" w:rsidRPr="00610088" w:rsidRDefault="00051AE5" w:rsidP="00051AE5">
            <w:pPr>
              <w:pStyle w:val="NoSpacing"/>
              <w:rPr>
                <w:sz w:val="18"/>
                <w:szCs w:val="18"/>
                <w:lang w:val="en-GB"/>
              </w:rPr>
            </w:pPr>
            <w:r w:rsidRPr="00610088">
              <w:rPr>
                <w:sz w:val="18"/>
                <w:szCs w:val="18"/>
                <w:lang w:val="en-GB"/>
              </w:rPr>
              <w:t>Yes</w:t>
            </w:r>
          </w:p>
        </w:tc>
        <w:tc>
          <w:tcPr>
            <w:tcW w:w="772" w:type="dxa"/>
            <w:shd w:val="clear" w:color="000000" w:fill="D9E2F3"/>
            <w:hideMark/>
          </w:tcPr>
          <w:p w14:paraId="1270D7D5" w14:textId="77777777" w:rsidR="00051AE5" w:rsidRPr="00610088" w:rsidRDefault="00051AE5" w:rsidP="00051AE5">
            <w:pPr>
              <w:pStyle w:val="NoSpacing"/>
              <w:rPr>
                <w:sz w:val="18"/>
                <w:szCs w:val="18"/>
                <w:lang w:val="en-GB"/>
              </w:rPr>
            </w:pPr>
            <w:r w:rsidRPr="00610088">
              <w:rPr>
                <w:sz w:val="18"/>
                <w:szCs w:val="18"/>
                <w:lang w:val="en-GB"/>
              </w:rPr>
              <w:t>Yes</w:t>
            </w:r>
          </w:p>
        </w:tc>
      </w:tr>
      <w:tr w:rsidR="00051AE5" w:rsidRPr="00610088" w14:paraId="0EFF547A" w14:textId="77777777" w:rsidTr="00FC5D9B">
        <w:trPr>
          <w:trHeight w:val="227"/>
        </w:trPr>
        <w:tc>
          <w:tcPr>
            <w:tcW w:w="1555" w:type="dxa"/>
            <w:vMerge w:val="restart"/>
            <w:shd w:val="clear" w:color="auto" w:fill="auto"/>
            <w:hideMark/>
          </w:tcPr>
          <w:p w14:paraId="4F5573C3" w14:textId="77777777" w:rsidR="00051AE5" w:rsidRPr="00610088" w:rsidRDefault="00051AE5" w:rsidP="00051AE5">
            <w:pPr>
              <w:pStyle w:val="NoSpacing"/>
              <w:rPr>
                <w:b/>
                <w:bCs/>
                <w:sz w:val="18"/>
                <w:szCs w:val="18"/>
                <w:lang w:val="en-GB"/>
              </w:rPr>
            </w:pPr>
            <w:r w:rsidRPr="00610088">
              <w:rPr>
                <w:b/>
                <w:bCs/>
                <w:sz w:val="18"/>
                <w:szCs w:val="18"/>
                <w:lang w:val="en-GB"/>
              </w:rPr>
              <w:t>SO6 - Obtain data for action and advocacy</w:t>
            </w:r>
          </w:p>
        </w:tc>
        <w:tc>
          <w:tcPr>
            <w:tcW w:w="3118" w:type="dxa"/>
            <w:shd w:val="clear" w:color="auto" w:fill="auto"/>
            <w:hideMark/>
          </w:tcPr>
          <w:p w14:paraId="1C46CDFE" w14:textId="5585FCCF" w:rsidR="00051AE5" w:rsidRPr="00610088" w:rsidRDefault="00051AE5" w:rsidP="00051AE5">
            <w:pPr>
              <w:pStyle w:val="NoSpacing"/>
              <w:rPr>
                <w:sz w:val="18"/>
                <w:szCs w:val="18"/>
                <w:lang w:val="en-GB"/>
              </w:rPr>
            </w:pPr>
            <w:r w:rsidRPr="00610088">
              <w:rPr>
                <w:sz w:val="18"/>
                <w:szCs w:val="18"/>
                <w:lang w:val="en-GB"/>
              </w:rPr>
              <w:t>6.1 Nr of STEPS surveys conducted in the last 12 months</w:t>
            </w:r>
          </w:p>
        </w:tc>
        <w:tc>
          <w:tcPr>
            <w:tcW w:w="2976" w:type="dxa"/>
            <w:shd w:val="clear" w:color="auto" w:fill="auto"/>
            <w:hideMark/>
          </w:tcPr>
          <w:p w14:paraId="7414658B" w14:textId="77777777" w:rsidR="00051AE5" w:rsidRPr="00610088" w:rsidRDefault="00051AE5" w:rsidP="00051AE5">
            <w:pPr>
              <w:pStyle w:val="NoSpacing"/>
              <w:rPr>
                <w:sz w:val="18"/>
                <w:szCs w:val="18"/>
                <w:lang w:val="en-GB"/>
              </w:rPr>
            </w:pPr>
            <w:r w:rsidRPr="00610088">
              <w:rPr>
                <w:sz w:val="18"/>
                <w:szCs w:val="18"/>
                <w:lang w:val="en-GB"/>
              </w:rPr>
              <w:t>Last STEPS survey report</w:t>
            </w:r>
          </w:p>
        </w:tc>
        <w:tc>
          <w:tcPr>
            <w:tcW w:w="850" w:type="dxa"/>
            <w:shd w:val="clear" w:color="auto" w:fill="auto"/>
            <w:hideMark/>
          </w:tcPr>
          <w:p w14:paraId="4D888C5E"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0A7DCA31"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auto"/>
            <w:hideMark/>
          </w:tcPr>
          <w:p w14:paraId="16C27DB0" w14:textId="77777777" w:rsidR="00051AE5" w:rsidRPr="00610088" w:rsidRDefault="00051AE5" w:rsidP="00051AE5">
            <w:pPr>
              <w:pStyle w:val="NoSpacing"/>
              <w:rPr>
                <w:sz w:val="18"/>
                <w:szCs w:val="18"/>
                <w:lang w:val="en-GB"/>
              </w:rPr>
            </w:pPr>
            <w:r w:rsidRPr="00610088">
              <w:rPr>
                <w:sz w:val="18"/>
                <w:szCs w:val="18"/>
                <w:lang w:val="en-GB"/>
              </w:rPr>
              <w:t>1</w:t>
            </w:r>
          </w:p>
        </w:tc>
        <w:tc>
          <w:tcPr>
            <w:tcW w:w="851" w:type="dxa"/>
            <w:shd w:val="clear" w:color="auto" w:fill="auto"/>
            <w:hideMark/>
          </w:tcPr>
          <w:p w14:paraId="3E5C9225" w14:textId="77777777" w:rsidR="00051AE5" w:rsidRPr="00610088" w:rsidRDefault="00051AE5" w:rsidP="00051AE5">
            <w:pPr>
              <w:pStyle w:val="NoSpacing"/>
              <w:rPr>
                <w:sz w:val="18"/>
                <w:szCs w:val="18"/>
                <w:lang w:val="en-GB"/>
              </w:rPr>
            </w:pPr>
            <w:r w:rsidRPr="00610088">
              <w:rPr>
                <w:sz w:val="18"/>
                <w:szCs w:val="18"/>
                <w:lang w:val="en-GB"/>
              </w:rPr>
              <w:t>0</w:t>
            </w:r>
          </w:p>
        </w:tc>
        <w:tc>
          <w:tcPr>
            <w:tcW w:w="850" w:type="dxa"/>
            <w:shd w:val="clear" w:color="auto" w:fill="auto"/>
            <w:hideMark/>
          </w:tcPr>
          <w:p w14:paraId="005F5AAE" w14:textId="77777777" w:rsidR="00051AE5" w:rsidRPr="00610088" w:rsidRDefault="00051AE5" w:rsidP="00051AE5">
            <w:pPr>
              <w:pStyle w:val="NoSpacing"/>
              <w:rPr>
                <w:sz w:val="18"/>
                <w:szCs w:val="18"/>
                <w:lang w:val="en-GB"/>
              </w:rPr>
            </w:pPr>
            <w:r w:rsidRPr="00610088">
              <w:rPr>
                <w:sz w:val="18"/>
                <w:szCs w:val="18"/>
                <w:lang w:val="en-GB"/>
              </w:rPr>
              <w:t>0</w:t>
            </w:r>
          </w:p>
        </w:tc>
        <w:tc>
          <w:tcPr>
            <w:tcW w:w="772" w:type="dxa"/>
            <w:shd w:val="clear" w:color="auto" w:fill="auto"/>
            <w:hideMark/>
          </w:tcPr>
          <w:p w14:paraId="65267264" w14:textId="77777777" w:rsidR="00051AE5" w:rsidRPr="00610088" w:rsidRDefault="00051AE5" w:rsidP="00051AE5">
            <w:pPr>
              <w:pStyle w:val="NoSpacing"/>
              <w:rPr>
                <w:sz w:val="18"/>
                <w:szCs w:val="18"/>
                <w:lang w:val="en-GB"/>
              </w:rPr>
            </w:pPr>
            <w:r w:rsidRPr="00610088">
              <w:rPr>
                <w:sz w:val="18"/>
                <w:szCs w:val="18"/>
                <w:lang w:val="en-GB"/>
              </w:rPr>
              <w:t>1</w:t>
            </w:r>
          </w:p>
        </w:tc>
      </w:tr>
      <w:tr w:rsidR="00051AE5" w:rsidRPr="00610088" w14:paraId="1D1530BA" w14:textId="77777777" w:rsidTr="00FC5D9B">
        <w:trPr>
          <w:trHeight w:val="227"/>
        </w:trPr>
        <w:tc>
          <w:tcPr>
            <w:tcW w:w="1555" w:type="dxa"/>
            <w:vMerge/>
            <w:shd w:val="clear" w:color="auto" w:fill="auto"/>
            <w:vAlign w:val="center"/>
            <w:hideMark/>
          </w:tcPr>
          <w:p w14:paraId="74588EA1" w14:textId="77777777" w:rsidR="00051AE5" w:rsidRPr="00610088" w:rsidRDefault="00051AE5" w:rsidP="00051AE5">
            <w:pPr>
              <w:pStyle w:val="NoSpacing"/>
              <w:rPr>
                <w:sz w:val="18"/>
                <w:szCs w:val="18"/>
                <w:lang w:val="en-GB"/>
              </w:rPr>
            </w:pPr>
          </w:p>
        </w:tc>
        <w:tc>
          <w:tcPr>
            <w:tcW w:w="3118" w:type="dxa"/>
            <w:shd w:val="clear" w:color="auto" w:fill="auto"/>
            <w:hideMark/>
          </w:tcPr>
          <w:p w14:paraId="0464AD2E" w14:textId="5C2EF4B1" w:rsidR="00051AE5" w:rsidRPr="00610088" w:rsidRDefault="00051AE5" w:rsidP="00051AE5">
            <w:pPr>
              <w:pStyle w:val="NoSpacing"/>
              <w:rPr>
                <w:sz w:val="18"/>
                <w:szCs w:val="18"/>
                <w:lang w:val="en-GB"/>
              </w:rPr>
            </w:pPr>
            <w:r w:rsidRPr="00610088">
              <w:rPr>
                <w:sz w:val="18"/>
                <w:szCs w:val="18"/>
                <w:lang w:val="en-GB"/>
              </w:rPr>
              <w:t>6.2 Nr of quarterly NCD data analysis reports</w:t>
            </w:r>
          </w:p>
        </w:tc>
        <w:tc>
          <w:tcPr>
            <w:tcW w:w="2976" w:type="dxa"/>
            <w:shd w:val="clear" w:color="auto" w:fill="auto"/>
            <w:hideMark/>
          </w:tcPr>
          <w:p w14:paraId="31E922BC" w14:textId="77777777" w:rsidR="00051AE5" w:rsidRPr="00610088" w:rsidRDefault="00051AE5" w:rsidP="00051AE5">
            <w:pPr>
              <w:pStyle w:val="NoSpacing"/>
              <w:rPr>
                <w:sz w:val="18"/>
                <w:szCs w:val="18"/>
                <w:lang w:val="en-GB"/>
              </w:rPr>
            </w:pPr>
            <w:r w:rsidRPr="00610088">
              <w:rPr>
                <w:sz w:val="18"/>
                <w:szCs w:val="18"/>
                <w:lang w:val="en-GB"/>
              </w:rPr>
              <w:t>Quarterly data reports</w:t>
            </w:r>
          </w:p>
        </w:tc>
        <w:tc>
          <w:tcPr>
            <w:tcW w:w="850" w:type="dxa"/>
            <w:shd w:val="clear" w:color="auto" w:fill="auto"/>
            <w:hideMark/>
          </w:tcPr>
          <w:p w14:paraId="57E64B4E"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38E3D457"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auto"/>
            <w:hideMark/>
          </w:tcPr>
          <w:p w14:paraId="1755E1C1" w14:textId="77777777" w:rsidR="00051AE5" w:rsidRPr="00610088" w:rsidRDefault="00051AE5" w:rsidP="00051AE5">
            <w:pPr>
              <w:pStyle w:val="NoSpacing"/>
              <w:rPr>
                <w:sz w:val="18"/>
                <w:szCs w:val="18"/>
                <w:lang w:val="en-GB"/>
              </w:rPr>
            </w:pPr>
            <w:r w:rsidRPr="00610088">
              <w:rPr>
                <w:sz w:val="18"/>
                <w:szCs w:val="18"/>
                <w:lang w:val="en-GB"/>
              </w:rPr>
              <w:t>4</w:t>
            </w:r>
          </w:p>
        </w:tc>
        <w:tc>
          <w:tcPr>
            <w:tcW w:w="851" w:type="dxa"/>
            <w:shd w:val="clear" w:color="auto" w:fill="auto"/>
            <w:hideMark/>
          </w:tcPr>
          <w:p w14:paraId="54C25BEA" w14:textId="77777777" w:rsidR="00051AE5" w:rsidRPr="00610088" w:rsidRDefault="00051AE5" w:rsidP="00051AE5">
            <w:pPr>
              <w:pStyle w:val="NoSpacing"/>
              <w:rPr>
                <w:sz w:val="18"/>
                <w:szCs w:val="18"/>
                <w:lang w:val="en-GB"/>
              </w:rPr>
            </w:pPr>
            <w:r w:rsidRPr="00610088">
              <w:rPr>
                <w:sz w:val="18"/>
                <w:szCs w:val="18"/>
                <w:lang w:val="en-GB"/>
              </w:rPr>
              <w:t>4</w:t>
            </w:r>
          </w:p>
        </w:tc>
        <w:tc>
          <w:tcPr>
            <w:tcW w:w="850" w:type="dxa"/>
            <w:shd w:val="clear" w:color="auto" w:fill="auto"/>
            <w:hideMark/>
          </w:tcPr>
          <w:p w14:paraId="3F4CFFB1" w14:textId="77777777" w:rsidR="00051AE5" w:rsidRPr="00610088" w:rsidRDefault="00051AE5" w:rsidP="00051AE5">
            <w:pPr>
              <w:pStyle w:val="NoSpacing"/>
              <w:rPr>
                <w:sz w:val="18"/>
                <w:szCs w:val="18"/>
                <w:lang w:val="en-GB"/>
              </w:rPr>
            </w:pPr>
            <w:r w:rsidRPr="00610088">
              <w:rPr>
                <w:sz w:val="18"/>
                <w:szCs w:val="18"/>
                <w:lang w:val="en-GB"/>
              </w:rPr>
              <w:t>4</w:t>
            </w:r>
          </w:p>
        </w:tc>
        <w:tc>
          <w:tcPr>
            <w:tcW w:w="772" w:type="dxa"/>
            <w:shd w:val="clear" w:color="auto" w:fill="auto"/>
            <w:hideMark/>
          </w:tcPr>
          <w:p w14:paraId="07FA016C" w14:textId="77777777" w:rsidR="00051AE5" w:rsidRPr="00610088" w:rsidRDefault="00051AE5" w:rsidP="00051AE5">
            <w:pPr>
              <w:pStyle w:val="NoSpacing"/>
              <w:rPr>
                <w:sz w:val="18"/>
                <w:szCs w:val="18"/>
                <w:lang w:val="en-GB"/>
              </w:rPr>
            </w:pPr>
            <w:r w:rsidRPr="00610088">
              <w:rPr>
                <w:sz w:val="18"/>
                <w:szCs w:val="18"/>
                <w:lang w:val="en-GB"/>
              </w:rPr>
              <w:t>4</w:t>
            </w:r>
          </w:p>
        </w:tc>
      </w:tr>
      <w:tr w:rsidR="00051AE5" w:rsidRPr="00610088" w14:paraId="31D3635B" w14:textId="77777777" w:rsidTr="00FC5D9B">
        <w:trPr>
          <w:trHeight w:val="227"/>
        </w:trPr>
        <w:tc>
          <w:tcPr>
            <w:tcW w:w="1555" w:type="dxa"/>
            <w:vMerge w:val="restart"/>
            <w:shd w:val="clear" w:color="auto" w:fill="DEEAF6" w:themeFill="accent5" w:themeFillTint="33"/>
            <w:hideMark/>
          </w:tcPr>
          <w:p w14:paraId="50FB14A7" w14:textId="77777777" w:rsidR="00051AE5" w:rsidRPr="00610088" w:rsidRDefault="00051AE5" w:rsidP="00051AE5">
            <w:pPr>
              <w:pStyle w:val="NoSpacing"/>
              <w:rPr>
                <w:b/>
                <w:bCs/>
                <w:sz w:val="18"/>
                <w:szCs w:val="18"/>
                <w:lang w:val="en-GB"/>
              </w:rPr>
            </w:pPr>
            <w:r w:rsidRPr="00610088">
              <w:rPr>
                <w:b/>
                <w:bCs/>
                <w:sz w:val="18"/>
                <w:szCs w:val="18"/>
                <w:lang w:val="en-GB"/>
              </w:rPr>
              <w:t xml:space="preserve">SO6 - Establish M&amp;E system including surveillance </w:t>
            </w:r>
          </w:p>
        </w:tc>
        <w:tc>
          <w:tcPr>
            <w:tcW w:w="3118" w:type="dxa"/>
            <w:shd w:val="clear" w:color="auto" w:fill="DEEAF6" w:themeFill="accent5" w:themeFillTint="33"/>
            <w:hideMark/>
          </w:tcPr>
          <w:p w14:paraId="4B5436A4" w14:textId="7A279362" w:rsidR="00051AE5" w:rsidRPr="00610088" w:rsidRDefault="00051AE5" w:rsidP="00051AE5">
            <w:pPr>
              <w:pStyle w:val="NoSpacing"/>
              <w:rPr>
                <w:sz w:val="18"/>
                <w:szCs w:val="18"/>
                <w:lang w:val="en-GB"/>
              </w:rPr>
            </w:pPr>
            <w:r w:rsidRPr="00610088">
              <w:rPr>
                <w:sz w:val="18"/>
                <w:szCs w:val="18"/>
                <w:lang w:val="en-GB"/>
              </w:rPr>
              <w:t>6.3 Number of annual review meetings</w:t>
            </w:r>
          </w:p>
        </w:tc>
        <w:tc>
          <w:tcPr>
            <w:tcW w:w="2976" w:type="dxa"/>
            <w:shd w:val="clear" w:color="auto" w:fill="DEEAF6" w:themeFill="accent5" w:themeFillTint="33"/>
            <w:hideMark/>
          </w:tcPr>
          <w:p w14:paraId="1F674A7D" w14:textId="77777777" w:rsidR="00051AE5" w:rsidRPr="00610088" w:rsidRDefault="00051AE5" w:rsidP="00051AE5">
            <w:pPr>
              <w:pStyle w:val="NoSpacing"/>
              <w:rPr>
                <w:sz w:val="18"/>
                <w:szCs w:val="18"/>
                <w:lang w:val="en-GB"/>
              </w:rPr>
            </w:pPr>
            <w:r w:rsidRPr="00610088">
              <w:rPr>
                <w:sz w:val="18"/>
                <w:szCs w:val="18"/>
                <w:lang w:val="en-GB"/>
              </w:rPr>
              <w:t>Annual review meeting report</w:t>
            </w:r>
          </w:p>
        </w:tc>
        <w:tc>
          <w:tcPr>
            <w:tcW w:w="850" w:type="dxa"/>
            <w:shd w:val="clear" w:color="auto" w:fill="DEEAF6" w:themeFill="accent5" w:themeFillTint="33"/>
            <w:hideMark/>
          </w:tcPr>
          <w:p w14:paraId="58A15348"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4004E200"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DEEAF6" w:themeFill="accent5" w:themeFillTint="33"/>
            <w:hideMark/>
          </w:tcPr>
          <w:p w14:paraId="165EE29C" w14:textId="77777777" w:rsidR="00051AE5" w:rsidRPr="00610088" w:rsidRDefault="00051AE5" w:rsidP="00051AE5">
            <w:pPr>
              <w:pStyle w:val="NoSpacing"/>
              <w:rPr>
                <w:sz w:val="18"/>
                <w:szCs w:val="18"/>
                <w:lang w:val="en-GB"/>
              </w:rPr>
            </w:pPr>
            <w:r w:rsidRPr="00610088">
              <w:rPr>
                <w:sz w:val="18"/>
                <w:szCs w:val="18"/>
                <w:lang w:val="en-GB"/>
              </w:rPr>
              <w:t>1</w:t>
            </w:r>
          </w:p>
        </w:tc>
        <w:tc>
          <w:tcPr>
            <w:tcW w:w="851" w:type="dxa"/>
            <w:shd w:val="clear" w:color="auto" w:fill="DEEAF6" w:themeFill="accent5" w:themeFillTint="33"/>
            <w:hideMark/>
          </w:tcPr>
          <w:p w14:paraId="51282E86" w14:textId="77777777" w:rsidR="00051AE5" w:rsidRPr="00610088" w:rsidRDefault="00051AE5" w:rsidP="00051AE5">
            <w:pPr>
              <w:pStyle w:val="NoSpacing"/>
              <w:rPr>
                <w:sz w:val="18"/>
                <w:szCs w:val="18"/>
                <w:lang w:val="en-GB"/>
              </w:rPr>
            </w:pPr>
            <w:r w:rsidRPr="00610088">
              <w:rPr>
                <w:sz w:val="18"/>
                <w:szCs w:val="18"/>
                <w:lang w:val="en-GB"/>
              </w:rPr>
              <w:t>1</w:t>
            </w:r>
          </w:p>
        </w:tc>
        <w:tc>
          <w:tcPr>
            <w:tcW w:w="850" w:type="dxa"/>
            <w:shd w:val="clear" w:color="auto" w:fill="DEEAF6" w:themeFill="accent5" w:themeFillTint="33"/>
            <w:hideMark/>
          </w:tcPr>
          <w:p w14:paraId="0D8D98D5" w14:textId="77777777" w:rsidR="00051AE5" w:rsidRPr="00610088" w:rsidRDefault="00051AE5" w:rsidP="00051AE5">
            <w:pPr>
              <w:pStyle w:val="NoSpacing"/>
              <w:rPr>
                <w:sz w:val="18"/>
                <w:szCs w:val="18"/>
                <w:lang w:val="en-GB"/>
              </w:rPr>
            </w:pPr>
            <w:r w:rsidRPr="00610088">
              <w:rPr>
                <w:sz w:val="18"/>
                <w:szCs w:val="18"/>
                <w:lang w:val="en-GB"/>
              </w:rPr>
              <w:t>1</w:t>
            </w:r>
          </w:p>
        </w:tc>
        <w:tc>
          <w:tcPr>
            <w:tcW w:w="772" w:type="dxa"/>
            <w:shd w:val="clear" w:color="auto" w:fill="DEEAF6" w:themeFill="accent5" w:themeFillTint="33"/>
            <w:hideMark/>
          </w:tcPr>
          <w:p w14:paraId="0C2CE82B" w14:textId="77777777" w:rsidR="00051AE5" w:rsidRPr="00610088" w:rsidRDefault="00051AE5" w:rsidP="00051AE5">
            <w:pPr>
              <w:pStyle w:val="NoSpacing"/>
              <w:rPr>
                <w:sz w:val="18"/>
                <w:szCs w:val="18"/>
                <w:lang w:val="en-GB"/>
              </w:rPr>
            </w:pPr>
            <w:r w:rsidRPr="00610088">
              <w:rPr>
                <w:sz w:val="18"/>
                <w:szCs w:val="18"/>
                <w:lang w:val="en-GB"/>
              </w:rPr>
              <w:t>1</w:t>
            </w:r>
          </w:p>
        </w:tc>
      </w:tr>
      <w:tr w:rsidR="00051AE5" w:rsidRPr="00610088" w14:paraId="72EF48EE" w14:textId="77777777" w:rsidTr="00FC5D9B">
        <w:trPr>
          <w:trHeight w:val="227"/>
        </w:trPr>
        <w:tc>
          <w:tcPr>
            <w:tcW w:w="1555" w:type="dxa"/>
            <w:vMerge/>
            <w:shd w:val="clear" w:color="auto" w:fill="DEEAF6" w:themeFill="accent5" w:themeFillTint="33"/>
            <w:vAlign w:val="center"/>
            <w:hideMark/>
          </w:tcPr>
          <w:p w14:paraId="15977A92" w14:textId="77777777" w:rsidR="00051AE5" w:rsidRPr="00610088" w:rsidRDefault="00051AE5" w:rsidP="00051AE5">
            <w:pPr>
              <w:pStyle w:val="NoSpacing"/>
              <w:rPr>
                <w:b/>
                <w:bCs/>
                <w:sz w:val="18"/>
                <w:szCs w:val="18"/>
                <w:lang w:val="en-GB"/>
              </w:rPr>
            </w:pPr>
          </w:p>
        </w:tc>
        <w:tc>
          <w:tcPr>
            <w:tcW w:w="3118" w:type="dxa"/>
            <w:shd w:val="clear" w:color="auto" w:fill="DEEAF6" w:themeFill="accent5" w:themeFillTint="33"/>
            <w:hideMark/>
          </w:tcPr>
          <w:p w14:paraId="6F45E4B7" w14:textId="671D4EBD" w:rsidR="00051AE5" w:rsidRPr="00610088" w:rsidRDefault="00051AE5" w:rsidP="00051AE5">
            <w:pPr>
              <w:pStyle w:val="NoSpacing"/>
              <w:rPr>
                <w:sz w:val="18"/>
                <w:szCs w:val="18"/>
                <w:lang w:val="en-GB"/>
              </w:rPr>
            </w:pPr>
            <w:r w:rsidRPr="00610088">
              <w:rPr>
                <w:sz w:val="18"/>
                <w:szCs w:val="18"/>
                <w:lang w:val="en-GB"/>
              </w:rPr>
              <w:t xml:space="preserve">6.4 Nr of districts that received national NCD supervision </w:t>
            </w:r>
          </w:p>
        </w:tc>
        <w:tc>
          <w:tcPr>
            <w:tcW w:w="2976" w:type="dxa"/>
            <w:shd w:val="clear" w:color="auto" w:fill="DEEAF6" w:themeFill="accent5" w:themeFillTint="33"/>
            <w:hideMark/>
          </w:tcPr>
          <w:p w14:paraId="08C8114B" w14:textId="3B4061C8" w:rsidR="00051AE5" w:rsidRPr="00610088" w:rsidRDefault="00051AE5" w:rsidP="00051AE5">
            <w:pPr>
              <w:pStyle w:val="NoSpacing"/>
              <w:rPr>
                <w:sz w:val="18"/>
                <w:szCs w:val="18"/>
                <w:lang w:val="en-GB"/>
              </w:rPr>
            </w:pPr>
            <w:r w:rsidRPr="00610088">
              <w:rPr>
                <w:sz w:val="18"/>
                <w:szCs w:val="18"/>
                <w:lang w:val="en-GB"/>
              </w:rPr>
              <w:t xml:space="preserve"> Supervision records </w:t>
            </w:r>
          </w:p>
        </w:tc>
        <w:tc>
          <w:tcPr>
            <w:tcW w:w="850" w:type="dxa"/>
            <w:shd w:val="clear" w:color="auto" w:fill="DEEAF6" w:themeFill="accent5" w:themeFillTint="33"/>
            <w:hideMark/>
          </w:tcPr>
          <w:p w14:paraId="7E4C170D"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481D3F64"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DEEAF6" w:themeFill="accent5" w:themeFillTint="33"/>
            <w:hideMark/>
          </w:tcPr>
          <w:p w14:paraId="2515A7F0" w14:textId="77777777" w:rsidR="00051AE5" w:rsidRPr="00610088" w:rsidRDefault="00051AE5" w:rsidP="00051AE5">
            <w:pPr>
              <w:pStyle w:val="NoSpacing"/>
              <w:rPr>
                <w:sz w:val="18"/>
                <w:szCs w:val="18"/>
                <w:lang w:val="en-GB"/>
              </w:rPr>
            </w:pPr>
            <w:r w:rsidRPr="00610088">
              <w:rPr>
                <w:sz w:val="18"/>
                <w:szCs w:val="18"/>
                <w:lang w:val="en-GB"/>
              </w:rPr>
              <w:t>16</w:t>
            </w:r>
          </w:p>
        </w:tc>
        <w:tc>
          <w:tcPr>
            <w:tcW w:w="851" w:type="dxa"/>
            <w:shd w:val="clear" w:color="auto" w:fill="DEEAF6" w:themeFill="accent5" w:themeFillTint="33"/>
            <w:hideMark/>
          </w:tcPr>
          <w:p w14:paraId="4AD8560A" w14:textId="77777777" w:rsidR="00051AE5" w:rsidRPr="00610088" w:rsidRDefault="00051AE5" w:rsidP="00051AE5">
            <w:pPr>
              <w:pStyle w:val="NoSpacing"/>
              <w:rPr>
                <w:sz w:val="18"/>
                <w:szCs w:val="18"/>
                <w:lang w:val="en-GB"/>
              </w:rPr>
            </w:pPr>
            <w:r w:rsidRPr="00610088">
              <w:rPr>
                <w:sz w:val="18"/>
                <w:szCs w:val="18"/>
                <w:lang w:val="en-GB"/>
              </w:rPr>
              <w:t>16</w:t>
            </w:r>
          </w:p>
        </w:tc>
        <w:tc>
          <w:tcPr>
            <w:tcW w:w="850" w:type="dxa"/>
            <w:shd w:val="clear" w:color="auto" w:fill="DEEAF6" w:themeFill="accent5" w:themeFillTint="33"/>
            <w:hideMark/>
          </w:tcPr>
          <w:p w14:paraId="68698BC8" w14:textId="77777777" w:rsidR="00051AE5" w:rsidRPr="00610088" w:rsidRDefault="00051AE5" w:rsidP="00051AE5">
            <w:pPr>
              <w:pStyle w:val="NoSpacing"/>
              <w:rPr>
                <w:sz w:val="18"/>
                <w:szCs w:val="18"/>
                <w:lang w:val="en-GB"/>
              </w:rPr>
            </w:pPr>
            <w:r w:rsidRPr="00610088">
              <w:rPr>
                <w:sz w:val="18"/>
                <w:szCs w:val="18"/>
                <w:lang w:val="en-GB"/>
              </w:rPr>
              <w:t>16</w:t>
            </w:r>
          </w:p>
        </w:tc>
        <w:tc>
          <w:tcPr>
            <w:tcW w:w="772" w:type="dxa"/>
            <w:shd w:val="clear" w:color="auto" w:fill="DEEAF6" w:themeFill="accent5" w:themeFillTint="33"/>
            <w:hideMark/>
          </w:tcPr>
          <w:p w14:paraId="342462CE" w14:textId="77777777" w:rsidR="00051AE5" w:rsidRPr="00610088" w:rsidRDefault="00051AE5" w:rsidP="00051AE5">
            <w:pPr>
              <w:pStyle w:val="NoSpacing"/>
              <w:rPr>
                <w:sz w:val="18"/>
                <w:szCs w:val="18"/>
                <w:lang w:val="en-GB"/>
              </w:rPr>
            </w:pPr>
            <w:r w:rsidRPr="00610088">
              <w:rPr>
                <w:sz w:val="18"/>
                <w:szCs w:val="18"/>
                <w:lang w:val="en-GB"/>
              </w:rPr>
              <w:t>16</w:t>
            </w:r>
          </w:p>
        </w:tc>
      </w:tr>
      <w:tr w:rsidR="00051AE5" w:rsidRPr="00610088" w14:paraId="2BD0021C" w14:textId="77777777" w:rsidTr="00FC5D9B">
        <w:trPr>
          <w:trHeight w:val="227"/>
        </w:trPr>
        <w:tc>
          <w:tcPr>
            <w:tcW w:w="1555" w:type="dxa"/>
            <w:vMerge/>
            <w:shd w:val="clear" w:color="auto" w:fill="DEEAF6" w:themeFill="accent5" w:themeFillTint="33"/>
            <w:vAlign w:val="center"/>
            <w:hideMark/>
          </w:tcPr>
          <w:p w14:paraId="60CDD955" w14:textId="77777777" w:rsidR="00051AE5" w:rsidRPr="00610088" w:rsidRDefault="00051AE5" w:rsidP="00051AE5">
            <w:pPr>
              <w:pStyle w:val="NoSpacing"/>
              <w:rPr>
                <w:b/>
                <w:bCs/>
                <w:sz w:val="18"/>
                <w:szCs w:val="18"/>
                <w:lang w:val="en-GB"/>
              </w:rPr>
            </w:pPr>
          </w:p>
        </w:tc>
        <w:tc>
          <w:tcPr>
            <w:tcW w:w="3118" w:type="dxa"/>
            <w:shd w:val="clear" w:color="auto" w:fill="DEEAF6" w:themeFill="accent5" w:themeFillTint="33"/>
            <w:hideMark/>
          </w:tcPr>
          <w:p w14:paraId="541769EB" w14:textId="37513BFE" w:rsidR="00051AE5" w:rsidRPr="00610088" w:rsidRDefault="00051AE5" w:rsidP="00051AE5">
            <w:pPr>
              <w:pStyle w:val="NoSpacing"/>
              <w:rPr>
                <w:sz w:val="18"/>
                <w:szCs w:val="18"/>
                <w:lang w:val="en-GB"/>
              </w:rPr>
            </w:pPr>
            <w:r w:rsidRPr="00610088">
              <w:rPr>
                <w:sz w:val="18"/>
                <w:szCs w:val="18"/>
                <w:lang w:val="en-GB"/>
              </w:rPr>
              <w:t>6.5 Nr of districts with 90% NCD health facility supervision</w:t>
            </w:r>
          </w:p>
        </w:tc>
        <w:tc>
          <w:tcPr>
            <w:tcW w:w="2976" w:type="dxa"/>
            <w:shd w:val="clear" w:color="auto" w:fill="DEEAF6" w:themeFill="accent5" w:themeFillTint="33"/>
            <w:hideMark/>
          </w:tcPr>
          <w:p w14:paraId="466D0AF7" w14:textId="5359E8AF" w:rsidR="00051AE5" w:rsidRPr="00610088" w:rsidRDefault="00051AE5" w:rsidP="00051AE5">
            <w:pPr>
              <w:pStyle w:val="NoSpacing"/>
              <w:rPr>
                <w:sz w:val="18"/>
                <w:szCs w:val="18"/>
                <w:lang w:val="en-GB"/>
              </w:rPr>
            </w:pPr>
            <w:r w:rsidRPr="00610088">
              <w:rPr>
                <w:sz w:val="18"/>
                <w:szCs w:val="18"/>
                <w:lang w:val="en-GB"/>
              </w:rPr>
              <w:t xml:space="preserve"> Supervision records </w:t>
            </w:r>
          </w:p>
        </w:tc>
        <w:tc>
          <w:tcPr>
            <w:tcW w:w="850" w:type="dxa"/>
            <w:shd w:val="clear" w:color="auto" w:fill="DEEAF6" w:themeFill="accent5" w:themeFillTint="33"/>
            <w:hideMark/>
          </w:tcPr>
          <w:p w14:paraId="604A9153"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27B61710"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DEEAF6" w:themeFill="accent5" w:themeFillTint="33"/>
            <w:hideMark/>
          </w:tcPr>
          <w:p w14:paraId="0F9F8899" w14:textId="77777777" w:rsidR="00051AE5" w:rsidRPr="00610088" w:rsidRDefault="00051AE5" w:rsidP="00051AE5">
            <w:pPr>
              <w:pStyle w:val="NoSpacing"/>
              <w:rPr>
                <w:sz w:val="18"/>
                <w:szCs w:val="18"/>
                <w:lang w:val="en-GB"/>
              </w:rPr>
            </w:pPr>
            <w:r w:rsidRPr="00610088">
              <w:rPr>
                <w:sz w:val="18"/>
                <w:szCs w:val="18"/>
                <w:lang w:val="en-GB"/>
              </w:rPr>
              <w:t>2</w:t>
            </w:r>
          </w:p>
        </w:tc>
        <w:tc>
          <w:tcPr>
            <w:tcW w:w="851" w:type="dxa"/>
            <w:shd w:val="clear" w:color="auto" w:fill="DEEAF6" w:themeFill="accent5" w:themeFillTint="33"/>
            <w:hideMark/>
          </w:tcPr>
          <w:p w14:paraId="76480981" w14:textId="77777777" w:rsidR="00051AE5" w:rsidRPr="00610088" w:rsidRDefault="00051AE5" w:rsidP="00051AE5">
            <w:pPr>
              <w:pStyle w:val="NoSpacing"/>
              <w:rPr>
                <w:sz w:val="18"/>
                <w:szCs w:val="18"/>
                <w:lang w:val="en-GB"/>
              </w:rPr>
            </w:pPr>
            <w:r w:rsidRPr="00610088">
              <w:rPr>
                <w:sz w:val="18"/>
                <w:szCs w:val="18"/>
                <w:lang w:val="en-GB"/>
              </w:rPr>
              <w:t>4</w:t>
            </w:r>
          </w:p>
        </w:tc>
        <w:tc>
          <w:tcPr>
            <w:tcW w:w="850" w:type="dxa"/>
            <w:shd w:val="clear" w:color="auto" w:fill="DEEAF6" w:themeFill="accent5" w:themeFillTint="33"/>
            <w:hideMark/>
          </w:tcPr>
          <w:p w14:paraId="44A19558" w14:textId="77777777" w:rsidR="00051AE5" w:rsidRPr="00610088" w:rsidRDefault="00051AE5" w:rsidP="00051AE5">
            <w:pPr>
              <w:pStyle w:val="NoSpacing"/>
              <w:rPr>
                <w:sz w:val="18"/>
                <w:szCs w:val="18"/>
                <w:lang w:val="en-GB"/>
              </w:rPr>
            </w:pPr>
            <w:r w:rsidRPr="00610088">
              <w:rPr>
                <w:sz w:val="18"/>
                <w:szCs w:val="18"/>
                <w:lang w:val="en-GB"/>
              </w:rPr>
              <w:t>6</w:t>
            </w:r>
          </w:p>
        </w:tc>
        <w:tc>
          <w:tcPr>
            <w:tcW w:w="772" w:type="dxa"/>
            <w:shd w:val="clear" w:color="auto" w:fill="DEEAF6" w:themeFill="accent5" w:themeFillTint="33"/>
            <w:hideMark/>
          </w:tcPr>
          <w:p w14:paraId="05EB3800" w14:textId="77777777" w:rsidR="00051AE5" w:rsidRPr="00610088" w:rsidRDefault="00051AE5" w:rsidP="00051AE5">
            <w:pPr>
              <w:pStyle w:val="NoSpacing"/>
              <w:rPr>
                <w:sz w:val="18"/>
                <w:szCs w:val="18"/>
                <w:lang w:val="en-GB"/>
              </w:rPr>
            </w:pPr>
            <w:r w:rsidRPr="00610088">
              <w:rPr>
                <w:sz w:val="18"/>
                <w:szCs w:val="18"/>
                <w:lang w:val="en-GB"/>
              </w:rPr>
              <w:t>8</w:t>
            </w:r>
          </w:p>
        </w:tc>
      </w:tr>
      <w:tr w:rsidR="00051AE5" w:rsidRPr="00610088" w14:paraId="65C7C877" w14:textId="77777777" w:rsidTr="00FC5D9B">
        <w:trPr>
          <w:trHeight w:val="227"/>
        </w:trPr>
        <w:tc>
          <w:tcPr>
            <w:tcW w:w="1555" w:type="dxa"/>
            <w:vMerge w:val="restart"/>
            <w:shd w:val="clear" w:color="auto" w:fill="auto"/>
            <w:hideMark/>
          </w:tcPr>
          <w:p w14:paraId="65EDC928" w14:textId="77777777" w:rsidR="00051AE5" w:rsidRPr="00610088" w:rsidRDefault="00051AE5" w:rsidP="00051AE5">
            <w:pPr>
              <w:pStyle w:val="NoSpacing"/>
              <w:rPr>
                <w:b/>
                <w:bCs/>
                <w:sz w:val="18"/>
                <w:szCs w:val="18"/>
                <w:lang w:val="en-GB"/>
              </w:rPr>
            </w:pPr>
            <w:r w:rsidRPr="00610088">
              <w:rPr>
                <w:b/>
                <w:bCs/>
                <w:sz w:val="18"/>
                <w:szCs w:val="18"/>
                <w:lang w:val="en-GB"/>
              </w:rPr>
              <w:t xml:space="preserve">SO6 - Support and expand existing cancer registry </w:t>
            </w:r>
          </w:p>
        </w:tc>
        <w:tc>
          <w:tcPr>
            <w:tcW w:w="3118" w:type="dxa"/>
            <w:shd w:val="clear" w:color="auto" w:fill="auto"/>
            <w:hideMark/>
          </w:tcPr>
          <w:p w14:paraId="6E4AED54" w14:textId="13B8B924" w:rsidR="00051AE5" w:rsidRPr="00610088" w:rsidRDefault="00051AE5" w:rsidP="00051AE5">
            <w:pPr>
              <w:pStyle w:val="NoSpacing"/>
              <w:rPr>
                <w:sz w:val="18"/>
                <w:szCs w:val="18"/>
                <w:lang w:val="en-GB"/>
              </w:rPr>
            </w:pPr>
            <w:r w:rsidRPr="00610088">
              <w:rPr>
                <w:sz w:val="18"/>
                <w:szCs w:val="18"/>
                <w:lang w:val="en-GB"/>
              </w:rPr>
              <w:t xml:space="preserve">6.6 Nr of regions covered by cancer registry </w:t>
            </w:r>
          </w:p>
        </w:tc>
        <w:tc>
          <w:tcPr>
            <w:tcW w:w="2976" w:type="dxa"/>
            <w:shd w:val="clear" w:color="auto" w:fill="auto"/>
            <w:hideMark/>
          </w:tcPr>
          <w:p w14:paraId="79829A3F" w14:textId="77777777" w:rsidR="00051AE5" w:rsidRPr="00610088" w:rsidRDefault="00051AE5" w:rsidP="00051AE5">
            <w:pPr>
              <w:pStyle w:val="NoSpacing"/>
              <w:rPr>
                <w:sz w:val="18"/>
                <w:szCs w:val="18"/>
                <w:lang w:val="en-GB"/>
              </w:rPr>
            </w:pPr>
            <w:r w:rsidRPr="00610088">
              <w:rPr>
                <w:sz w:val="18"/>
                <w:szCs w:val="18"/>
                <w:lang w:val="en-GB"/>
              </w:rPr>
              <w:t>Cancer registry records</w:t>
            </w:r>
          </w:p>
        </w:tc>
        <w:tc>
          <w:tcPr>
            <w:tcW w:w="850" w:type="dxa"/>
            <w:shd w:val="clear" w:color="auto" w:fill="auto"/>
            <w:hideMark/>
          </w:tcPr>
          <w:p w14:paraId="22646185"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7FFDDDE4" w14:textId="77777777" w:rsidR="00051AE5" w:rsidRPr="00610088" w:rsidRDefault="00051AE5" w:rsidP="00051AE5">
            <w:pPr>
              <w:pStyle w:val="NoSpacing"/>
              <w:rPr>
                <w:sz w:val="18"/>
                <w:szCs w:val="18"/>
                <w:lang w:val="en-GB"/>
              </w:rPr>
            </w:pPr>
            <w:r w:rsidRPr="00610088">
              <w:rPr>
                <w:sz w:val="18"/>
                <w:szCs w:val="18"/>
                <w:lang w:val="en-GB"/>
              </w:rPr>
              <w:t>1 (Cancer registry records, 2019)</w:t>
            </w:r>
          </w:p>
        </w:tc>
        <w:tc>
          <w:tcPr>
            <w:tcW w:w="850" w:type="dxa"/>
            <w:shd w:val="clear" w:color="auto" w:fill="auto"/>
            <w:hideMark/>
          </w:tcPr>
          <w:p w14:paraId="493664F8" w14:textId="77777777" w:rsidR="00051AE5" w:rsidRPr="00610088" w:rsidRDefault="00051AE5" w:rsidP="00051AE5">
            <w:pPr>
              <w:pStyle w:val="NoSpacing"/>
              <w:rPr>
                <w:sz w:val="18"/>
                <w:szCs w:val="18"/>
                <w:lang w:val="en-GB"/>
              </w:rPr>
            </w:pPr>
            <w:r w:rsidRPr="00610088">
              <w:rPr>
                <w:sz w:val="18"/>
                <w:szCs w:val="18"/>
                <w:lang w:val="en-GB"/>
              </w:rPr>
              <w:t>2</w:t>
            </w:r>
          </w:p>
        </w:tc>
        <w:tc>
          <w:tcPr>
            <w:tcW w:w="851" w:type="dxa"/>
            <w:shd w:val="clear" w:color="auto" w:fill="auto"/>
            <w:hideMark/>
          </w:tcPr>
          <w:p w14:paraId="46CC62B9" w14:textId="77777777" w:rsidR="00051AE5" w:rsidRPr="00610088" w:rsidRDefault="00051AE5" w:rsidP="00051AE5">
            <w:pPr>
              <w:pStyle w:val="NoSpacing"/>
              <w:rPr>
                <w:sz w:val="18"/>
                <w:szCs w:val="18"/>
                <w:lang w:val="en-GB"/>
              </w:rPr>
            </w:pPr>
            <w:r w:rsidRPr="00610088">
              <w:rPr>
                <w:sz w:val="18"/>
                <w:szCs w:val="18"/>
                <w:lang w:val="en-GB"/>
              </w:rPr>
              <w:t>3</w:t>
            </w:r>
          </w:p>
        </w:tc>
        <w:tc>
          <w:tcPr>
            <w:tcW w:w="850" w:type="dxa"/>
            <w:shd w:val="clear" w:color="auto" w:fill="auto"/>
            <w:hideMark/>
          </w:tcPr>
          <w:p w14:paraId="29F42AE0" w14:textId="77777777" w:rsidR="00051AE5" w:rsidRPr="00610088" w:rsidRDefault="00051AE5" w:rsidP="00051AE5">
            <w:pPr>
              <w:pStyle w:val="NoSpacing"/>
              <w:rPr>
                <w:sz w:val="18"/>
                <w:szCs w:val="18"/>
                <w:lang w:val="en-GB"/>
              </w:rPr>
            </w:pPr>
            <w:r w:rsidRPr="00610088">
              <w:rPr>
                <w:sz w:val="18"/>
                <w:szCs w:val="18"/>
                <w:lang w:val="en-GB"/>
              </w:rPr>
              <w:t>4</w:t>
            </w:r>
          </w:p>
        </w:tc>
        <w:tc>
          <w:tcPr>
            <w:tcW w:w="772" w:type="dxa"/>
            <w:shd w:val="clear" w:color="auto" w:fill="auto"/>
            <w:hideMark/>
          </w:tcPr>
          <w:p w14:paraId="171D9AC9" w14:textId="77777777" w:rsidR="00051AE5" w:rsidRPr="00610088" w:rsidRDefault="00051AE5" w:rsidP="00051AE5">
            <w:pPr>
              <w:pStyle w:val="NoSpacing"/>
              <w:rPr>
                <w:sz w:val="18"/>
                <w:szCs w:val="18"/>
                <w:lang w:val="en-GB"/>
              </w:rPr>
            </w:pPr>
            <w:r w:rsidRPr="00610088">
              <w:rPr>
                <w:sz w:val="18"/>
                <w:szCs w:val="18"/>
                <w:lang w:val="en-GB"/>
              </w:rPr>
              <w:t>5</w:t>
            </w:r>
          </w:p>
        </w:tc>
      </w:tr>
      <w:tr w:rsidR="00051AE5" w:rsidRPr="00610088" w14:paraId="00D4CC87" w14:textId="77777777" w:rsidTr="00FC5D9B">
        <w:trPr>
          <w:trHeight w:val="227"/>
        </w:trPr>
        <w:tc>
          <w:tcPr>
            <w:tcW w:w="1555" w:type="dxa"/>
            <w:vMerge/>
            <w:shd w:val="clear" w:color="auto" w:fill="auto"/>
            <w:vAlign w:val="center"/>
            <w:hideMark/>
          </w:tcPr>
          <w:p w14:paraId="3C6266F4" w14:textId="77777777" w:rsidR="00051AE5" w:rsidRPr="00610088" w:rsidRDefault="00051AE5" w:rsidP="00051AE5">
            <w:pPr>
              <w:pStyle w:val="NoSpacing"/>
              <w:rPr>
                <w:b/>
                <w:bCs/>
                <w:sz w:val="18"/>
                <w:szCs w:val="18"/>
                <w:lang w:val="en-GB"/>
              </w:rPr>
            </w:pPr>
          </w:p>
        </w:tc>
        <w:tc>
          <w:tcPr>
            <w:tcW w:w="3118" w:type="dxa"/>
            <w:shd w:val="clear" w:color="auto" w:fill="auto"/>
            <w:hideMark/>
          </w:tcPr>
          <w:p w14:paraId="261483CC" w14:textId="2BF0AA8C" w:rsidR="00051AE5" w:rsidRPr="00610088" w:rsidRDefault="00051AE5" w:rsidP="00051AE5">
            <w:pPr>
              <w:pStyle w:val="NoSpacing"/>
              <w:rPr>
                <w:sz w:val="18"/>
                <w:szCs w:val="18"/>
                <w:lang w:val="en-GB"/>
              </w:rPr>
            </w:pPr>
            <w:r w:rsidRPr="00610088">
              <w:rPr>
                <w:sz w:val="18"/>
                <w:szCs w:val="18"/>
                <w:lang w:val="en-GB"/>
              </w:rPr>
              <w:t>6.7 Inclusion of cancer registry in DHIS/HMIS</w:t>
            </w:r>
          </w:p>
        </w:tc>
        <w:tc>
          <w:tcPr>
            <w:tcW w:w="2976" w:type="dxa"/>
            <w:shd w:val="clear" w:color="auto" w:fill="auto"/>
            <w:hideMark/>
          </w:tcPr>
          <w:p w14:paraId="2F2769F1" w14:textId="77777777" w:rsidR="00051AE5" w:rsidRPr="00610088" w:rsidRDefault="00051AE5" w:rsidP="00051AE5">
            <w:pPr>
              <w:pStyle w:val="NoSpacing"/>
              <w:rPr>
                <w:sz w:val="18"/>
                <w:szCs w:val="18"/>
                <w:lang w:val="en-GB"/>
              </w:rPr>
            </w:pPr>
            <w:r w:rsidRPr="00610088">
              <w:rPr>
                <w:sz w:val="18"/>
                <w:szCs w:val="18"/>
                <w:lang w:val="en-GB"/>
              </w:rPr>
              <w:t>DHIS/ relevant entity records</w:t>
            </w:r>
          </w:p>
        </w:tc>
        <w:tc>
          <w:tcPr>
            <w:tcW w:w="850" w:type="dxa"/>
            <w:shd w:val="clear" w:color="auto" w:fill="auto"/>
            <w:hideMark/>
          </w:tcPr>
          <w:p w14:paraId="1617FCA0"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auto"/>
            <w:hideMark/>
          </w:tcPr>
          <w:p w14:paraId="314330D6" w14:textId="77777777" w:rsidR="00051AE5" w:rsidRPr="00610088" w:rsidRDefault="00051AE5" w:rsidP="00051AE5">
            <w:pPr>
              <w:pStyle w:val="NoSpacing"/>
              <w:rPr>
                <w:sz w:val="18"/>
                <w:szCs w:val="18"/>
                <w:lang w:val="en-GB"/>
              </w:rPr>
            </w:pPr>
            <w:r w:rsidRPr="00610088">
              <w:rPr>
                <w:sz w:val="18"/>
                <w:szCs w:val="18"/>
                <w:lang w:val="en-GB"/>
              </w:rPr>
              <w:t>No (DNCD&amp;MH, 2019)</w:t>
            </w:r>
          </w:p>
        </w:tc>
        <w:tc>
          <w:tcPr>
            <w:tcW w:w="850" w:type="dxa"/>
            <w:shd w:val="clear" w:color="auto" w:fill="auto"/>
            <w:hideMark/>
          </w:tcPr>
          <w:p w14:paraId="79B549BF" w14:textId="77777777" w:rsidR="00051AE5" w:rsidRPr="00610088" w:rsidRDefault="00051AE5" w:rsidP="00051AE5">
            <w:pPr>
              <w:pStyle w:val="NoSpacing"/>
              <w:rPr>
                <w:sz w:val="18"/>
                <w:szCs w:val="18"/>
                <w:lang w:val="en-GB"/>
              </w:rPr>
            </w:pPr>
            <w:r w:rsidRPr="00610088">
              <w:rPr>
                <w:sz w:val="18"/>
                <w:szCs w:val="18"/>
                <w:lang w:val="en-GB"/>
              </w:rPr>
              <w:t>No</w:t>
            </w:r>
          </w:p>
        </w:tc>
        <w:tc>
          <w:tcPr>
            <w:tcW w:w="851" w:type="dxa"/>
            <w:shd w:val="clear" w:color="auto" w:fill="auto"/>
            <w:hideMark/>
          </w:tcPr>
          <w:p w14:paraId="3ADB1395" w14:textId="77777777" w:rsidR="00051AE5" w:rsidRPr="00610088" w:rsidRDefault="00051AE5" w:rsidP="00051AE5">
            <w:pPr>
              <w:pStyle w:val="NoSpacing"/>
              <w:rPr>
                <w:sz w:val="18"/>
                <w:szCs w:val="18"/>
                <w:lang w:val="en-GB"/>
              </w:rPr>
            </w:pPr>
            <w:r w:rsidRPr="00610088">
              <w:rPr>
                <w:sz w:val="18"/>
                <w:szCs w:val="18"/>
                <w:lang w:val="en-GB"/>
              </w:rPr>
              <w:t>Yes</w:t>
            </w:r>
          </w:p>
        </w:tc>
        <w:tc>
          <w:tcPr>
            <w:tcW w:w="850" w:type="dxa"/>
            <w:shd w:val="clear" w:color="auto" w:fill="auto"/>
            <w:hideMark/>
          </w:tcPr>
          <w:p w14:paraId="018B03E3" w14:textId="77777777" w:rsidR="00051AE5" w:rsidRPr="00610088" w:rsidRDefault="00051AE5" w:rsidP="00051AE5">
            <w:pPr>
              <w:pStyle w:val="NoSpacing"/>
              <w:rPr>
                <w:sz w:val="18"/>
                <w:szCs w:val="18"/>
                <w:lang w:val="en-GB"/>
              </w:rPr>
            </w:pPr>
            <w:r w:rsidRPr="00610088">
              <w:rPr>
                <w:sz w:val="18"/>
                <w:szCs w:val="18"/>
                <w:lang w:val="en-GB"/>
              </w:rPr>
              <w:t>Yes</w:t>
            </w:r>
          </w:p>
        </w:tc>
        <w:tc>
          <w:tcPr>
            <w:tcW w:w="772" w:type="dxa"/>
            <w:shd w:val="clear" w:color="auto" w:fill="auto"/>
            <w:hideMark/>
          </w:tcPr>
          <w:p w14:paraId="4D20DD40" w14:textId="77777777" w:rsidR="00051AE5" w:rsidRPr="00610088" w:rsidRDefault="00051AE5" w:rsidP="00051AE5">
            <w:pPr>
              <w:pStyle w:val="NoSpacing"/>
              <w:rPr>
                <w:sz w:val="18"/>
                <w:szCs w:val="18"/>
                <w:lang w:val="en-GB"/>
              </w:rPr>
            </w:pPr>
            <w:r w:rsidRPr="00610088">
              <w:rPr>
                <w:sz w:val="18"/>
                <w:szCs w:val="18"/>
                <w:lang w:val="en-GB"/>
              </w:rPr>
              <w:t>Yes</w:t>
            </w:r>
          </w:p>
        </w:tc>
      </w:tr>
      <w:tr w:rsidR="00051AE5" w:rsidRPr="00610088" w14:paraId="7CE21086" w14:textId="77777777" w:rsidTr="00FC5D9B">
        <w:trPr>
          <w:trHeight w:val="227"/>
        </w:trPr>
        <w:tc>
          <w:tcPr>
            <w:tcW w:w="1555" w:type="dxa"/>
            <w:vMerge w:val="restart"/>
            <w:shd w:val="clear" w:color="auto" w:fill="DEEAF6" w:themeFill="accent5" w:themeFillTint="33"/>
            <w:hideMark/>
          </w:tcPr>
          <w:p w14:paraId="7EB701AC" w14:textId="77777777" w:rsidR="00051AE5" w:rsidRPr="00610088" w:rsidRDefault="00051AE5" w:rsidP="00051AE5">
            <w:pPr>
              <w:pStyle w:val="NoSpacing"/>
              <w:rPr>
                <w:b/>
                <w:bCs/>
                <w:sz w:val="18"/>
                <w:szCs w:val="18"/>
                <w:lang w:val="en-GB"/>
              </w:rPr>
            </w:pPr>
            <w:r w:rsidRPr="00610088">
              <w:rPr>
                <w:b/>
                <w:bCs/>
                <w:sz w:val="18"/>
                <w:szCs w:val="18"/>
                <w:lang w:val="en-GB"/>
              </w:rPr>
              <w:t xml:space="preserve">SO6 - Establish NCD Research system </w:t>
            </w:r>
          </w:p>
        </w:tc>
        <w:tc>
          <w:tcPr>
            <w:tcW w:w="3118" w:type="dxa"/>
            <w:shd w:val="clear" w:color="auto" w:fill="DEEAF6" w:themeFill="accent5" w:themeFillTint="33"/>
            <w:hideMark/>
          </w:tcPr>
          <w:p w14:paraId="4DC83140" w14:textId="1211803C" w:rsidR="00051AE5" w:rsidRPr="00610088" w:rsidRDefault="00051AE5" w:rsidP="00051AE5">
            <w:pPr>
              <w:pStyle w:val="NoSpacing"/>
              <w:rPr>
                <w:sz w:val="18"/>
                <w:szCs w:val="18"/>
                <w:lang w:val="en-GB"/>
              </w:rPr>
            </w:pPr>
            <w:r w:rsidRPr="00610088">
              <w:rPr>
                <w:sz w:val="18"/>
                <w:szCs w:val="18"/>
                <w:lang w:val="en-GB"/>
              </w:rPr>
              <w:t>6.8 Existence joint NCD research agenda based on national priorities</w:t>
            </w:r>
          </w:p>
        </w:tc>
        <w:tc>
          <w:tcPr>
            <w:tcW w:w="2976" w:type="dxa"/>
            <w:shd w:val="clear" w:color="auto" w:fill="DEEAF6" w:themeFill="accent5" w:themeFillTint="33"/>
            <w:hideMark/>
          </w:tcPr>
          <w:p w14:paraId="34250C5B" w14:textId="1DC58FF5" w:rsidR="00051AE5" w:rsidRPr="00610088" w:rsidRDefault="00051AE5" w:rsidP="00051AE5">
            <w:pPr>
              <w:pStyle w:val="NoSpacing"/>
              <w:rPr>
                <w:sz w:val="18"/>
                <w:szCs w:val="18"/>
                <w:lang w:val="en-GB"/>
              </w:rPr>
            </w:pPr>
            <w:r w:rsidRPr="00610088">
              <w:rPr>
                <w:sz w:val="18"/>
                <w:szCs w:val="18"/>
                <w:lang w:val="en-GB"/>
              </w:rPr>
              <w:t>Updated research agenda</w:t>
            </w:r>
          </w:p>
        </w:tc>
        <w:tc>
          <w:tcPr>
            <w:tcW w:w="850" w:type="dxa"/>
            <w:shd w:val="clear" w:color="auto" w:fill="DEEAF6" w:themeFill="accent5" w:themeFillTint="33"/>
            <w:hideMark/>
          </w:tcPr>
          <w:p w14:paraId="0C57D5E7"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20B5C667" w14:textId="77777777" w:rsidR="00051AE5" w:rsidRPr="00610088" w:rsidRDefault="00051AE5" w:rsidP="00051AE5">
            <w:pPr>
              <w:pStyle w:val="NoSpacing"/>
              <w:rPr>
                <w:sz w:val="18"/>
                <w:szCs w:val="18"/>
                <w:lang w:val="en-GB"/>
              </w:rPr>
            </w:pPr>
            <w:r w:rsidRPr="00610088">
              <w:rPr>
                <w:sz w:val="18"/>
                <w:szCs w:val="18"/>
                <w:lang w:val="en-GB"/>
              </w:rPr>
              <w:t>No (DNCD&amp;MH, 2019)</w:t>
            </w:r>
          </w:p>
        </w:tc>
        <w:tc>
          <w:tcPr>
            <w:tcW w:w="850" w:type="dxa"/>
            <w:shd w:val="clear" w:color="auto" w:fill="DEEAF6" w:themeFill="accent5" w:themeFillTint="33"/>
            <w:hideMark/>
          </w:tcPr>
          <w:p w14:paraId="78891BD5" w14:textId="77777777" w:rsidR="00051AE5" w:rsidRPr="00610088" w:rsidRDefault="00051AE5" w:rsidP="00051AE5">
            <w:pPr>
              <w:pStyle w:val="NoSpacing"/>
              <w:rPr>
                <w:sz w:val="18"/>
                <w:szCs w:val="18"/>
                <w:lang w:val="en-GB"/>
              </w:rPr>
            </w:pPr>
            <w:r w:rsidRPr="00610088">
              <w:rPr>
                <w:sz w:val="18"/>
                <w:szCs w:val="18"/>
                <w:lang w:val="en-GB"/>
              </w:rPr>
              <w:t>No</w:t>
            </w:r>
          </w:p>
        </w:tc>
        <w:tc>
          <w:tcPr>
            <w:tcW w:w="851" w:type="dxa"/>
            <w:shd w:val="clear" w:color="auto" w:fill="DEEAF6" w:themeFill="accent5" w:themeFillTint="33"/>
            <w:hideMark/>
          </w:tcPr>
          <w:p w14:paraId="3EFD9FFB" w14:textId="77777777" w:rsidR="00051AE5" w:rsidRPr="00610088" w:rsidRDefault="00051AE5" w:rsidP="00051AE5">
            <w:pPr>
              <w:pStyle w:val="NoSpacing"/>
              <w:rPr>
                <w:sz w:val="18"/>
                <w:szCs w:val="18"/>
                <w:lang w:val="en-GB"/>
              </w:rPr>
            </w:pPr>
            <w:r w:rsidRPr="00610088">
              <w:rPr>
                <w:sz w:val="18"/>
                <w:szCs w:val="18"/>
                <w:lang w:val="en-GB"/>
              </w:rPr>
              <w:t>Yes</w:t>
            </w:r>
          </w:p>
        </w:tc>
        <w:tc>
          <w:tcPr>
            <w:tcW w:w="850" w:type="dxa"/>
            <w:shd w:val="clear" w:color="auto" w:fill="DEEAF6" w:themeFill="accent5" w:themeFillTint="33"/>
            <w:hideMark/>
          </w:tcPr>
          <w:p w14:paraId="22EF45B7" w14:textId="77777777" w:rsidR="00051AE5" w:rsidRPr="00610088" w:rsidRDefault="00051AE5" w:rsidP="00051AE5">
            <w:pPr>
              <w:pStyle w:val="NoSpacing"/>
              <w:rPr>
                <w:sz w:val="18"/>
                <w:szCs w:val="18"/>
                <w:lang w:val="en-GB"/>
              </w:rPr>
            </w:pPr>
            <w:r w:rsidRPr="00610088">
              <w:rPr>
                <w:sz w:val="18"/>
                <w:szCs w:val="18"/>
                <w:lang w:val="en-GB"/>
              </w:rPr>
              <w:t>Yes</w:t>
            </w:r>
          </w:p>
        </w:tc>
        <w:tc>
          <w:tcPr>
            <w:tcW w:w="772" w:type="dxa"/>
            <w:shd w:val="clear" w:color="auto" w:fill="DEEAF6" w:themeFill="accent5" w:themeFillTint="33"/>
            <w:hideMark/>
          </w:tcPr>
          <w:p w14:paraId="505235AD" w14:textId="77777777" w:rsidR="00051AE5" w:rsidRPr="00610088" w:rsidRDefault="00051AE5" w:rsidP="00051AE5">
            <w:pPr>
              <w:pStyle w:val="NoSpacing"/>
              <w:rPr>
                <w:sz w:val="18"/>
                <w:szCs w:val="18"/>
                <w:lang w:val="en-GB"/>
              </w:rPr>
            </w:pPr>
            <w:r w:rsidRPr="00610088">
              <w:rPr>
                <w:sz w:val="18"/>
                <w:szCs w:val="18"/>
                <w:lang w:val="en-GB"/>
              </w:rPr>
              <w:t>Yes</w:t>
            </w:r>
          </w:p>
        </w:tc>
      </w:tr>
      <w:tr w:rsidR="00051AE5" w:rsidRPr="00610088" w14:paraId="771F0B94" w14:textId="77777777" w:rsidTr="00FC5D9B">
        <w:trPr>
          <w:trHeight w:val="227"/>
        </w:trPr>
        <w:tc>
          <w:tcPr>
            <w:tcW w:w="1555" w:type="dxa"/>
            <w:vMerge/>
            <w:shd w:val="clear" w:color="auto" w:fill="DEEAF6" w:themeFill="accent5" w:themeFillTint="33"/>
            <w:vAlign w:val="center"/>
            <w:hideMark/>
          </w:tcPr>
          <w:p w14:paraId="07A0ED5A" w14:textId="77777777" w:rsidR="00051AE5" w:rsidRPr="00610088" w:rsidRDefault="00051AE5" w:rsidP="00051AE5">
            <w:pPr>
              <w:pStyle w:val="NoSpacing"/>
              <w:rPr>
                <w:sz w:val="18"/>
                <w:szCs w:val="18"/>
                <w:lang w:val="en-GB"/>
              </w:rPr>
            </w:pPr>
          </w:p>
        </w:tc>
        <w:tc>
          <w:tcPr>
            <w:tcW w:w="3118" w:type="dxa"/>
            <w:shd w:val="clear" w:color="auto" w:fill="DEEAF6" w:themeFill="accent5" w:themeFillTint="33"/>
            <w:hideMark/>
          </w:tcPr>
          <w:p w14:paraId="43BE5529" w14:textId="74557A16" w:rsidR="00051AE5" w:rsidRPr="00610088" w:rsidRDefault="00051AE5" w:rsidP="00051AE5">
            <w:pPr>
              <w:pStyle w:val="NoSpacing"/>
              <w:rPr>
                <w:sz w:val="18"/>
                <w:szCs w:val="18"/>
                <w:lang w:val="en-GB"/>
              </w:rPr>
            </w:pPr>
            <w:r w:rsidRPr="00610088">
              <w:rPr>
                <w:sz w:val="18"/>
                <w:szCs w:val="18"/>
                <w:lang w:val="en-GB"/>
              </w:rPr>
              <w:t>6.9 Number of Annual NCD research meetings</w:t>
            </w:r>
          </w:p>
        </w:tc>
        <w:tc>
          <w:tcPr>
            <w:tcW w:w="2976" w:type="dxa"/>
            <w:shd w:val="clear" w:color="auto" w:fill="DEEAF6" w:themeFill="accent5" w:themeFillTint="33"/>
            <w:hideMark/>
          </w:tcPr>
          <w:p w14:paraId="6217AAED" w14:textId="474683B9" w:rsidR="00051AE5" w:rsidRPr="00610088" w:rsidRDefault="00051AE5" w:rsidP="00051AE5">
            <w:pPr>
              <w:pStyle w:val="NoSpacing"/>
              <w:rPr>
                <w:sz w:val="18"/>
                <w:szCs w:val="18"/>
                <w:lang w:val="en-GB"/>
              </w:rPr>
            </w:pPr>
            <w:r w:rsidRPr="00610088">
              <w:rPr>
                <w:sz w:val="18"/>
                <w:szCs w:val="18"/>
                <w:lang w:val="en-GB"/>
              </w:rPr>
              <w:t>Research meeting minutes</w:t>
            </w:r>
          </w:p>
        </w:tc>
        <w:tc>
          <w:tcPr>
            <w:tcW w:w="850" w:type="dxa"/>
            <w:shd w:val="clear" w:color="auto" w:fill="DEEAF6" w:themeFill="accent5" w:themeFillTint="33"/>
            <w:hideMark/>
          </w:tcPr>
          <w:p w14:paraId="410529FA"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7E283A87" w14:textId="77777777" w:rsidR="00051AE5" w:rsidRPr="00610088" w:rsidRDefault="00051AE5" w:rsidP="00051AE5">
            <w:pPr>
              <w:pStyle w:val="NoSpacing"/>
              <w:rPr>
                <w:sz w:val="18"/>
                <w:szCs w:val="18"/>
                <w:lang w:val="en-GB"/>
              </w:rPr>
            </w:pPr>
            <w:r w:rsidRPr="00610088">
              <w:rPr>
                <w:sz w:val="18"/>
                <w:szCs w:val="18"/>
                <w:lang w:val="en-GB"/>
              </w:rPr>
              <w:t>0 (DNCD&amp;MH, 2019)</w:t>
            </w:r>
          </w:p>
        </w:tc>
        <w:tc>
          <w:tcPr>
            <w:tcW w:w="850" w:type="dxa"/>
            <w:shd w:val="clear" w:color="auto" w:fill="DEEAF6" w:themeFill="accent5" w:themeFillTint="33"/>
            <w:noWrap/>
            <w:hideMark/>
          </w:tcPr>
          <w:p w14:paraId="685A3DA8" w14:textId="77777777" w:rsidR="00051AE5" w:rsidRPr="00610088" w:rsidRDefault="00051AE5" w:rsidP="00051AE5">
            <w:pPr>
              <w:pStyle w:val="NoSpacing"/>
              <w:rPr>
                <w:sz w:val="18"/>
                <w:szCs w:val="18"/>
                <w:lang w:val="en-GB"/>
              </w:rPr>
            </w:pPr>
            <w:r w:rsidRPr="00610088">
              <w:rPr>
                <w:sz w:val="18"/>
                <w:szCs w:val="18"/>
                <w:lang w:val="en-GB"/>
              </w:rPr>
              <w:t>1</w:t>
            </w:r>
          </w:p>
        </w:tc>
        <w:tc>
          <w:tcPr>
            <w:tcW w:w="851" w:type="dxa"/>
            <w:shd w:val="clear" w:color="auto" w:fill="DEEAF6" w:themeFill="accent5" w:themeFillTint="33"/>
            <w:hideMark/>
          </w:tcPr>
          <w:p w14:paraId="68FC5688" w14:textId="77777777" w:rsidR="00051AE5" w:rsidRPr="00610088" w:rsidRDefault="00051AE5" w:rsidP="00051AE5">
            <w:pPr>
              <w:pStyle w:val="NoSpacing"/>
              <w:rPr>
                <w:sz w:val="18"/>
                <w:szCs w:val="18"/>
                <w:lang w:val="en-GB"/>
              </w:rPr>
            </w:pPr>
            <w:r w:rsidRPr="00610088">
              <w:rPr>
                <w:sz w:val="18"/>
                <w:szCs w:val="18"/>
                <w:lang w:val="en-GB"/>
              </w:rPr>
              <w:t>1</w:t>
            </w:r>
          </w:p>
        </w:tc>
        <w:tc>
          <w:tcPr>
            <w:tcW w:w="850" w:type="dxa"/>
            <w:shd w:val="clear" w:color="auto" w:fill="DEEAF6" w:themeFill="accent5" w:themeFillTint="33"/>
            <w:noWrap/>
            <w:hideMark/>
          </w:tcPr>
          <w:p w14:paraId="33908CF4" w14:textId="77777777" w:rsidR="00051AE5" w:rsidRPr="00610088" w:rsidRDefault="00051AE5" w:rsidP="00051AE5">
            <w:pPr>
              <w:pStyle w:val="NoSpacing"/>
              <w:rPr>
                <w:sz w:val="18"/>
                <w:szCs w:val="18"/>
                <w:lang w:val="en-GB"/>
              </w:rPr>
            </w:pPr>
            <w:r w:rsidRPr="00610088">
              <w:rPr>
                <w:sz w:val="18"/>
                <w:szCs w:val="18"/>
                <w:lang w:val="en-GB"/>
              </w:rPr>
              <w:t>1</w:t>
            </w:r>
          </w:p>
        </w:tc>
        <w:tc>
          <w:tcPr>
            <w:tcW w:w="772" w:type="dxa"/>
            <w:shd w:val="clear" w:color="auto" w:fill="DEEAF6" w:themeFill="accent5" w:themeFillTint="33"/>
            <w:noWrap/>
            <w:hideMark/>
          </w:tcPr>
          <w:p w14:paraId="4B7C358C" w14:textId="77777777" w:rsidR="00051AE5" w:rsidRPr="00610088" w:rsidRDefault="00051AE5" w:rsidP="00051AE5">
            <w:pPr>
              <w:pStyle w:val="NoSpacing"/>
              <w:rPr>
                <w:sz w:val="18"/>
                <w:szCs w:val="18"/>
                <w:lang w:val="en-GB"/>
              </w:rPr>
            </w:pPr>
            <w:r w:rsidRPr="00610088">
              <w:rPr>
                <w:sz w:val="18"/>
                <w:szCs w:val="18"/>
                <w:lang w:val="en-GB"/>
              </w:rPr>
              <w:t>1</w:t>
            </w:r>
          </w:p>
        </w:tc>
      </w:tr>
      <w:tr w:rsidR="00051AE5" w:rsidRPr="00610088" w14:paraId="437C4EB6" w14:textId="77777777" w:rsidTr="00FC5D9B">
        <w:trPr>
          <w:trHeight w:val="227"/>
        </w:trPr>
        <w:tc>
          <w:tcPr>
            <w:tcW w:w="1555" w:type="dxa"/>
            <w:vMerge/>
            <w:shd w:val="clear" w:color="auto" w:fill="DEEAF6" w:themeFill="accent5" w:themeFillTint="33"/>
            <w:vAlign w:val="center"/>
            <w:hideMark/>
          </w:tcPr>
          <w:p w14:paraId="7D0C3728" w14:textId="77777777" w:rsidR="00051AE5" w:rsidRPr="00610088" w:rsidRDefault="00051AE5" w:rsidP="00051AE5">
            <w:pPr>
              <w:pStyle w:val="NoSpacing"/>
              <w:rPr>
                <w:sz w:val="18"/>
                <w:szCs w:val="18"/>
                <w:lang w:val="en-GB"/>
              </w:rPr>
            </w:pPr>
          </w:p>
        </w:tc>
        <w:tc>
          <w:tcPr>
            <w:tcW w:w="3118" w:type="dxa"/>
            <w:shd w:val="clear" w:color="auto" w:fill="DEEAF6" w:themeFill="accent5" w:themeFillTint="33"/>
            <w:hideMark/>
          </w:tcPr>
          <w:p w14:paraId="58ACE640" w14:textId="18A375CC" w:rsidR="00051AE5" w:rsidRPr="00610088" w:rsidRDefault="00051AE5" w:rsidP="00051AE5">
            <w:pPr>
              <w:pStyle w:val="NoSpacing"/>
              <w:rPr>
                <w:sz w:val="18"/>
                <w:szCs w:val="18"/>
                <w:lang w:val="en-GB"/>
              </w:rPr>
            </w:pPr>
            <w:r w:rsidRPr="00610088">
              <w:rPr>
                <w:sz w:val="18"/>
                <w:szCs w:val="18"/>
                <w:lang w:val="en-GB"/>
              </w:rPr>
              <w:t>6.10 Number of NCD researches conducted</w:t>
            </w:r>
          </w:p>
        </w:tc>
        <w:tc>
          <w:tcPr>
            <w:tcW w:w="2976" w:type="dxa"/>
            <w:shd w:val="clear" w:color="auto" w:fill="DEEAF6" w:themeFill="accent5" w:themeFillTint="33"/>
            <w:hideMark/>
          </w:tcPr>
          <w:p w14:paraId="29C7C1C8" w14:textId="77777777" w:rsidR="00051AE5" w:rsidRPr="00610088" w:rsidRDefault="00051AE5" w:rsidP="00051AE5">
            <w:pPr>
              <w:pStyle w:val="NoSpacing"/>
              <w:rPr>
                <w:sz w:val="18"/>
                <w:szCs w:val="18"/>
                <w:lang w:val="en-GB"/>
              </w:rPr>
            </w:pPr>
            <w:r w:rsidRPr="00610088">
              <w:rPr>
                <w:sz w:val="18"/>
                <w:szCs w:val="18"/>
                <w:lang w:val="en-GB"/>
              </w:rPr>
              <w:t>NCD research final reports</w:t>
            </w:r>
          </w:p>
        </w:tc>
        <w:tc>
          <w:tcPr>
            <w:tcW w:w="850" w:type="dxa"/>
            <w:shd w:val="clear" w:color="auto" w:fill="DEEAF6" w:themeFill="accent5" w:themeFillTint="33"/>
            <w:hideMark/>
          </w:tcPr>
          <w:p w14:paraId="6F61F197" w14:textId="77777777" w:rsidR="00051AE5" w:rsidRPr="00610088" w:rsidRDefault="00051AE5" w:rsidP="00051AE5">
            <w:pPr>
              <w:pStyle w:val="NoSpacing"/>
              <w:rPr>
                <w:sz w:val="18"/>
                <w:szCs w:val="18"/>
                <w:lang w:val="en-GB"/>
              </w:rPr>
            </w:pPr>
            <w:r w:rsidRPr="00610088">
              <w:rPr>
                <w:sz w:val="18"/>
                <w:szCs w:val="18"/>
                <w:lang w:val="en-GB"/>
              </w:rPr>
              <w:t>Annual</w:t>
            </w:r>
          </w:p>
        </w:tc>
        <w:tc>
          <w:tcPr>
            <w:tcW w:w="2551" w:type="dxa"/>
            <w:shd w:val="clear" w:color="auto" w:fill="DEEAF6" w:themeFill="accent5" w:themeFillTint="33"/>
            <w:hideMark/>
          </w:tcPr>
          <w:p w14:paraId="1B7E2931" w14:textId="77777777" w:rsidR="00051AE5" w:rsidRPr="00610088" w:rsidRDefault="00051AE5" w:rsidP="00051AE5">
            <w:pPr>
              <w:pStyle w:val="NoSpacing"/>
              <w:rPr>
                <w:sz w:val="18"/>
                <w:szCs w:val="18"/>
                <w:lang w:val="en-GB"/>
              </w:rPr>
            </w:pPr>
            <w:r w:rsidRPr="00610088">
              <w:rPr>
                <w:sz w:val="18"/>
                <w:szCs w:val="18"/>
                <w:lang w:val="en-GB"/>
              </w:rPr>
              <w:t>TBD (DNCD&amp;MH, 2019)</w:t>
            </w:r>
          </w:p>
        </w:tc>
        <w:tc>
          <w:tcPr>
            <w:tcW w:w="850" w:type="dxa"/>
            <w:shd w:val="clear" w:color="auto" w:fill="DEEAF6" w:themeFill="accent5" w:themeFillTint="33"/>
            <w:noWrap/>
            <w:hideMark/>
          </w:tcPr>
          <w:p w14:paraId="51FEEFAD" w14:textId="77777777" w:rsidR="00051AE5" w:rsidRPr="00610088" w:rsidRDefault="00051AE5" w:rsidP="00051AE5">
            <w:pPr>
              <w:pStyle w:val="NoSpacing"/>
              <w:rPr>
                <w:sz w:val="18"/>
                <w:szCs w:val="18"/>
                <w:lang w:val="en-GB"/>
              </w:rPr>
            </w:pPr>
            <w:r w:rsidRPr="00610088">
              <w:rPr>
                <w:sz w:val="18"/>
                <w:szCs w:val="18"/>
                <w:lang w:val="en-GB"/>
              </w:rPr>
              <w:t>2</w:t>
            </w:r>
          </w:p>
        </w:tc>
        <w:tc>
          <w:tcPr>
            <w:tcW w:w="851" w:type="dxa"/>
            <w:shd w:val="clear" w:color="auto" w:fill="DEEAF6" w:themeFill="accent5" w:themeFillTint="33"/>
            <w:hideMark/>
          </w:tcPr>
          <w:p w14:paraId="3C3DA680" w14:textId="77777777" w:rsidR="00051AE5" w:rsidRPr="00610088" w:rsidRDefault="00051AE5" w:rsidP="00051AE5">
            <w:pPr>
              <w:pStyle w:val="NoSpacing"/>
              <w:rPr>
                <w:sz w:val="18"/>
                <w:szCs w:val="18"/>
                <w:lang w:val="en-GB"/>
              </w:rPr>
            </w:pPr>
            <w:r w:rsidRPr="00610088">
              <w:rPr>
                <w:sz w:val="18"/>
                <w:szCs w:val="18"/>
                <w:lang w:val="en-GB"/>
              </w:rPr>
              <w:t>3</w:t>
            </w:r>
          </w:p>
        </w:tc>
        <w:tc>
          <w:tcPr>
            <w:tcW w:w="850" w:type="dxa"/>
            <w:shd w:val="clear" w:color="auto" w:fill="DEEAF6" w:themeFill="accent5" w:themeFillTint="33"/>
            <w:noWrap/>
            <w:hideMark/>
          </w:tcPr>
          <w:p w14:paraId="2429507F" w14:textId="77777777" w:rsidR="00051AE5" w:rsidRPr="00610088" w:rsidRDefault="00051AE5" w:rsidP="00051AE5">
            <w:pPr>
              <w:pStyle w:val="NoSpacing"/>
              <w:rPr>
                <w:sz w:val="18"/>
                <w:szCs w:val="18"/>
                <w:lang w:val="en-GB"/>
              </w:rPr>
            </w:pPr>
            <w:r w:rsidRPr="00610088">
              <w:rPr>
                <w:sz w:val="18"/>
                <w:szCs w:val="18"/>
                <w:lang w:val="en-GB"/>
              </w:rPr>
              <w:t>4</w:t>
            </w:r>
          </w:p>
        </w:tc>
        <w:tc>
          <w:tcPr>
            <w:tcW w:w="772" w:type="dxa"/>
            <w:shd w:val="clear" w:color="auto" w:fill="DEEAF6" w:themeFill="accent5" w:themeFillTint="33"/>
            <w:noWrap/>
            <w:hideMark/>
          </w:tcPr>
          <w:p w14:paraId="6001E35D" w14:textId="77777777" w:rsidR="00051AE5" w:rsidRPr="00610088" w:rsidRDefault="00051AE5" w:rsidP="00051AE5">
            <w:pPr>
              <w:pStyle w:val="NoSpacing"/>
              <w:rPr>
                <w:sz w:val="18"/>
                <w:szCs w:val="18"/>
                <w:lang w:val="en-GB"/>
              </w:rPr>
            </w:pPr>
            <w:r w:rsidRPr="00610088">
              <w:rPr>
                <w:sz w:val="18"/>
                <w:szCs w:val="18"/>
                <w:lang w:val="en-GB"/>
              </w:rPr>
              <w:t>4</w:t>
            </w:r>
          </w:p>
        </w:tc>
      </w:tr>
    </w:tbl>
    <w:p w14:paraId="4D2CD08C" w14:textId="7997917C" w:rsidR="0057323A" w:rsidRPr="00610088" w:rsidRDefault="0057323A" w:rsidP="006F3AA7">
      <w:pPr>
        <w:pStyle w:val="NoSpacing"/>
        <w:rPr>
          <w:sz w:val="18"/>
          <w:szCs w:val="18"/>
          <w:lang w:val="en-GB"/>
        </w:rPr>
      </w:pPr>
    </w:p>
    <w:p w14:paraId="46B52DA5" w14:textId="2FA4E67D" w:rsidR="00FA2345" w:rsidRPr="00610088" w:rsidRDefault="00FA2345" w:rsidP="006F3AA7">
      <w:pPr>
        <w:pStyle w:val="NoSpacing"/>
        <w:rPr>
          <w:sz w:val="18"/>
          <w:szCs w:val="18"/>
          <w:lang w:val="en-GB"/>
        </w:rPr>
      </w:pPr>
    </w:p>
    <w:p w14:paraId="112FCA7A" w14:textId="77777777" w:rsidR="00FA2345" w:rsidRPr="00610088" w:rsidRDefault="00FA2345" w:rsidP="006F3AA7">
      <w:pPr>
        <w:pStyle w:val="NoSpacing"/>
        <w:rPr>
          <w:sz w:val="18"/>
          <w:szCs w:val="18"/>
          <w:lang w:val="en-GB"/>
        </w:rPr>
        <w:sectPr w:rsidR="00FA2345" w:rsidRPr="00610088" w:rsidSect="00FA2345">
          <w:pgSz w:w="16840" w:h="11900" w:orient="landscape"/>
          <w:pgMar w:top="1440" w:right="1080" w:bottom="1440" w:left="1080" w:header="708" w:footer="708" w:gutter="0"/>
          <w:cols w:space="708"/>
          <w:docGrid w:linePitch="360"/>
        </w:sectPr>
      </w:pPr>
    </w:p>
    <w:p w14:paraId="5CC36C62" w14:textId="4F6FA881" w:rsidR="00136C5E" w:rsidRPr="00610088" w:rsidRDefault="00136C5E" w:rsidP="00136C5E">
      <w:pPr>
        <w:pStyle w:val="Heading1"/>
        <w:numPr>
          <w:ilvl w:val="0"/>
          <w:numId w:val="0"/>
        </w:numPr>
        <w:ind w:left="432" w:hanging="432"/>
        <w:rPr>
          <w:lang w:val="en-GB"/>
        </w:rPr>
      </w:pPr>
      <w:bookmarkStart w:id="113" w:name="_Ref32391360"/>
      <w:bookmarkStart w:id="114" w:name="_Toc41370573"/>
      <w:r w:rsidRPr="00610088">
        <w:rPr>
          <w:lang w:val="en-GB"/>
        </w:rPr>
        <w:lastRenderedPageBreak/>
        <w:t>Annex 1:  Country Health System</w:t>
      </w:r>
      <w:bookmarkEnd w:id="113"/>
      <w:bookmarkEnd w:id="114"/>
    </w:p>
    <w:p w14:paraId="09A02D91" w14:textId="6100B8D7" w:rsidR="00136C5E" w:rsidRPr="00610088" w:rsidRDefault="00136C5E" w:rsidP="00136C5E">
      <w:pPr>
        <w:rPr>
          <w:lang w:val="en-GB"/>
        </w:rPr>
      </w:pPr>
    </w:p>
    <w:p w14:paraId="2508B461" w14:textId="4EC5C518" w:rsidR="00136C5E" w:rsidRPr="00610088" w:rsidRDefault="00136C5E" w:rsidP="00136C5E">
      <w:pPr>
        <w:rPr>
          <w:sz w:val="18"/>
          <w:szCs w:val="18"/>
          <w:lang w:val="en-GB"/>
        </w:rPr>
      </w:pPr>
      <w:r w:rsidRPr="00610088">
        <w:rPr>
          <w:sz w:val="18"/>
          <w:szCs w:val="18"/>
          <w:lang w:val="en-GB"/>
        </w:rPr>
        <w:t xml:space="preserve">The country health system </w:t>
      </w:r>
      <w:r w:rsidR="00B26C4F" w:rsidRPr="00610088">
        <w:rPr>
          <w:sz w:val="18"/>
          <w:szCs w:val="18"/>
          <w:lang w:val="en-GB"/>
        </w:rPr>
        <w:t>is</w:t>
      </w:r>
      <w:r w:rsidRPr="00610088">
        <w:rPr>
          <w:sz w:val="18"/>
          <w:szCs w:val="18"/>
          <w:lang w:val="en-GB"/>
        </w:rPr>
        <w:t xml:space="preserve"> discussed in detail below. </w:t>
      </w:r>
    </w:p>
    <w:p w14:paraId="59FCC0C8" w14:textId="77777777" w:rsidR="00136C5E" w:rsidRPr="00610088" w:rsidRDefault="00136C5E" w:rsidP="00136C5E">
      <w:pPr>
        <w:rPr>
          <w:sz w:val="18"/>
          <w:szCs w:val="18"/>
          <w:lang w:val="en-GB"/>
        </w:rPr>
      </w:pPr>
    </w:p>
    <w:p w14:paraId="507CA6CD"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Leadership and Governance</w:t>
      </w:r>
    </w:p>
    <w:p w14:paraId="04166DF6" w14:textId="45BF879E" w:rsidR="00136C5E" w:rsidRPr="00610088" w:rsidRDefault="00136C5E" w:rsidP="00136C5E">
      <w:pPr>
        <w:rPr>
          <w:sz w:val="18"/>
          <w:szCs w:val="18"/>
          <w:lang w:val="en-GB"/>
        </w:rPr>
      </w:pPr>
      <w:r w:rsidRPr="00610088">
        <w:rPr>
          <w:sz w:val="18"/>
          <w:szCs w:val="18"/>
          <w:lang w:val="en-GB"/>
        </w:rPr>
        <w:t>The Ministry of Health and Sanitation (</w:t>
      </w:r>
      <w:proofErr w:type="spellStart"/>
      <w:r w:rsidR="00156C15">
        <w:rPr>
          <w:sz w:val="18"/>
          <w:szCs w:val="18"/>
          <w:lang w:val="en-GB"/>
        </w:rPr>
        <w:t>MoHS</w:t>
      </w:r>
      <w:proofErr w:type="spellEnd"/>
      <w:r w:rsidRPr="00610088">
        <w:rPr>
          <w:sz w:val="18"/>
          <w:szCs w:val="18"/>
          <w:lang w:val="en-GB"/>
        </w:rPr>
        <w:t>) states on its website that it “</w:t>
      </w:r>
      <w:r w:rsidRPr="00610088">
        <w:rPr>
          <w:i/>
          <w:iCs/>
          <w:sz w:val="18"/>
          <w:szCs w:val="18"/>
          <w:lang w:val="en-GB"/>
        </w:rPr>
        <w:t>believes that access to sound health is a human right, its vision is to ensure a functional national health system delivering efficient, high quality health care services that are accessible, equitable and affordable for everybody in Sierra Leone and the overall goal is to maintain and improve the health of its citizens</w:t>
      </w:r>
      <w:r w:rsidRPr="00610088">
        <w:rPr>
          <w:sz w:val="18"/>
          <w:szCs w:val="18"/>
          <w:lang w:val="en-GB"/>
        </w:rPr>
        <w:t xml:space="preserve">.” </w:t>
      </w:r>
      <w:r w:rsidRPr="00610088">
        <w:rPr>
          <w:rStyle w:val="EndnoteReference"/>
          <w:sz w:val="18"/>
          <w:szCs w:val="18"/>
          <w:lang w:val="en-GB"/>
        </w:rPr>
        <w:endnoteReference w:id="100"/>
      </w:r>
    </w:p>
    <w:p w14:paraId="6B853707" w14:textId="77777777" w:rsidR="00136C5E" w:rsidRPr="00610088" w:rsidRDefault="00136C5E" w:rsidP="00136C5E">
      <w:pPr>
        <w:rPr>
          <w:sz w:val="18"/>
          <w:szCs w:val="18"/>
          <w:lang w:val="en-GB"/>
        </w:rPr>
      </w:pPr>
    </w:p>
    <w:p w14:paraId="709CFE60" w14:textId="45FB2522" w:rsidR="00136C5E" w:rsidRPr="00610088" w:rsidRDefault="00136C5E" w:rsidP="00136C5E">
      <w:pPr>
        <w:rPr>
          <w:sz w:val="18"/>
          <w:szCs w:val="18"/>
          <w:lang w:val="en-GB"/>
        </w:rPr>
      </w:pPr>
      <w:r w:rsidRPr="00610088">
        <w:rPr>
          <w:sz w:val="18"/>
          <w:szCs w:val="18"/>
          <w:lang w:val="en-GB"/>
        </w:rPr>
        <w:t xml:space="preserve">The </w:t>
      </w:r>
      <w:proofErr w:type="spellStart"/>
      <w:r w:rsidR="00156C15">
        <w:rPr>
          <w:sz w:val="18"/>
          <w:szCs w:val="18"/>
          <w:lang w:val="en-GB"/>
        </w:rPr>
        <w:t>MoHS</w:t>
      </w:r>
      <w:proofErr w:type="spellEnd"/>
      <w:r w:rsidRPr="00610088">
        <w:rPr>
          <w:sz w:val="18"/>
          <w:szCs w:val="18"/>
          <w:lang w:val="en-GB"/>
        </w:rPr>
        <w:t xml:space="preserve"> is guided by several policy and strategy documents, including the recently developed Medium-Term National Development Plan </w:t>
      </w:r>
      <w:bookmarkStart w:id="115" w:name="_Ref17359290"/>
      <w:r w:rsidRPr="00610088">
        <w:rPr>
          <w:rStyle w:val="EndnoteReference"/>
          <w:sz w:val="18"/>
          <w:szCs w:val="18"/>
          <w:lang w:val="en-GB"/>
        </w:rPr>
        <w:endnoteReference w:id="101"/>
      </w:r>
      <w:bookmarkEnd w:id="115"/>
      <w:r w:rsidRPr="00610088">
        <w:rPr>
          <w:sz w:val="18"/>
          <w:szCs w:val="18"/>
          <w:lang w:val="en-GB"/>
        </w:rPr>
        <w:t xml:space="preserve">, the Health Policy </w:t>
      </w:r>
      <w:bookmarkStart w:id="116" w:name="_Ref17359243"/>
      <w:r w:rsidRPr="00610088">
        <w:rPr>
          <w:rStyle w:val="EndnoteReference"/>
          <w:sz w:val="18"/>
          <w:szCs w:val="18"/>
          <w:lang w:val="en-GB"/>
        </w:rPr>
        <w:endnoteReference w:id="102"/>
      </w:r>
      <w:bookmarkEnd w:id="116"/>
      <w:r w:rsidRPr="00610088">
        <w:rPr>
          <w:sz w:val="18"/>
          <w:szCs w:val="18"/>
          <w:lang w:val="en-GB"/>
        </w:rPr>
        <w:t xml:space="preserve"> and the National Health Sector Strategic Plan 2017-2021 </w:t>
      </w:r>
      <w:bookmarkStart w:id="117" w:name="_Ref17359355"/>
      <w:r w:rsidRPr="00610088">
        <w:rPr>
          <w:rStyle w:val="EndnoteReference"/>
          <w:sz w:val="18"/>
          <w:szCs w:val="18"/>
          <w:lang w:val="en-GB"/>
        </w:rPr>
        <w:endnoteReference w:id="103"/>
      </w:r>
      <w:bookmarkEnd w:id="117"/>
      <w:r w:rsidRPr="00610088">
        <w:rPr>
          <w:sz w:val="18"/>
          <w:szCs w:val="18"/>
          <w:lang w:val="en-GB"/>
        </w:rPr>
        <w:t xml:space="preserve">.  A new health policy is in development as the current health policy is outdated (2002, revised in 2009). Service delivery is guided by the Basic Package of Essential Services 2015-2020 (BPEHS) </w:t>
      </w:r>
      <w:bookmarkStart w:id="118" w:name="_Ref17359325"/>
      <w:r w:rsidRPr="00610088">
        <w:rPr>
          <w:rStyle w:val="EndnoteReference"/>
          <w:sz w:val="18"/>
          <w:szCs w:val="18"/>
          <w:lang w:val="en-GB"/>
        </w:rPr>
        <w:endnoteReference w:id="104"/>
      </w:r>
      <w:bookmarkEnd w:id="118"/>
      <w:r w:rsidRPr="00610088">
        <w:rPr>
          <w:sz w:val="18"/>
          <w:szCs w:val="18"/>
          <w:lang w:val="en-GB"/>
        </w:rPr>
        <w:t xml:space="preserve"> and the Free Health Care Initiative (FHCI). </w:t>
      </w:r>
      <w:bookmarkStart w:id="119" w:name="_Ref32798798"/>
      <w:r w:rsidRPr="00610088">
        <w:rPr>
          <w:rStyle w:val="EndnoteReference"/>
          <w:sz w:val="18"/>
          <w:szCs w:val="18"/>
          <w:lang w:val="en-GB"/>
        </w:rPr>
        <w:endnoteReference w:id="105"/>
      </w:r>
      <w:bookmarkEnd w:id="119"/>
      <w:r w:rsidRPr="00610088">
        <w:rPr>
          <w:sz w:val="18"/>
          <w:szCs w:val="18"/>
          <w:lang w:val="en-GB"/>
        </w:rPr>
        <w:t xml:space="preserve"> The FHCI was launched in 2010 to provide free health care for children under 5 years and pregnant and lactating women.  </w:t>
      </w:r>
    </w:p>
    <w:p w14:paraId="51D7AC60" w14:textId="77777777" w:rsidR="00136C5E" w:rsidRPr="00610088" w:rsidRDefault="00136C5E" w:rsidP="00136C5E">
      <w:pPr>
        <w:rPr>
          <w:sz w:val="18"/>
          <w:szCs w:val="18"/>
          <w:lang w:val="en-GB"/>
        </w:rPr>
      </w:pPr>
    </w:p>
    <w:p w14:paraId="59FCB052" w14:textId="31F76C50" w:rsidR="00136C5E" w:rsidRPr="00610088" w:rsidRDefault="00136C5E" w:rsidP="00136C5E">
      <w:pPr>
        <w:rPr>
          <w:sz w:val="18"/>
          <w:szCs w:val="18"/>
          <w:lang w:val="en-GB"/>
        </w:rPr>
      </w:pPr>
      <w:r w:rsidRPr="00610088">
        <w:rPr>
          <w:sz w:val="18"/>
          <w:szCs w:val="18"/>
          <w:lang w:val="en-GB"/>
        </w:rPr>
        <w:t xml:space="preserve">Both the fiscal and human resources decentralization of the public health sector is incomplete. The </w:t>
      </w:r>
      <w:proofErr w:type="spellStart"/>
      <w:r w:rsidR="00156C15">
        <w:rPr>
          <w:sz w:val="18"/>
          <w:szCs w:val="18"/>
          <w:lang w:val="en-GB"/>
        </w:rPr>
        <w:t>MoHS</w:t>
      </w:r>
      <w:proofErr w:type="spellEnd"/>
      <w:r w:rsidRPr="00610088">
        <w:rPr>
          <w:sz w:val="18"/>
          <w:szCs w:val="18"/>
          <w:lang w:val="en-GB"/>
        </w:rPr>
        <w:t xml:space="preserve"> staff is part of the overall government payroll, there is no separately managed </w:t>
      </w:r>
      <w:proofErr w:type="spellStart"/>
      <w:r w:rsidR="00156C15">
        <w:rPr>
          <w:sz w:val="18"/>
          <w:szCs w:val="18"/>
          <w:lang w:val="en-GB"/>
        </w:rPr>
        <w:t>MoHS</w:t>
      </w:r>
      <w:proofErr w:type="spellEnd"/>
      <w:r w:rsidRPr="00610088">
        <w:rPr>
          <w:sz w:val="18"/>
          <w:szCs w:val="18"/>
          <w:lang w:val="en-GB"/>
        </w:rPr>
        <w:t xml:space="preserve"> payroll. Only recently Human Resources for Health officers were posted to district level. Tertiary health care (national level and regional referral hospitals) is not decentralized. Primary and secondary health care are decentralised and receive their Government of Sierra Leone (</w:t>
      </w:r>
      <w:proofErr w:type="spellStart"/>
      <w:r w:rsidRPr="00610088">
        <w:rPr>
          <w:sz w:val="18"/>
          <w:szCs w:val="18"/>
          <w:lang w:val="en-GB"/>
        </w:rPr>
        <w:t>GoSL</w:t>
      </w:r>
      <w:proofErr w:type="spellEnd"/>
      <w:r w:rsidRPr="00610088">
        <w:rPr>
          <w:sz w:val="18"/>
          <w:szCs w:val="18"/>
          <w:lang w:val="en-GB"/>
        </w:rPr>
        <w:t xml:space="preserve">) funds through the local councils at district level. Coordination is limited between these city and district councils and the district hospitals that provide the secondary health care and the DHMTs that are responsible for primary health care through the Peripheral Health Units (PHUs). Also, at national level the coordination through the Health Sector Coordinating Committee and the Health Sector Steering Group is limited. Meetings are not very regular and serve often more as information sharing than real coordination. Coordination with other sectors is limited, with a few exceptions where a special entity has been created to improve coordination like the Scaling up Nutrition initiative and the Teenage Pregnancy secretariat. </w:t>
      </w:r>
    </w:p>
    <w:p w14:paraId="4E0524A3" w14:textId="77777777" w:rsidR="00136C5E" w:rsidRPr="00610088" w:rsidRDefault="00136C5E" w:rsidP="00136C5E">
      <w:pPr>
        <w:pStyle w:val="NoSpacing"/>
        <w:rPr>
          <w:sz w:val="18"/>
          <w:szCs w:val="18"/>
          <w:lang w:val="en-GB"/>
        </w:rPr>
      </w:pPr>
      <w:r w:rsidRPr="00610088">
        <w:rPr>
          <w:sz w:val="18"/>
          <w:szCs w:val="18"/>
          <w:lang w:val="en-GB"/>
        </w:rPr>
        <w:t>Universal Health Coverage (UHC) links and cuts through all health-related SDGs. UHC is defined as the possibility for “</w:t>
      </w:r>
      <w:r w:rsidRPr="00610088">
        <w:rPr>
          <w:i/>
          <w:iCs/>
          <w:sz w:val="18"/>
          <w:szCs w:val="18"/>
          <w:lang w:val="en-GB"/>
        </w:rPr>
        <w:t>all people and communities to use the promotive, preventive, curative, rehabilitative and palliative health services they need, of sufficient quality to be effective, while also ensuring that the use of these services does not expose the user to financial hardship</w:t>
      </w:r>
      <w:r w:rsidRPr="00610088">
        <w:rPr>
          <w:sz w:val="18"/>
          <w:szCs w:val="18"/>
          <w:lang w:val="en-GB"/>
        </w:rPr>
        <w:t xml:space="preserve">.”  </w:t>
      </w:r>
    </w:p>
    <w:p w14:paraId="365B5BCE" w14:textId="3645AA9F" w:rsidR="00136C5E" w:rsidRPr="00610088" w:rsidRDefault="00136C5E" w:rsidP="00136C5E">
      <w:pPr>
        <w:pStyle w:val="M03BodyText"/>
        <w:rPr>
          <w:sz w:val="18"/>
          <w:szCs w:val="18"/>
        </w:rPr>
      </w:pPr>
      <w:r w:rsidRPr="00610088">
        <w:rPr>
          <w:rFonts w:asciiTheme="minorHAnsi" w:eastAsiaTheme="minorHAnsi" w:hAnsiTheme="minorHAnsi" w:cstheme="minorBidi"/>
          <w:sz w:val="18"/>
          <w:szCs w:val="18"/>
          <w:lang w:eastAsia="en-US"/>
        </w:rPr>
        <w:t xml:space="preserve">Sierra Leone is a signatory to the UHC2030 Global Compact which commits the country to support and accelerate progress towards UHC, through building and expanding equitable, resilient and sustainable health system. </w:t>
      </w:r>
      <w:bookmarkStart w:id="120" w:name="_Ref32798895"/>
      <w:r w:rsidRPr="00610088">
        <w:rPr>
          <w:rFonts w:asciiTheme="minorHAnsi" w:eastAsiaTheme="minorHAnsi" w:hAnsiTheme="minorHAnsi" w:cstheme="minorBidi"/>
          <w:sz w:val="18"/>
          <w:szCs w:val="18"/>
          <w:vertAlign w:val="superscript"/>
          <w:lang w:eastAsia="en-US"/>
        </w:rPr>
        <w:endnoteReference w:id="106"/>
      </w:r>
      <w:bookmarkEnd w:id="120"/>
      <w:r w:rsidRPr="00610088">
        <w:rPr>
          <w:rFonts w:asciiTheme="minorHAnsi" w:eastAsiaTheme="minorHAnsi" w:hAnsiTheme="minorHAnsi" w:cstheme="minorBidi"/>
          <w:sz w:val="18"/>
          <w:szCs w:val="18"/>
          <w:lang w:eastAsia="en-US"/>
        </w:rPr>
        <w:t xml:space="preserve"> </w:t>
      </w:r>
      <w:r w:rsidRPr="00610088">
        <w:rPr>
          <w:rFonts w:asciiTheme="minorHAnsi" w:eastAsiaTheme="minorHAnsi" w:hAnsiTheme="minorHAnsi" w:cstheme="minorBidi"/>
          <w:sz w:val="18"/>
          <w:szCs w:val="18"/>
          <w:lang w:eastAsia="en-US"/>
        </w:rPr>
        <w:fldChar w:fldCharType="begin" w:fldLock="1"/>
      </w:r>
      <w:r w:rsidRPr="00610088">
        <w:rPr>
          <w:rFonts w:asciiTheme="minorHAnsi" w:eastAsiaTheme="minorHAnsi" w:hAnsiTheme="minorHAnsi" w:cstheme="minorBidi"/>
          <w:sz w:val="18"/>
          <w:szCs w:val="18"/>
          <w:lang w:eastAsia="en-US"/>
        </w:rPr>
        <w:instrText>ADDIN CSL_CITATION {"citationItems":[{"id":"ITEM-1","itemData":{"author":[{"dropping-particle":"","family":"UHC2030","given":"","non-dropping-particle":"","parse-names":false,"suffix":""}],"id":"ITEM-1","issued":{"date-parts":[["2018"]]},"title":"Global compact for progress towards universal health coverage","type":"article"},"uris":["http://www.mendeley.com/documents/?uuid=29f65015-ae1a-41f8-9f3d-2abc73f80ef4"]}],"mendeley":{"formattedCitation":"&lt;sup&gt;142&lt;/sup&gt;","plainTextFormattedCitation":"142","previouslyFormattedCitation":"&lt;sup&gt;142&lt;/sup&gt;"},"properties":{"noteIndex":0},"schema":"https://github.com/citation-style-language/schema/raw/master/csl-citation.json"}</w:instrText>
      </w:r>
      <w:r w:rsidRPr="00610088">
        <w:rPr>
          <w:rFonts w:asciiTheme="minorHAnsi" w:eastAsiaTheme="minorHAnsi" w:hAnsiTheme="minorHAnsi" w:cstheme="minorBidi"/>
          <w:sz w:val="18"/>
          <w:szCs w:val="18"/>
          <w:lang w:eastAsia="en-US"/>
        </w:rPr>
        <w:fldChar w:fldCharType="end"/>
      </w:r>
      <w:r w:rsidRPr="00610088">
        <w:rPr>
          <w:rFonts w:asciiTheme="minorHAnsi" w:eastAsiaTheme="minorHAnsi" w:hAnsiTheme="minorHAnsi" w:cstheme="minorBidi"/>
          <w:sz w:val="18"/>
          <w:szCs w:val="18"/>
          <w:lang w:eastAsia="en-US"/>
        </w:rPr>
        <w:t xml:space="preserve"> WHO conducted a UHC scoping visit to Sierra Leone on UHC in June 2019, in which team members, among others, recommended to progressively expand the benefits package of FHCI to include all life </w:t>
      </w:r>
      <w:proofErr w:type="gramStart"/>
      <w:r w:rsidRPr="00610088">
        <w:rPr>
          <w:rFonts w:asciiTheme="minorHAnsi" w:eastAsiaTheme="minorHAnsi" w:hAnsiTheme="minorHAnsi" w:cstheme="minorBidi"/>
          <w:sz w:val="18"/>
          <w:szCs w:val="18"/>
          <w:lang w:eastAsia="en-US"/>
        </w:rPr>
        <w:t>cohorts</w:t>
      </w:r>
      <w:r w:rsidRPr="00610088">
        <w:rPr>
          <w:sz w:val="18"/>
          <w:szCs w:val="18"/>
        </w:rPr>
        <w:t>.</w:t>
      </w:r>
      <w:bookmarkStart w:id="121" w:name="_Ref17117498"/>
      <w:proofErr w:type="gramEnd"/>
      <w:r w:rsidRPr="00610088">
        <w:rPr>
          <w:rStyle w:val="EndnoteReference"/>
          <w:sz w:val="18"/>
          <w:szCs w:val="18"/>
        </w:rPr>
        <w:endnoteReference w:id="107"/>
      </w:r>
      <w:bookmarkEnd w:id="121"/>
    </w:p>
    <w:p w14:paraId="3F5C2846" w14:textId="77777777" w:rsidR="00BF1205" w:rsidRPr="00610088" w:rsidRDefault="00BF1205" w:rsidP="00136C5E">
      <w:pPr>
        <w:pStyle w:val="M03BodyText"/>
        <w:rPr>
          <w:sz w:val="18"/>
          <w:szCs w:val="18"/>
        </w:rPr>
      </w:pPr>
    </w:p>
    <w:p w14:paraId="79FA83C5" w14:textId="77777777" w:rsidR="00136C5E" w:rsidRPr="00610088" w:rsidRDefault="00136C5E" w:rsidP="007A5E46">
      <w:pPr>
        <w:pStyle w:val="Subtitle"/>
        <w:rPr>
          <w:b/>
          <w:bCs/>
          <w:sz w:val="18"/>
          <w:szCs w:val="18"/>
          <w:u w:val="single"/>
          <w:lang w:val="en-GB"/>
        </w:rPr>
      </w:pPr>
      <w:bookmarkStart w:id="122" w:name="_Ref17113896"/>
      <w:r w:rsidRPr="00610088">
        <w:rPr>
          <w:b/>
          <w:bCs/>
          <w:sz w:val="18"/>
          <w:szCs w:val="18"/>
          <w:u w:val="single"/>
          <w:lang w:val="en-GB"/>
        </w:rPr>
        <w:t>Health service delivery</w:t>
      </w:r>
      <w:bookmarkEnd w:id="122"/>
    </w:p>
    <w:p w14:paraId="3D94B0F8" w14:textId="77777777" w:rsidR="00136C5E" w:rsidRPr="00610088" w:rsidRDefault="00136C5E" w:rsidP="00136C5E">
      <w:pPr>
        <w:rPr>
          <w:sz w:val="18"/>
          <w:szCs w:val="18"/>
          <w:lang w:val="en-GB"/>
        </w:rPr>
      </w:pPr>
      <w:r w:rsidRPr="00610088">
        <w:rPr>
          <w:sz w:val="18"/>
          <w:szCs w:val="18"/>
          <w:lang w:val="en-GB"/>
        </w:rPr>
        <w:t>Sierra Leone’s health system consist of three levels with community health workers (CHWs) and Peripheral Health Units (PHUs) at the primary level, district hospitals at the secondary level and regional and national / referral hospitals at the tertiary level. In 2017 there were 1284 public and private health facilities, including 54 hospitals in the country.</w:t>
      </w:r>
      <w:bookmarkStart w:id="123" w:name="_Ref17185534"/>
      <w:r w:rsidRPr="00610088">
        <w:rPr>
          <w:rStyle w:val="EndnoteReference"/>
          <w:rFonts w:cs="Calibri"/>
          <w:color w:val="000000" w:themeColor="text1"/>
          <w:sz w:val="18"/>
          <w:szCs w:val="18"/>
          <w:lang w:val="en-GB"/>
        </w:rPr>
        <w:endnoteReference w:id="108"/>
      </w:r>
      <w:bookmarkEnd w:id="123"/>
    </w:p>
    <w:p w14:paraId="0C55E5C6" w14:textId="77777777" w:rsidR="00136C5E" w:rsidRPr="00610088" w:rsidRDefault="00136C5E" w:rsidP="00136C5E">
      <w:pPr>
        <w:rPr>
          <w:sz w:val="18"/>
          <w:szCs w:val="18"/>
          <w:lang w:val="en-GB"/>
        </w:rPr>
      </w:pPr>
    </w:p>
    <w:p w14:paraId="565CA1F0" w14:textId="77777777" w:rsidR="00136C5E" w:rsidRPr="00610088" w:rsidRDefault="00136C5E" w:rsidP="00136C5E">
      <w:pPr>
        <w:rPr>
          <w:sz w:val="18"/>
          <w:szCs w:val="18"/>
          <w:lang w:val="en-GB"/>
        </w:rPr>
      </w:pPr>
      <w:r w:rsidRPr="00610088">
        <w:rPr>
          <w:sz w:val="18"/>
          <w:szCs w:val="18"/>
          <w:lang w:val="en-GB"/>
        </w:rPr>
        <w:t xml:space="preserve">About 15,000 CHWs were trained in 2018. Their scope of work can be divided in 5 sections: General (community mapping and mobilization, referrals and quarterly routine home visits), RMNCH (Reproductive, Maternal </w:t>
      </w:r>
      <w:proofErr w:type="spellStart"/>
      <w:r w:rsidRPr="00610088">
        <w:rPr>
          <w:sz w:val="18"/>
          <w:szCs w:val="18"/>
          <w:lang w:val="en-GB"/>
        </w:rPr>
        <w:t>Newborn</w:t>
      </w:r>
      <w:proofErr w:type="spellEnd"/>
      <w:r w:rsidRPr="00610088">
        <w:rPr>
          <w:sz w:val="18"/>
          <w:szCs w:val="18"/>
          <w:lang w:val="en-GB"/>
        </w:rPr>
        <w:t xml:space="preserve"> and Child Health), </w:t>
      </w:r>
      <w:proofErr w:type="spellStart"/>
      <w:r w:rsidRPr="00610088">
        <w:rPr>
          <w:sz w:val="18"/>
          <w:szCs w:val="18"/>
          <w:lang w:val="en-GB"/>
        </w:rPr>
        <w:t>iCCM</w:t>
      </w:r>
      <w:proofErr w:type="spellEnd"/>
      <w:r w:rsidRPr="00610088">
        <w:rPr>
          <w:sz w:val="18"/>
          <w:szCs w:val="18"/>
          <w:lang w:val="en-GB"/>
        </w:rPr>
        <w:t xml:space="preserve"> Plus (integrated Community Case Management for under-fives Plus identification and treatment of malaria and diarrhoea in over-fives with anti-malarial medication and ORS respectively), Disease prevention and control (community based surveillance and reporting) and Community sensitization TB and HIV. </w:t>
      </w:r>
      <w:bookmarkStart w:id="124" w:name="_Ref15430042"/>
      <w:r w:rsidRPr="00610088">
        <w:rPr>
          <w:rStyle w:val="EndnoteReference"/>
          <w:rFonts w:cs="Calibri"/>
          <w:color w:val="000000" w:themeColor="text1"/>
          <w:sz w:val="18"/>
          <w:szCs w:val="18"/>
          <w:lang w:val="en-GB"/>
        </w:rPr>
        <w:endnoteReference w:id="109"/>
      </w:r>
      <w:bookmarkEnd w:id="124"/>
      <w:r w:rsidRPr="00610088">
        <w:rPr>
          <w:sz w:val="18"/>
          <w:szCs w:val="18"/>
          <w:lang w:val="en-GB"/>
        </w:rPr>
        <w:t xml:space="preserve"> </w:t>
      </w:r>
    </w:p>
    <w:p w14:paraId="3ABD5931" w14:textId="77777777" w:rsidR="00136C5E" w:rsidRPr="00610088" w:rsidRDefault="00136C5E" w:rsidP="00136C5E">
      <w:pPr>
        <w:rPr>
          <w:sz w:val="18"/>
          <w:szCs w:val="18"/>
          <w:lang w:val="en-GB"/>
        </w:rPr>
      </w:pPr>
    </w:p>
    <w:p w14:paraId="0D1380F3" w14:textId="77777777" w:rsidR="00136C5E" w:rsidRPr="00610088" w:rsidRDefault="00136C5E" w:rsidP="00136C5E">
      <w:pPr>
        <w:rPr>
          <w:sz w:val="18"/>
          <w:szCs w:val="18"/>
          <w:lang w:val="en-GB"/>
        </w:rPr>
      </w:pPr>
      <w:r w:rsidRPr="00610088">
        <w:rPr>
          <w:sz w:val="18"/>
          <w:szCs w:val="18"/>
          <w:lang w:val="en-GB"/>
        </w:rPr>
        <w:t>The highest level PHU – the Community Health Centre (CHC), usually found at the chiefdom headquarter town, usually supervises several middle and lower level PHUs - Community Health Post (CHP) and Mother and Child Health Post (MCHP) respectively. The cadre heading a facility – the PHU in charge – determines the level of the facility, usually a Community Health Officer (CHO) for a CHC, a Community Health Assistant (CHA) for a CHP and a Mother and Child Health Aide (</w:t>
      </w:r>
      <w:proofErr w:type="spellStart"/>
      <w:r w:rsidRPr="00610088">
        <w:rPr>
          <w:sz w:val="18"/>
          <w:szCs w:val="18"/>
          <w:lang w:val="en-GB"/>
        </w:rPr>
        <w:t>MCHAide</w:t>
      </w:r>
      <w:proofErr w:type="spellEnd"/>
      <w:r w:rsidRPr="00610088">
        <w:rPr>
          <w:sz w:val="18"/>
          <w:szCs w:val="18"/>
          <w:lang w:val="en-GB"/>
        </w:rPr>
        <w:t xml:space="preserve">) for a MCHP. </w:t>
      </w:r>
    </w:p>
    <w:p w14:paraId="40469D14" w14:textId="77777777" w:rsidR="00136C5E" w:rsidRPr="00610088" w:rsidRDefault="00136C5E" w:rsidP="00136C5E">
      <w:pPr>
        <w:rPr>
          <w:sz w:val="18"/>
          <w:szCs w:val="18"/>
          <w:lang w:val="en-GB"/>
        </w:rPr>
      </w:pPr>
      <w:r w:rsidRPr="00610088">
        <w:rPr>
          <w:sz w:val="18"/>
          <w:szCs w:val="18"/>
          <w:lang w:val="en-GB"/>
        </w:rPr>
        <w:t>In each district there is one (1) Comprehensive Emergency Obstetric and Neonatal Care Centre (C-</w:t>
      </w:r>
      <w:proofErr w:type="spellStart"/>
      <w:r w:rsidRPr="00610088">
        <w:rPr>
          <w:sz w:val="18"/>
          <w:szCs w:val="18"/>
          <w:lang w:val="en-GB"/>
        </w:rPr>
        <w:t>EmONC</w:t>
      </w:r>
      <w:proofErr w:type="spellEnd"/>
      <w:r w:rsidRPr="00610088">
        <w:rPr>
          <w:sz w:val="18"/>
          <w:szCs w:val="18"/>
          <w:lang w:val="en-GB"/>
        </w:rPr>
        <w:t>) – at hospital level and five (5) Basic Emergency Obstetric and Neonatal Care Centre (B-</w:t>
      </w:r>
      <w:proofErr w:type="spellStart"/>
      <w:r w:rsidRPr="00610088">
        <w:rPr>
          <w:sz w:val="18"/>
          <w:szCs w:val="18"/>
          <w:lang w:val="en-GB"/>
        </w:rPr>
        <w:t>EmONC</w:t>
      </w:r>
      <w:proofErr w:type="spellEnd"/>
      <w:r w:rsidRPr="00610088">
        <w:rPr>
          <w:sz w:val="18"/>
          <w:szCs w:val="18"/>
          <w:lang w:val="en-GB"/>
        </w:rPr>
        <w:t>) at CHC level. Midwives are based at hospitals and B-</w:t>
      </w:r>
      <w:proofErr w:type="spellStart"/>
      <w:r w:rsidRPr="00610088">
        <w:rPr>
          <w:sz w:val="18"/>
          <w:szCs w:val="18"/>
          <w:lang w:val="en-GB"/>
        </w:rPr>
        <w:t>EmONC</w:t>
      </w:r>
      <w:proofErr w:type="spellEnd"/>
      <w:r w:rsidRPr="00610088">
        <w:rPr>
          <w:sz w:val="18"/>
          <w:szCs w:val="18"/>
          <w:lang w:val="en-GB"/>
        </w:rPr>
        <w:t xml:space="preserve"> level and supervise maternal and neonatal health activities at the other PHUs. Medical doctors are only based at hospital level. </w:t>
      </w:r>
    </w:p>
    <w:p w14:paraId="7004E7F2" w14:textId="77777777" w:rsidR="00136C5E" w:rsidRPr="00610088" w:rsidRDefault="00136C5E" w:rsidP="00136C5E">
      <w:pPr>
        <w:rPr>
          <w:sz w:val="18"/>
          <w:szCs w:val="18"/>
          <w:lang w:val="en-GB"/>
        </w:rPr>
      </w:pPr>
      <w:r w:rsidRPr="00610088">
        <w:rPr>
          <w:sz w:val="18"/>
          <w:szCs w:val="18"/>
          <w:lang w:val="en-GB"/>
        </w:rPr>
        <w:t xml:space="preserve">PHUs provide both preventive and curative services and are open either open 24 hours or have a staff on call for out of hours. MCHPs and CHPs only have observation beds, admission is only possible at CHC or hospital level. </w:t>
      </w:r>
    </w:p>
    <w:p w14:paraId="3731468C" w14:textId="77777777" w:rsidR="00136C5E" w:rsidRPr="00610088" w:rsidRDefault="00136C5E" w:rsidP="00136C5E">
      <w:pPr>
        <w:rPr>
          <w:sz w:val="18"/>
          <w:szCs w:val="18"/>
          <w:lang w:val="en-GB"/>
        </w:rPr>
      </w:pPr>
    </w:p>
    <w:p w14:paraId="786C2DF1" w14:textId="1E044D91" w:rsidR="00136C5E" w:rsidRPr="00610088" w:rsidRDefault="00136C5E" w:rsidP="00136C5E">
      <w:pPr>
        <w:rPr>
          <w:sz w:val="18"/>
          <w:szCs w:val="18"/>
          <w:lang w:val="en-GB"/>
        </w:rPr>
      </w:pPr>
      <w:r w:rsidRPr="00610088">
        <w:rPr>
          <w:sz w:val="18"/>
          <w:szCs w:val="18"/>
          <w:lang w:val="en-GB"/>
        </w:rPr>
        <w:lastRenderedPageBreak/>
        <w:t xml:space="preserve">A nationwide ambulance referral system called NEMS (National Emergency Medical Services) was set up by </w:t>
      </w:r>
      <w:proofErr w:type="spellStart"/>
      <w:r w:rsidR="00156C15">
        <w:rPr>
          <w:sz w:val="18"/>
          <w:szCs w:val="18"/>
          <w:lang w:val="en-GB"/>
        </w:rPr>
        <w:t>MoHS</w:t>
      </w:r>
      <w:proofErr w:type="spellEnd"/>
      <w:r w:rsidRPr="00610088">
        <w:rPr>
          <w:sz w:val="18"/>
          <w:szCs w:val="18"/>
          <w:lang w:val="en-GB"/>
        </w:rPr>
        <w:t xml:space="preserve"> and its partners in 2018. This facilitates referrals from PHUs to hospital level. </w:t>
      </w:r>
    </w:p>
    <w:p w14:paraId="511002FC" w14:textId="6E4F610D" w:rsidR="00487AAE" w:rsidRPr="00610088" w:rsidRDefault="00487AAE" w:rsidP="00136C5E">
      <w:pPr>
        <w:rPr>
          <w:sz w:val="18"/>
          <w:szCs w:val="18"/>
          <w:lang w:val="en-GB"/>
        </w:rPr>
      </w:pPr>
    </w:p>
    <w:p w14:paraId="692B6285" w14:textId="1AB5D17F" w:rsidR="00136C5E" w:rsidRPr="00610088" w:rsidRDefault="00487AAE" w:rsidP="00136C5E">
      <w:pPr>
        <w:rPr>
          <w:sz w:val="18"/>
          <w:szCs w:val="18"/>
          <w:lang w:val="en-GB"/>
        </w:rPr>
      </w:pPr>
      <w:r w:rsidRPr="00610088">
        <w:rPr>
          <w:sz w:val="18"/>
          <w:szCs w:val="18"/>
          <w:lang w:val="en-GB"/>
        </w:rPr>
        <w:t xml:space="preserve">The Service Delivery Indicators (SDI) are a set of key indicators that benchmark service delivery performance in the health and education sectors in Sub-Saharan Africa with as overarching objective to ascertain the </w:t>
      </w:r>
      <w:proofErr w:type="gramStart"/>
      <w:r w:rsidRPr="00610088">
        <w:rPr>
          <w:sz w:val="18"/>
          <w:szCs w:val="18"/>
          <w:lang w:val="en-GB"/>
        </w:rPr>
        <w:t>quality of service</w:t>
      </w:r>
      <w:proofErr w:type="gramEnd"/>
      <w:r w:rsidRPr="00610088">
        <w:rPr>
          <w:sz w:val="18"/>
          <w:szCs w:val="18"/>
          <w:lang w:val="en-GB"/>
        </w:rPr>
        <w:t xml:space="preserve"> delivery in basic health services and primary education. The 2018 SDI </w:t>
      </w:r>
      <w:r w:rsidR="008E4241" w:rsidRPr="00610088">
        <w:rPr>
          <w:sz w:val="18"/>
          <w:szCs w:val="18"/>
          <w:lang w:val="en-GB"/>
        </w:rPr>
        <w:t>health survey</w:t>
      </w:r>
      <w:r w:rsidRPr="00610088">
        <w:rPr>
          <w:sz w:val="18"/>
          <w:szCs w:val="18"/>
          <w:lang w:val="en-GB"/>
        </w:rPr>
        <w:t xml:space="preserve"> for Sierra Leone</w:t>
      </w:r>
      <w:bookmarkStart w:id="125" w:name="_Ref32798983"/>
      <w:r w:rsidRPr="00610088">
        <w:rPr>
          <w:rStyle w:val="EndnoteReference"/>
          <w:sz w:val="18"/>
          <w:szCs w:val="18"/>
          <w:lang w:val="en-GB"/>
        </w:rPr>
        <w:endnoteReference w:id="110"/>
      </w:r>
      <w:bookmarkEnd w:id="125"/>
      <w:r w:rsidR="008E4241" w:rsidRPr="00610088">
        <w:rPr>
          <w:sz w:val="18"/>
          <w:szCs w:val="18"/>
          <w:lang w:val="en-GB"/>
        </w:rPr>
        <w:t xml:space="preserve"> sampled 547 health facilities in the country and found that Sierra Leone continues to lag far behind in maternal, infant and child mortality as compared to its regional peers. While it had better indicators on caseload (10.0 per provider per day), management of maternal and neonatal complications (31%), availability of drugs and infrastructure (56.0% and 47.7%) in the region, indicators on absence rate from facility (29.9% of health providers), diagnostic accuracy (44.5% of clinical cases), adherence to clinical guidelines (30.2%) and equipment </w:t>
      </w:r>
      <w:r w:rsidR="00BA2573" w:rsidRPr="00610088">
        <w:rPr>
          <w:sz w:val="18"/>
          <w:szCs w:val="18"/>
          <w:lang w:val="en-GB"/>
        </w:rPr>
        <w:t>(</w:t>
      </w:r>
      <w:r w:rsidR="008E4241" w:rsidRPr="00610088">
        <w:rPr>
          <w:sz w:val="18"/>
          <w:szCs w:val="18"/>
          <w:lang w:val="en-GB"/>
        </w:rPr>
        <w:t xml:space="preserve">31.9%) availability were considered worse off.  </w:t>
      </w:r>
    </w:p>
    <w:p w14:paraId="4C32C35D" w14:textId="77777777" w:rsidR="00BA2573" w:rsidRPr="00610088" w:rsidRDefault="00BA2573" w:rsidP="00136C5E">
      <w:pPr>
        <w:rPr>
          <w:sz w:val="18"/>
          <w:szCs w:val="18"/>
          <w:lang w:val="en-GB"/>
        </w:rPr>
      </w:pPr>
    </w:p>
    <w:p w14:paraId="406F7EC7" w14:textId="795159B0" w:rsidR="00136C5E" w:rsidRPr="00610088" w:rsidRDefault="00136C5E" w:rsidP="00136C5E">
      <w:pPr>
        <w:rPr>
          <w:sz w:val="18"/>
          <w:szCs w:val="18"/>
          <w:lang w:val="en-GB"/>
        </w:rPr>
      </w:pPr>
      <w:r w:rsidRPr="00610088">
        <w:rPr>
          <w:sz w:val="18"/>
          <w:szCs w:val="18"/>
          <w:lang w:val="en-GB"/>
        </w:rPr>
        <w:t xml:space="preserve">A national Quality of Care program – under the Directorate of Reproductive and Child Health – and a national </w:t>
      </w:r>
      <w:r w:rsidR="003B7251" w:rsidRPr="00610088">
        <w:rPr>
          <w:sz w:val="18"/>
          <w:szCs w:val="18"/>
          <w:lang w:val="en-GB"/>
        </w:rPr>
        <w:t>Q</w:t>
      </w:r>
      <w:r w:rsidRPr="00610088">
        <w:rPr>
          <w:sz w:val="18"/>
          <w:szCs w:val="18"/>
          <w:lang w:val="en-GB"/>
        </w:rPr>
        <w:t xml:space="preserve">uality of </w:t>
      </w:r>
      <w:r w:rsidR="003B7251" w:rsidRPr="00610088">
        <w:rPr>
          <w:sz w:val="18"/>
          <w:szCs w:val="18"/>
          <w:lang w:val="en-GB"/>
        </w:rPr>
        <w:t>C</w:t>
      </w:r>
      <w:r w:rsidRPr="00610088">
        <w:rPr>
          <w:sz w:val="18"/>
          <w:szCs w:val="18"/>
          <w:lang w:val="en-GB"/>
        </w:rPr>
        <w:t xml:space="preserve">are policy were established in </w:t>
      </w:r>
      <w:r w:rsidR="00487AAE" w:rsidRPr="00610088">
        <w:rPr>
          <w:sz w:val="18"/>
          <w:szCs w:val="18"/>
          <w:lang w:val="en-GB"/>
        </w:rPr>
        <w:t>2018</w:t>
      </w:r>
      <w:r w:rsidRPr="00610088">
        <w:rPr>
          <w:sz w:val="18"/>
          <w:szCs w:val="18"/>
          <w:lang w:val="en-GB"/>
        </w:rPr>
        <w:t>. This is expected to help solve the persistent quality of care problems including weak Infection prevention and control practices, diagnostic inaccuracy and case mismanagement.</w:t>
      </w:r>
    </w:p>
    <w:p w14:paraId="1BC108C5" w14:textId="577A3E7D" w:rsidR="0089153F" w:rsidRPr="00610088" w:rsidRDefault="0089153F" w:rsidP="00136C5E">
      <w:pPr>
        <w:rPr>
          <w:sz w:val="18"/>
          <w:szCs w:val="18"/>
          <w:lang w:val="en-GB"/>
        </w:rPr>
      </w:pPr>
    </w:p>
    <w:p w14:paraId="07BC21D9" w14:textId="0F2269E8" w:rsidR="0089153F" w:rsidRPr="00610088" w:rsidRDefault="0089153F" w:rsidP="00136C5E">
      <w:pPr>
        <w:rPr>
          <w:sz w:val="18"/>
          <w:szCs w:val="18"/>
          <w:lang w:val="en-GB"/>
        </w:rPr>
      </w:pPr>
      <w:r w:rsidRPr="00610088">
        <w:rPr>
          <w:sz w:val="18"/>
          <w:szCs w:val="18"/>
          <w:lang w:val="en-GB"/>
        </w:rPr>
        <w:t xml:space="preserve">Community participation and engagement are encouraged through involvement of facility or health management committees and village development committees in health activities and their planning and oversight. These committees are linked to the various PHUs. Similarly, each local council has a health management committee that is engaged in health planning and oversight. </w:t>
      </w:r>
    </w:p>
    <w:p w14:paraId="788E4186" w14:textId="7AC8AFF6" w:rsidR="00BC4243" w:rsidRPr="00610088" w:rsidRDefault="00BC4243" w:rsidP="00136C5E">
      <w:pPr>
        <w:rPr>
          <w:sz w:val="18"/>
          <w:szCs w:val="18"/>
          <w:lang w:val="en-GB"/>
        </w:rPr>
      </w:pPr>
    </w:p>
    <w:p w14:paraId="39AA2884"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 xml:space="preserve">Health system financing </w:t>
      </w:r>
    </w:p>
    <w:p w14:paraId="08C2E850" w14:textId="130BAEAE" w:rsidR="00136C5E" w:rsidRPr="00610088" w:rsidRDefault="00136C5E" w:rsidP="00136C5E">
      <w:pPr>
        <w:rPr>
          <w:sz w:val="18"/>
          <w:szCs w:val="18"/>
          <w:lang w:val="en-GB"/>
        </w:rPr>
      </w:pPr>
      <w:r w:rsidRPr="00610088">
        <w:rPr>
          <w:sz w:val="18"/>
          <w:szCs w:val="18"/>
          <w:lang w:val="en-GB"/>
        </w:rPr>
        <w:t xml:space="preserve">Although there has been an increase of </w:t>
      </w:r>
      <w:proofErr w:type="spellStart"/>
      <w:r w:rsidRPr="00610088">
        <w:rPr>
          <w:sz w:val="18"/>
          <w:szCs w:val="18"/>
          <w:lang w:val="en-GB"/>
        </w:rPr>
        <w:t>GoSL</w:t>
      </w:r>
      <w:proofErr w:type="spellEnd"/>
      <w:r w:rsidRPr="00610088">
        <w:rPr>
          <w:sz w:val="18"/>
          <w:szCs w:val="18"/>
          <w:lang w:val="en-GB"/>
        </w:rPr>
        <w:t xml:space="preserve"> allocation to health in recent years, there is still a high out of pocket expenditure for health, estimated to be close to 70% of the total health expenditure (THET). The remaining parts of THET are by government (6%) and external sources (24%). </w:t>
      </w:r>
      <w:bookmarkStart w:id="126" w:name="_Ref32799058"/>
      <w:r w:rsidRPr="00610088">
        <w:rPr>
          <w:rStyle w:val="EndnoteReference"/>
          <w:sz w:val="18"/>
          <w:szCs w:val="18"/>
          <w:lang w:val="en-GB"/>
        </w:rPr>
        <w:endnoteReference w:id="111"/>
      </w:r>
      <w:bookmarkEnd w:id="126"/>
      <w:r w:rsidRPr="00610088">
        <w:rPr>
          <w:sz w:val="18"/>
          <w:szCs w:val="18"/>
          <w:vertAlign w:val="superscript"/>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_Ref17117498 \h </w:instrText>
      </w:r>
      <w:r w:rsidR="007A5E46" w:rsidRPr="00610088">
        <w:rPr>
          <w:sz w:val="18"/>
          <w:szCs w:val="18"/>
          <w:vertAlign w:val="superscript"/>
          <w:lang w:val="en-GB"/>
        </w:rPr>
        <w:instrText xml:space="preserve">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107</w:t>
      </w:r>
      <w:r w:rsidRPr="00610088">
        <w:rPr>
          <w:sz w:val="18"/>
          <w:szCs w:val="18"/>
          <w:vertAlign w:val="superscript"/>
          <w:lang w:val="en-GB"/>
        </w:rPr>
        <w:fldChar w:fldCharType="end"/>
      </w:r>
      <w:r w:rsidRPr="00610088">
        <w:rPr>
          <w:sz w:val="18"/>
          <w:szCs w:val="18"/>
          <w:lang w:val="en-GB"/>
        </w:rPr>
        <w:t xml:space="preserve"> </w:t>
      </w:r>
    </w:p>
    <w:p w14:paraId="38570A4C" w14:textId="77777777" w:rsidR="00136C5E" w:rsidRPr="00610088" w:rsidRDefault="00136C5E" w:rsidP="00136C5E">
      <w:pPr>
        <w:rPr>
          <w:sz w:val="18"/>
          <w:szCs w:val="18"/>
          <w:lang w:val="en-GB"/>
        </w:rPr>
      </w:pPr>
    </w:p>
    <w:p w14:paraId="7E32D927" w14:textId="1F3A1E00" w:rsidR="00136C5E" w:rsidRPr="00610088" w:rsidRDefault="00136C5E" w:rsidP="00136C5E">
      <w:pPr>
        <w:rPr>
          <w:sz w:val="18"/>
          <w:szCs w:val="18"/>
          <w:lang w:val="en-GB"/>
        </w:rPr>
      </w:pPr>
      <w:r w:rsidRPr="00610088">
        <w:rPr>
          <w:sz w:val="18"/>
          <w:szCs w:val="18"/>
          <w:lang w:val="en-GB"/>
        </w:rPr>
        <w:t xml:space="preserve">There is very limited use of pre-payment schemes for health services, like health insurance. In the MICS 2017 survey the health insurance coverage was 2.4%, 2.1%, 1.8% and 3.9% for women and men 15-49 years, children aged 5-17 years and children under five respectively. </w:t>
      </w:r>
      <w:r w:rsidRPr="00610088">
        <w:rPr>
          <w:sz w:val="18"/>
          <w:szCs w:val="18"/>
          <w:vertAlign w:val="superscript"/>
          <w:lang w:val="en-GB"/>
        </w:rPr>
        <w:fldChar w:fldCharType="begin"/>
      </w:r>
      <w:r w:rsidRPr="00610088">
        <w:rPr>
          <w:sz w:val="18"/>
          <w:szCs w:val="18"/>
          <w:vertAlign w:val="superscript"/>
          <w:lang w:val="en-GB"/>
        </w:rPr>
        <w:instrText xml:space="preserve"> NOTEREF _Ref16853648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 xml:space="preserve"> </w:t>
      </w:r>
    </w:p>
    <w:p w14:paraId="7FC19B4F" w14:textId="77777777" w:rsidR="00136C5E" w:rsidRPr="00610088" w:rsidRDefault="00136C5E" w:rsidP="00136C5E">
      <w:pPr>
        <w:rPr>
          <w:sz w:val="18"/>
          <w:szCs w:val="18"/>
          <w:lang w:val="en-GB"/>
        </w:rPr>
      </w:pPr>
    </w:p>
    <w:p w14:paraId="41702680" w14:textId="6AEFD556" w:rsidR="00136C5E" w:rsidRPr="00610088" w:rsidRDefault="00136C5E" w:rsidP="00136C5E">
      <w:pPr>
        <w:rPr>
          <w:sz w:val="18"/>
          <w:szCs w:val="18"/>
          <w:lang w:val="en-GB"/>
        </w:rPr>
      </w:pPr>
      <w:r w:rsidRPr="00610088">
        <w:rPr>
          <w:sz w:val="18"/>
          <w:szCs w:val="18"/>
          <w:lang w:val="en-GB"/>
        </w:rPr>
        <w:t>The Sierra Leone Social Health Insurance (</w:t>
      </w:r>
      <w:proofErr w:type="spellStart"/>
      <w:r w:rsidRPr="00610088">
        <w:rPr>
          <w:sz w:val="18"/>
          <w:szCs w:val="18"/>
          <w:lang w:val="en-GB"/>
        </w:rPr>
        <w:t>SLeSHI</w:t>
      </w:r>
      <w:proofErr w:type="spellEnd"/>
      <w:r w:rsidRPr="00610088">
        <w:rPr>
          <w:sz w:val="18"/>
          <w:szCs w:val="18"/>
          <w:lang w:val="en-GB"/>
        </w:rPr>
        <w:t xml:space="preserve">) act of 2017 </w:t>
      </w:r>
      <w:bookmarkStart w:id="127" w:name="_Ref32799105"/>
      <w:r w:rsidRPr="00610088">
        <w:rPr>
          <w:rStyle w:val="EndnoteReference"/>
          <w:sz w:val="18"/>
          <w:szCs w:val="18"/>
          <w:lang w:val="en-GB"/>
        </w:rPr>
        <w:endnoteReference w:id="112"/>
      </w:r>
      <w:bookmarkEnd w:id="127"/>
      <w:r w:rsidRPr="00610088">
        <w:rPr>
          <w:sz w:val="18"/>
          <w:szCs w:val="18"/>
          <w:lang w:val="en-GB"/>
        </w:rPr>
        <w:t xml:space="preserve"> contains the following exempted categories: children under 12 years; persons requiring antenatal care, child delivery and postnatal care; persons with mental disorder; persons classified as disabled; persons identified as indigent under the laws of Sierra Leone and Sierra Leoneans who have attained the age of 65. </w:t>
      </w:r>
      <w:proofErr w:type="spellStart"/>
      <w:r w:rsidR="00487AAE" w:rsidRPr="00610088">
        <w:rPr>
          <w:sz w:val="18"/>
          <w:szCs w:val="18"/>
          <w:lang w:val="en-GB"/>
        </w:rPr>
        <w:t>SLeSHI</w:t>
      </w:r>
      <w:proofErr w:type="spellEnd"/>
      <w:r w:rsidR="00487AAE" w:rsidRPr="00610088">
        <w:rPr>
          <w:sz w:val="18"/>
          <w:szCs w:val="18"/>
          <w:lang w:val="en-GB"/>
        </w:rPr>
        <w:t xml:space="preserve"> has not started so far. There is interest to start the system, there is a small </w:t>
      </w:r>
      <w:r w:rsidRPr="00610088">
        <w:rPr>
          <w:sz w:val="18"/>
          <w:szCs w:val="18"/>
          <w:lang w:val="en-GB"/>
        </w:rPr>
        <w:t xml:space="preserve">office in the National Social Health Insurance Scheme (NASSIT) building, and the </w:t>
      </w:r>
      <w:proofErr w:type="spellStart"/>
      <w:r w:rsidR="00156C15">
        <w:rPr>
          <w:sz w:val="18"/>
          <w:szCs w:val="18"/>
          <w:lang w:val="en-GB"/>
        </w:rPr>
        <w:t>MoHS</w:t>
      </w:r>
      <w:proofErr w:type="spellEnd"/>
      <w:r w:rsidRPr="00610088">
        <w:rPr>
          <w:sz w:val="18"/>
          <w:szCs w:val="18"/>
          <w:lang w:val="en-GB"/>
        </w:rPr>
        <w:t xml:space="preserve"> is working to develop an evaluation plan.</w:t>
      </w:r>
      <w:r w:rsidRPr="00610088">
        <w:rPr>
          <w:rStyle w:val="EndnoteReference"/>
          <w:sz w:val="18"/>
          <w:szCs w:val="18"/>
          <w:lang w:val="en-GB"/>
        </w:rPr>
        <w:endnoteReference w:id="113"/>
      </w:r>
      <w:r w:rsidRPr="00610088">
        <w:rPr>
          <w:sz w:val="18"/>
          <w:szCs w:val="18"/>
          <w:lang w:val="en-GB"/>
        </w:rPr>
        <w:t xml:space="preserve"> A willingness-to-pay study for health insurance in the informal sector in 2016 showed that people would be willing to pay annually 20,237.16 SLL (3.6 USD) per adult (range 14,000 SLL (2.5 USD) to 35,000 SLL (6.2 USD)). </w:t>
      </w:r>
      <w:r w:rsidRPr="00610088">
        <w:rPr>
          <w:rStyle w:val="EndnoteReference"/>
          <w:sz w:val="18"/>
          <w:szCs w:val="18"/>
          <w:lang w:val="en-GB"/>
        </w:rPr>
        <w:endnoteReference w:id="114"/>
      </w:r>
    </w:p>
    <w:p w14:paraId="0681DFA2" w14:textId="77777777" w:rsidR="00136C5E" w:rsidRPr="00610088" w:rsidRDefault="00136C5E" w:rsidP="00136C5E">
      <w:pPr>
        <w:widowControl w:val="0"/>
        <w:autoSpaceDE w:val="0"/>
        <w:autoSpaceDN w:val="0"/>
        <w:adjustRightInd w:val="0"/>
        <w:ind w:left="640" w:hanging="640"/>
        <w:rPr>
          <w:sz w:val="18"/>
          <w:szCs w:val="18"/>
          <w:lang w:val="en-GB"/>
        </w:rPr>
      </w:pPr>
      <w:r w:rsidRPr="00610088">
        <w:rPr>
          <w:rFonts w:ascii="Gadugi" w:hAnsi="Gadugi" w:cs="Times New Roman"/>
          <w:noProof/>
          <w:sz w:val="18"/>
          <w:szCs w:val="18"/>
          <w:lang w:val="en-GB"/>
        </w:rPr>
        <w:tab/>
      </w:r>
    </w:p>
    <w:p w14:paraId="3F6D093E" w14:textId="77777777" w:rsidR="00136C5E" w:rsidRPr="00610088" w:rsidRDefault="00136C5E" w:rsidP="00136C5E">
      <w:pPr>
        <w:rPr>
          <w:sz w:val="18"/>
          <w:szCs w:val="18"/>
          <w:lang w:val="en-GB"/>
        </w:rPr>
      </w:pPr>
      <w:r w:rsidRPr="00610088">
        <w:rPr>
          <w:sz w:val="18"/>
          <w:szCs w:val="18"/>
          <w:lang w:val="en-GB"/>
        </w:rPr>
        <w:t xml:space="preserve">Although the health financing working group at national was re-established in 2017, there is no current national health financing policy and strategy; although there are plans to develop these vital guidance documents. </w:t>
      </w:r>
    </w:p>
    <w:p w14:paraId="55085CA0" w14:textId="442214D7" w:rsidR="00136C5E" w:rsidRPr="00610088" w:rsidRDefault="00136C5E" w:rsidP="00136C5E">
      <w:pPr>
        <w:rPr>
          <w:sz w:val="18"/>
          <w:szCs w:val="18"/>
          <w:lang w:val="en-GB"/>
        </w:rPr>
      </w:pPr>
      <w:r w:rsidRPr="00610088">
        <w:rPr>
          <w:sz w:val="18"/>
          <w:szCs w:val="18"/>
          <w:lang w:val="en-GB"/>
        </w:rPr>
        <w:t xml:space="preserve">Health budgets are made on annual basis at district level (part of council health budget for decentralised funds) and by tertiary hospitals, programs and directorates in the </w:t>
      </w:r>
      <w:proofErr w:type="spellStart"/>
      <w:r w:rsidR="00156C15">
        <w:rPr>
          <w:sz w:val="18"/>
          <w:szCs w:val="18"/>
          <w:lang w:val="en-GB"/>
        </w:rPr>
        <w:t>MoHS</w:t>
      </w:r>
      <w:proofErr w:type="spellEnd"/>
      <w:r w:rsidRPr="00610088">
        <w:rPr>
          <w:sz w:val="18"/>
          <w:szCs w:val="18"/>
          <w:lang w:val="en-GB"/>
        </w:rPr>
        <w:t xml:space="preserve"> at national level. They usually only include the </w:t>
      </w:r>
      <w:proofErr w:type="spellStart"/>
      <w:r w:rsidRPr="00610088">
        <w:rPr>
          <w:sz w:val="18"/>
          <w:szCs w:val="18"/>
          <w:lang w:val="en-GB"/>
        </w:rPr>
        <w:t>GoSL</w:t>
      </w:r>
      <w:proofErr w:type="spellEnd"/>
      <w:r w:rsidRPr="00610088">
        <w:rPr>
          <w:sz w:val="18"/>
          <w:szCs w:val="18"/>
          <w:lang w:val="en-GB"/>
        </w:rPr>
        <w:t xml:space="preserve"> funding- </w:t>
      </w:r>
      <w:proofErr w:type="gramStart"/>
      <w:r w:rsidRPr="00610088">
        <w:rPr>
          <w:sz w:val="18"/>
          <w:szCs w:val="18"/>
          <w:lang w:val="en-GB"/>
        </w:rPr>
        <w:t>i.e.</w:t>
      </w:r>
      <w:proofErr w:type="gramEnd"/>
      <w:r w:rsidRPr="00610088">
        <w:rPr>
          <w:sz w:val="18"/>
          <w:szCs w:val="18"/>
          <w:lang w:val="en-GB"/>
        </w:rPr>
        <w:t xml:space="preserve"> there is no sector wide budgeting, with the resultant risks of funding gaps and duplications. Budget execution is limited with an estimated half of the budget actually reaching the requesting entities. </w:t>
      </w:r>
    </w:p>
    <w:p w14:paraId="3CD63C71" w14:textId="77777777" w:rsidR="00136C5E" w:rsidRPr="00610088" w:rsidRDefault="00136C5E" w:rsidP="00136C5E">
      <w:pPr>
        <w:rPr>
          <w:sz w:val="18"/>
          <w:szCs w:val="18"/>
          <w:lang w:val="en-GB"/>
        </w:rPr>
      </w:pPr>
    </w:p>
    <w:p w14:paraId="01D99E7C" w14:textId="77777777" w:rsidR="00136C5E" w:rsidRPr="00610088" w:rsidRDefault="00136C5E" w:rsidP="00136C5E">
      <w:pPr>
        <w:rPr>
          <w:sz w:val="18"/>
          <w:szCs w:val="18"/>
          <w:lang w:val="en-GB"/>
        </w:rPr>
      </w:pPr>
      <w:r w:rsidRPr="00610088">
        <w:rPr>
          <w:sz w:val="18"/>
          <w:szCs w:val="18"/>
          <w:lang w:val="en-GB"/>
        </w:rPr>
        <w:t xml:space="preserve">Funding for FHCI drugs is provided by DFID and the Government of Sierra Leone, with an increasing commitment for </w:t>
      </w:r>
      <w:proofErr w:type="spellStart"/>
      <w:r w:rsidRPr="00610088">
        <w:rPr>
          <w:sz w:val="18"/>
          <w:szCs w:val="18"/>
          <w:lang w:val="en-GB"/>
        </w:rPr>
        <w:t>GoSL</w:t>
      </w:r>
      <w:proofErr w:type="spellEnd"/>
      <w:r w:rsidRPr="00610088">
        <w:rPr>
          <w:sz w:val="18"/>
          <w:szCs w:val="18"/>
          <w:lang w:val="en-GB"/>
        </w:rPr>
        <w:t xml:space="preserve"> (10% 2018, 30% 2019 and 50% 2020). With these funds a selected priority set of FHCI drugs and supplies are procured, still leaving a funding gap of more than 50%. The cost-recovery system for drugs that was in place more than 10 years ago has not been revitalised, although there are plans to do so. </w:t>
      </w:r>
    </w:p>
    <w:p w14:paraId="14A1AFF3" w14:textId="77777777" w:rsidR="00136C5E" w:rsidRPr="00610088" w:rsidRDefault="00136C5E" w:rsidP="00136C5E">
      <w:pPr>
        <w:rPr>
          <w:sz w:val="18"/>
          <w:szCs w:val="18"/>
          <w:lang w:val="en-GB"/>
        </w:rPr>
      </w:pPr>
    </w:p>
    <w:p w14:paraId="19E7B9E6"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Human Resources for Health (HRH)</w:t>
      </w:r>
    </w:p>
    <w:p w14:paraId="703CC05D" w14:textId="6D6B3ED5" w:rsidR="00136C5E" w:rsidRPr="00610088" w:rsidRDefault="00136C5E" w:rsidP="00136C5E">
      <w:pPr>
        <w:rPr>
          <w:sz w:val="18"/>
          <w:szCs w:val="18"/>
          <w:vertAlign w:val="superscript"/>
          <w:lang w:val="en-GB"/>
        </w:rPr>
      </w:pPr>
      <w:r w:rsidRPr="00610088">
        <w:rPr>
          <w:sz w:val="18"/>
          <w:szCs w:val="18"/>
          <w:lang w:val="en-GB"/>
        </w:rPr>
        <w:t xml:space="preserve">The Human Resources for Health (HRH) Directorate in the </w:t>
      </w:r>
      <w:proofErr w:type="spellStart"/>
      <w:r w:rsidR="00156C15">
        <w:rPr>
          <w:sz w:val="18"/>
          <w:szCs w:val="18"/>
          <w:lang w:val="en-GB"/>
        </w:rPr>
        <w:t>MoHS</w:t>
      </w:r>
      <w:proofErr w:type="spellEnd"/>
      <w:r w:rsidRPr="00610088">
        <w:rPr>
          <w:sz w:val="18"/>
          <w:szCs w:val="18"/>
          <w:lang w:val="en-GB"/>
        </w:rPr>
        <w:t xml:space="preserve"> provides coordination and governance for human resources in the health sector, guided by the recently developed Human Resources for Health Policy and Strategy 2017-2021. </w:t>
      </w:r>
      <w:bookmarkStart w:id="128" w:name="_Ref17114904"/>
      <w:r w:rsidRPr="00610088">
        <w:rPr>
          <w:rStyle w:val="EndnoteReference"/>
          <w:sz w:val="18"/>
          <w:szCs w:val="18"/>
          <w:lang w:val="en-GB"/>
        </w:rPr>
        <w:endnoteReference w:id="115"/>
      </w:r>
      <w:bookmarkEnd w:id="128"/>
      <w:r w:rsidRPr="00610088">
        <w:rPr>
          <w:sz w:val="18"/>
          <w:szCs w:val="18"/>
          <w:vertAlign w:val="superscript"/>
          <w:lang w:val="en-GB"/>
        </w:rPr>
        <w:t xml:space="preserve">, </w:t>
      </w:r>
      <w:bookmarkStart w:id="129" w:name="_Ref17114905"/>
      <w:r w:rsidRPr="00610088">
        <w:rPr>
          <w:rStyle w:val="EndnoteReference"/>
          <w:sz w:val="18"/>
          <w:szCs w:val="18"/>
          <w:lang w:val="en-GB"/>
        </w:rPr>
        <w:endnoteReference w:id="116"/>
      </w:r>
      <w:bookmarkEnd w:id="129"/>
    </w:p>
    <w:p w14:paraId="65ACAC8A" w14:textId="77777777" w:rsidR="00136C5E" w:rsidRPr="00610088" w:rsidRDefault="00136C5E" w:rsidP="00136C5E">
      <w:pPr>
        <w:rPr>
          <w:sz w:val="18"/>
          <w:szCs w:val="18"/>
          <w:lang w:val="en-GB"/>
        </w:rPr>
      </w:pPr>
    </w:p>
    <w:p w14:paraId="2C64149C" w14:textId="7A4DD588" w:rsidR="00136C5E" w:rsidRPr="00610088" w:rsidRDefault="00136C5E" w:rsidP="00136C5E">
      <w:pPr>
        <w:rPr>
          <w:b/>
          <w:bCs/>
          <w:sz w:val="18"/>
          <w:szCs w:val="18"/>
          <w:lang w:val="en-GB"/>
        </w:rPr>
      </w:pPr>
      <w:proofErr w:type="spellStart"/>
      <w:r w:rsidRPr="00610088">
        <w:rPr>
          <w:sz w:val="18"/>
          <w:szCs w:val="18"/>
          <w:lang w:val="en-GB"/>
        </w:rPr>
        <w:t>GoSL</w:t>
      </w:r>
      <w:proofErr w:type="spellEnd"/>
      <w:r w:rsidRPr="00610088">
        <w:rPr>
          <w:sz w:val="18"/>
          <w:szCs w:val="18"/>
          <w:lang w:val="en-GB"/>
        </w:rPr>
        <w:t xml:space="preserve"> employed 9,910 health workers in February 2016, of which 72% provided patient services. The majority work in one of the 1,323 </w:t>
      </w:r>
      <w:proofErr w:type="spellStart"/>
      <w:r w:rsidR="00156C15">
        <w:rPr>
          <w:sz w:val="18"/>
          <w:szCs w:val="18"/>
          <w:lang w:val="en-GB"/>
        </w:rPr>
        <w:t>MoHS</w:t>
      </w:r>
      <w:proofErr w:type="spellEnd"/>
      <w:r w:rsidRPr="00610088">
        <w:rPr>
          <w:sz w:val="18"/>
          <w:szCs w:val="18"/>
          <w:lang w:val="en-GB"/>
        </w:rPr>
        <w:t xml:space="preserve"> workstations (hospitals, PHUs, clinics and administrative offices), with only few (1.4%) posted to private facilities or working at facilities governed by a public-private partnership (2.0%). It is estimated that in addition 9,120 unsalaried health workers were active in government health facilities in 2016, of which 40% - mostly lower-skilled cadres - provide patient services.</w:t>
      </w:r>
      <w:bookmarkStart w:id="130" w:name="_Ref17114505"/>
      <w:r w:rsidRPr="00610088">
        <w:rPr>
          <w:sz w:val="18"/>
          <w:szCs w:val="18"/>
          <w:lang w:val="en-GB"/>
        </w:rPr>
        <w:t xml:space="preserve"> </w:t>
      </w:r>
      <w:bookmarkStart w:id="131" w:name="_Ref17115053"/>
      <w:r w:rsidRPr="00610088">
        <w:rPr>
          <w:rStyle w:val="EndnoteReference"/>
          <w:sz w:val="18"/>
          <w:szCs w:val="18"/>
          <w:lang w:val="en-GB"/>
        </w:rPr>
        <w:endnoteReference w:id="117"/>
      </w:r>
      <w:bookmarkEnd w:id="131"/>
    </w:p>
    <w:p w14:paraId="16775C6C" w14:textId="77777777" w:rsidR="00136C5E" w:rsidRPr="00610088" w:rsidRDefault="00136C5E" w:rsidP="00136C5E">
      <w:pPr>
        <w:rPr>
          <w:sz w:val="18"/>
          <w:szCs w:val="18"/>
          <w:lang w:val="en-GB"/>
        </w:rPr>
      </w:pPr>
    </w:p>
    <w:p w14:paraId="7C21541A" w14:textId="1C1C5B3A" w:rsidR="00136C5E" w:rsidRPr="00610088" w:rsidRDefault="00136C5E" w:rsidP="00136C5E">
      <w:pPr>
        <w:rPr>
          <w:sz w:val="18"/>
          <w:szCs w:val="18"/>
          <w:lang w:val="en-GB"/>
        </w:rPr>
      </w:pPr>
      <w:r w:rsidRPr="00610088">
        <w:rPr>
          <w:sz w:val="18"/>
          <w:szCs w:val="18"/>
          <w:lang w:val="en-GB"/>
        </w:rPr>
        <w:lastRenderedPageBreak/>
        <w:t xml:space="preserve">The total health worker need according to the staffing norms in the BPEHS 2015 is 24,365 workers. </w:t>
      </w:r>
      <w:bookmarkEnd w:id="130"/>
      <w:r w:rsidRPr="00610088">
        <w:rPr>
          <w:sz w:val="18"/>
          <w:szCs w:val="18"/>
          <w:vertAlign w:val="superscript"/>
          <w:lang w:val="en-GB"/>
        </w:rPr>
        <w:fldChar w:fldCharType="begin"/>
      </w:r>
      <w:r w:rsidRPr="00610088">
        <w:rPr>
          <w:sz w:val="18"/>
          <w:szCs w:val="18"/>
          <w:vertAlign w:val="superscript"/>
          <w:lang w:val="en-GB"/>
        </w:rPr>
        <w:instrText xml:space="preserve"> NOTEREF _Ref17115053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117</w:t>
      </w:r>
      <w:r w:rsidRPr="00610088">
        <w:rPr>
          <w:sz w:val="18"/>
          <w:szCs w:val="18"/>
          <w:vertAlign w:val="superscript"/>
          <w:lang w:val="en-GB"/>
        </w:rPr>
        <w:fldChar w:fldCharType="end"/>
      </w:r>
      <w:r w:rsidRPr="00610088">
        <w:rPr>
          <w:sz w:val="18"/>
          <w:szCs w:val="18"/>
          <w:lang w:val="en-GB"/>
        </w:rPr>
        <w:t xml:space="preserve"> Most cadre groups meet less than 50% of these staffing norms, with the exception of State Enrolled Community Health Nurses (SECHNs). The health worker density (per 10,000 population) ranges from 20.8 in Western Area Urban to 3.75 in Kailahun district, which is far below the 44.5 required – according WHO - for the SDGs and UHC. </w:t>
      </w:r>
      <w:r w:rsidRPr="00610088">
        <w:rPr>
          <w:sz w:val="18"/>
          <w:szCs w:val="18"/>
          <w:vertAlign w:val="superscript"/>
          <w:lang w:val="en-GB"/>
        </w:rPr>
        <w:fldChar w:fldCharType="begin"/>
      </w:r>
      <w:r w:rsidRPr="00610088">
        <w:rPr>
          <w:sz w:val="18"/>
          <w:szCs w:val="18"/>
          <w:vertAlign w:val="superscript"/>
          <w:lang w:val="en-GB"/>
        </w:rPr>
        <w:instrText xml:space="preserve"> NOTEREF _Ref17114905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116</w:t>
      </w:r>
      <w:r w:rsidRPr="00610088">
        <w:rPr>
          <w:sz w:val="18"/>
          <w:szCs w:val="18"/>
          <w:vertAlign w:val="superscript"/>
          <w:lang w:val="en-GB"/>
        </w:rPr>
        <w:fldChar w:fldCharType="end"/>
      </w:r>
      <w:r w:rsidRPr="00610088">
        <w:rPr>
          <w:sz w:val="18"/>
          <w:szCs w:val="18"/>
          <w:vertAlign w:val="superscript"/>
          <w:lang w:val="en-GB"/>
        </w:rPr>
        <w:t xml:space="preserve">, </w:t>
      </w:r>
      <w:bookmarkStart w:id="132" w:name="_Ref32799250"/>
      <w:r w:rsidRPr="00610088">
        <w:rPr>
          <w:rStyle w:val="EndnoteReference"/>
          <w:sz w:val="18"/>
          <w:szCs w:val="18"/>
          <w:lang w:val="en-GB"/>
        </w:rPr>
        <w:endnoteReference w:id="118"/>
      </w:r>
      <w:bookmarkEnd w:id="132"/>
    </w:p>
    <w:p w14:paraId="25A4647B" w14:textId="77777777" w:rsidR="00136C5E" w:rsidRPr="00610088" w:rsidRDefault="00136C5E" w:rsidP="00136C5E">
      <w:pPr>
        <w:rPr>
          <w:sz w:val="18"/>
          <w:szCs w:val="18"/>
          <w:lang w:val="en-GB"/>
        </w:rPr>
      </w:pPr>
    </w:p>
    <w:p w14:paraId="2EAF800D" w14:textId="056B10F3" w:rsidR="00136C5E" w:rsidRPr="00610088" w:rsidRDefault="00136C5E" w:rsidP="00136C5E">
      <w:pPr>
        <w:rPr>
          <w:sz w:val="18"/>
          <w:szCs w:val="18"/>
          <w:lang w:val="en-GB"/>
        </w:rPr>
      </w:pPr>
      <w:r w:rsidRPr="00610088">
        <w:rPr>
          <w:sz w:val="18"/>
          <w:szCs w:val="18"/>
          <w:lang w:val="en-GB"/>
        </w:rPr>
        <w:t xml:space="preserve">CHWs, Traditional Birth Attendants (TBAs) and traditional healers are not part of the Sierra Leone Civil Service. </w:t>
      </w:r>
      <w:r w:rsidRPr="00610088">
        <w:rPr>
          <w:sz w:val="18"/>
          <w:szCs w:val="18"/>
          <w:vertAlign w:val="superscript"/>
          <w:lang w:val="en-GB"/>
        </w:rPr>
        <w:fldChar w:fldCharType="begin"/>
      </w:r>
      <w:r w:rsidRPr="00610088">
        <w:rPr>
          <w:sz w:val="18"/>
          <w:szCs w:val="18"/>
          <w:vertAlign w:val="superscript"/>
          <w:lang w:val="en-GB"/>
        </w:rPr>
        <w:instrText xml:space="preserve"> NOTEREF _Ref17114505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117</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Up to 15,000 CHWs have recently been trained, for more detail</w:t>
      </w:r>
      <w:r w:rsidR="00E23D18" w:rsidRPr="00610088">
        <w:rPr>
          <w:sz w:val="18"/>
          <w:szCs w:val="18"/>
          <w:lang w:val="en-GB"/>
        </w:rPr>
        <w:t xml:space="preserve"> under health service delivery below</w:t>
      </w:r>
      <w:r w:rsidRPr="00610088">
        <w:rPr>
          <w:sz w:val="18"/>
          <w:szCs w:val="18"/>
          <w:lang w:val="en-GB"/>
        </w:rPr>
        <w:t xml:space="preserve">. </w:t>
      </w:r>
    </w:p>
    <w:p w14:paraId="1DD0437F" w14:textId="77777777" w:rsidR="00136C5E" w:rsidRPr="00610088" w:rsidRDefault="00136C5E" w:rsidP="00136C5E">
      <w:pPr>
        <w:rPr>
          <w:sz w:val="18"/>
          <w:szCs w:val="18"/>
          <w:lang w:val="en-GB"/>
        </w:rPr>
      </w:pPr>
    </w:p>
    <w:p w14:paraId="59BA31A2" w14:textId="77777777" w:rsidR="00136C5E" w:rsidRPr="00610088" w:rsidRDefault="00136C5E" w:rsidP="00136C5E">
      <w:pPr>
        <w:rPr>
          <w:sz w:val="18"/>
          <w:szCs w:val="18"/>
          <w:lang w:val="en-GB"/>
        </w:rPr>
      </w:pPr>
      <w:r w:rsidRPr="00610088">
        <w:rPr>
          <w:sz w:val="18"/>
          <w:szCs w:val="18"/>
          <w:lang w:val="en-GB"/>
        </w:rPr>
        <w:t xml:space="preserve">Next to a huge staffing gap, other HRH challenges include uneven distribution of existing health workers, limited coordination of pre- and in-service training, insufficient attention to regulation and limited availability and use of HRH data.  </w:t>
      </w:r>
    </w:p>
    <w:p w14:paraId="570EED2A" w14:textId="77777777" w:rsidR="00136C5E" w:rsidRPr="00610088" w:rsidRDefault="00136C5E" w:rsidP="00136C5E">
      <w:pPr>
        <w:rPr>
          <w:sz w:val="18"/>
          <w:szCs w:val="18"/>
          <w:lang w:val="en-GB"/>
        </w:rPr>
      </w:pPr>
    </w:p>
    <w:p w14:paraId="72AD51E0" w14:textId="40DAF7BF" w:rsidR="00136C5E" w:rsidRPr="00610088" w:rsidRDefault="00136C5E" w:rsidP="00136C5E">
      <w:pPr>
        <w:rPr>
          <w:sz w:val="18"/>
          <w:szCs w:val="18"/>
          <w:lang w:val="en-GB"/>
        </w:rPr>
      </w:pPr>
      <w:r w:rsidRPr="00610088">
        <w:rPr>
          <w:sz w:val="18"/>
          <w:szCs w:val="18"/>
          <w:lang w:val="en-GB"/>
        </w:rPr>
        <w:t xml:space="preserve">The new policy and strategy aim to address the main challenges through enhanced evidence-based decision making; improved HRH production; strengthening HRH governance, leadership and management; partnerships with stakeholders and resource mobilisation and advocacy. </w:t>
      </w:r>
      <w:r w:rsidRPr="00610088">
        <w:rPr>
          <w:sz w:val="18"/>
          <w:szCs w:val="18"/>
          <w:vertAlign w:val="superscript"/>
          <w:lang w:val="en-GB"/>
        </w:rPr>
        <w:fldChar w:fldCharType="begin"/>
      </w:r>
      <w:r w:rsidRPr="00610088">
        <w:rPr>
          <w:sz w:val="18"/>
          <w:szCs w:val="18"/>
          <w:vertAlign w:val="superscript"/>
          <w:lang w:val="en-GB"/>
        </w:rPr>
        <w:instrText xml:space="preserve"> NOTEREF _Ref17114904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115</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_Ref17114905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116</w:t>
      </w:r>
      <w:r w:rsidRPr="00610088">
        <w:rPr>
          <w:sz w:val="18"/>
          <w:szCs w:val="18"/>
          <w:vertAlign w:val="superscript"/>
          <w:lang w:val="en-GB"/>
        </w:rPr>
        <w:fldChar w:fldCharType="end"/>
      </w:r>
    </w:p>
    <w:p w14:paraId="7E2AF49C" w14:textId="77777777" w:rsidR="00136C5E" w:rsidRPr="00610088" w:rsidRDefault="00136C5E" w:rsidP="00136C5E">
      <w:pPr>
        <w:rPr>
          <w:sz w:val="18"/>
          <w:szCs w:val="18"/>
          <w:lang w:val="en-GB"/>
        </w:rPr>
      </w:pPr>
    </w:p>
    <w:p w14:paraId="50F6F6C9" w14:textId="77777777" w:rsidR="00136C5E" w:rsidRPr="00610088" w:rsidRDefault="00136C5E" w:rsidP="00136C5E">
      <w:pPr>
        <w:rPr>
          <w:sz w:val="18"/>
          <w:szCs w:val="18"/>
          <w:lang w:val="en-GB"/>
        </w:rPr>
      </w:pPr>
      <w:r w:rsidRPr="00610088">
        <w:rPr>
          <w:sz w:val="18"/>
          <w:szCs w:val="18"/>
          <w:lang w:val="en-GB"/>
        </w:rPr>
        <w:t xml:space="preserve">Some progress was made during 2018, including ongoing recruitment of additional health workers, start of an attendance monitoring system with a related sanctions framework and posting of HRH officers and HRH assistants to each district. </w:t>
      </w:r>
    </w:p>
    <w:p w14:paraId="2D666F70" w14:textId="77777777" w:rsidR="00136C5E" w:rsidRPr="00610088" w:rsidRDefault="00136C5E" w:rsidP="00136C5E">
      <w:pPr>
        <w:rPr>
          <w:sz w:val="18"/>
          <w:szCs w:val="18"/>
          <w:lang w:val="en-GB"/>
        </w:rPr>
      </w:pPr>
    </w:p>
    <w:p w14:paraId="4DCDDD2D"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Health infrastructure</w:t>
      </w:r>
    </w:p>
    <w:p w14:paraId="6DAAD7BE" w14:textId="3E8AB75D" w:rsidR="00136C5E" w:rsidRPr="00610088" w:rsidRDefault="00136C5E" w:rsidP="00136C5E">
      <w:pPr>
        <w:rPr>
          <w:sz w:val="18"/>
          <w:szCs w:val="18"/>
          <w:lang w:val="en-GB"/>
        </w:rPr>
      </w:pPr>
      <w:r w:rsidRPr="00610088">
        <w:rPr>
          <w:sz w:val="18"/>
          <w:szCs w:val="18"/>
          <w:lang w:val="en-GB"/>
        </w:rPr>
        <w:t xml:space="preserve">The </w:t>
      </w:r>
      <w:proofErr w:type="spellStart"/>
      <w:r w:rsidR="00156C15">
        <w:rPr>
          <w:sz w:val="18"/>
          <w:szCs w:val="18"/>
          <w:lang w:val="en-GB"/>
        </w:rPr>
        <w:t>MoHS</w:t>
      </w:r>
      <w:proofErr w:type="spellEnd"/>
      <w:r w:rsidRPr="00610088">
        <w:rPr>
          <w:sz w:val="18"/>
          <w:szCs w:val="18"/>
          <w:lang w:val="en-GB"/>
        </w:rPr>
        <w:t xml:space="preserve"> has provided standards and norms for equipment (in the BPEHS) and for infrastructure</w:t>
      </w:r>
      <w:r w:rsidR="001C4038" w:rsidRPr="00610088">
        <w:rPr>
          <w:sz w:val="18"/>
          <w:szCs w:val="18"/>
          <w:lang w:val="en-GB"/>
        </w:rPr>
        <w:t xml:space="preserve"> such as for WASH in health facilities</w:t>
      </w:r>
      <w:r w:rsidR="001C4038" w:rsidRPr="00610088">
        <w:rPr>
          <w:rStyle w:val="EndnoteReference"/>
          <w:sz w:val="18"/>
          <w:szCs w:val="18"/>
          <w:lang w:val="en-GB"/>
        </w:rPr>
        <w:endnoteReference w:id="119"/>
      </w:r>
      <w:r w:rsidRPr="00610088">
        <w:rPr>
          <w:sz w:val="18"/>
          <w:szCs w:val="18"/>
          <w:lang w:val="en-GB"/>
        </w:rPr>
        <w:t xml:space="preserve">, however these are not in place for establishment, accreditation and management of health facilities.  </w:t>
      </w:r>
    </w:p>
    <w:p w14:paraId="4E239067" w14:textId="77777777" w:rsidR="00136C5E" w:rsidRPr="00610088" w:rsidRDefault="00136C5E" w:rsidP="00136C5E">
      <w:pPr>
        <w:rPr>
          <w:sz w:val="18"/>
          <w:szCs w:val="18"/>
          <w:lang w:val="en-GB"/>
        </w:rPr>
      </w:pPr>
    </w:p>
    <w:p w14:paraId="4567AD56" w14:textId="7B489A89" w:rsidR="00136C5E" w:rsidRPr="00610088" w:rsidRDefault="00136C5E" w:rsidP="00136C5E">
      <w:pPr>
        <w:rPr>
          <w:sz w:val="18"/>
          <w:szCs w:val="18"/>
          <w:vertAlign w:val="superscript"/>
          <w:lang w:val="en-GB"/>
        </w:rPr>
      </w:pPr>
      <w:r w:rsidRPr="00610088">
        <w:rPr>
          <w:sz w:val="18"/>
          <w:szCs w:val="18"/>
          <w:lang w:val="en-GB"/>
        </w:rPr>
        <w:t xml:space="preserve">The overall mean availability of tracer basic equipment at all 1284 health facilities in the country was 57% in 2017. Only 25% had all the items. The availability per individual tracer basic items was:  81% blood pressure apparatus, 92% stethoscope, 62% adult scale, 83% child scale, 87% thermometer and 58% light source. </w:t>
      </w:r>
      <w:r w:rsidRPr="00610088">
        <w:rPr>
          <w:sz w:val="18"/>
          <w:szCs w:val="18"/>
          <w:vertAlign w:val="superscript"/>
          <w:lang w:val="en-GB"/>
        </w:rPr>
        <w:fldChar w:fldCharType="begin"/>
      </w:r>
      <w:r w:rsidRPr="00610088">
        <w:rPr>
          <w:sz w:val="18"/>
          <w:szCs w:val="18"/>
          <w:vertAlign w:val="superscript"/>
          <w:lang w:val="en-GB"/>
        </w:rPr>
        <w:instrText xml:space="preserve"> NOTEREF _Ref17185534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108</w:t>
      </w:r>
      <w:r w:rsidRPr="00610088">
        <w:rPr>
          <w:sz w:val="18"/>
          <w:szCs w:val="18"/>
          <w:vertAlign w:val="superscript"/>
          <w:lang w:val="en-GB"/>
        </w:rPr>
        <w:fldChar w:fldCharType="end"/>
      </w:r>
    </w:p>
    <w:p w14:paraId="3571A7FD" w14:textId="3ADB25B0" w:rsidR="00136C5E" w:rsidRPr="00610088" w:rsidRDefault="00136C5E" w:rsidP="00136C5E">
      <w:pPr>
        <w:rPr>
          <w:sz w:val="18"/>
          <w:szCs w:val="18"/>
          <w:lang w:val="en-GB"/>
        </w:rPr>
      </w:pPr>
      <w:r w:rsidRPr="00610088">
        <w:rPr>
          <w:sz w:val="18"/>
          <w:szCs w:val="18"/>
          <w:lang w:val="en-GB"/>
        </w:rPr>
        <w:t>Availability of equipment at 17 designated C-</w:t>
      </w:r>
      <w:proofErr w:type="spellStart"/>
      <w:r w:rsidRPr="00610088">
        <w:rPr>
          <w:sz w:val="18"/>
          <w:szCs w:val="18"/>
          <w:lang w:val="en-GB"/>
        </w:rPr>
        <w:t>EmONC</w:t>
      </w:r>
      <w:proofErr w:type="spellEnd"/>
      <w:r w:rsidRPr="00610088">
        <w:rPr>
          <w:sz w:val="18"/>
          <w:szCs w:val="18"/>
          <w:lang w:val="en-GB"/>
        </w:rPr>
        <w:t xml:space="preserve"> facilities was also limited: 42% oxygen, 53% resuscitation table (neonatal), 13% anaesthesia equipment and 21% incubator. </w:t>
      </w:r>
      <w:r w:rsidRPr="00610088">
        <w:rPr>
          <w:sz w:val="18"/>
          <w:szCs w:val="18"/>
          <w:vertAlign w:val="superscript"/>
          <w:lang w:val="en-GB"/>
        </w:rPr>
        <w:fldChar w:fldCharType="begin"/>
      </w:r>
      <w:r w:rsidRPr="00610088">
        <w:rPr>
          <w:sz w:val="18"/>
          <w:szCs w:val="18"/>
          <w:vertAlign w:val="superscript"/>
          <w:lang w:val="en-GB"/>
        </w:rPr>
        <w:instrText xml:space="preserve"> NOTEREF _Ref17185534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108</w:t>
      </w:r>
      <w:r w:rsidRPr="00610088">
        <w:rPr>
          <w:sz w:val="18"/>
          <w:szCs w:val="18"/>
          <w:vertAlign w:val="superscript"/>
          <w:lang w:val="en-GB"/>
        </w:rPr>
        <w:fldChar w:fldCharType="end"/>
      </w:r>
    </w:p>
    <w:p w14:paraId="64467664" w14:textId="676978A4" w:rsidR="00136C5E" w:rsidRPr="00610088" w:rsidRDefault="00136C5E" w:rsidP="00136C5E">
      <w:pPr>
        <w:rPr>
          <w:sz w:val="18"/>
          <w:szCs w:val="18"/>
          <w:lang w:val="en-GB"/>
        </w:rPr>
      </w:pPr>
      <w:r w:rsidRPr="00610088">
        <w:rPr>
          <w:sz w:val="18"/>
          <w:szCs w:val="18"/>
          <w:lang w:val="en-GB"/>
        </w:rPr>
        <w:t xml:space="preserve">High-level diagnostic equipment (ultrasound machine, X-ray equipment, electrocardiography (ECG) machine and CT scan machine) availability has even more constraints. </w:t>
      </w:r>
      <w:proofErr w:type="spellStart"/>
      <w:r w:rsidRPr="00610088">
        <w:rPr>
          <w:sz w:val="18"/>
          <w:szCs w:val="18"/>
          <w:lang w:val="en-GB"/>
        </w:rPr>
        <w:t>Pujehun</w:t>
      </w:r>
      <w:proofErr w:type="spellEnd"/>
      <w:r w:rsidRPr="00610088">
        <w:rPr>
          <w:sz w:val="18"/>
          <w:szCs w:val="18"/>
          <w:lang w:val="en-GB"/>
        </w:rPr>
        <w:t xml:space="preserve"> district had all the equipment except for the ECG machine. Only two districts (</w:t>
      </w:r>
      <w:proofErr w:type="spellStart"/>
      <w:r w:rsidRPr="00610088">
        <w:rPr>
          <w:sz w:val="18"/>
          <w:szCs w:val="18"/>
          <w:lang w:val="en-GB"/>
        </w:rPr>
        <w:t>Pujehun</w:t>
      </w:r>
      <w:proofErr w:type="spellEnd"/>
      <w:r w:rsidRPr="00610088">
        <w:rPr>
          <w:sz w:val="18"/>
          <w:szCs w:val="18"/>
          <w:lang w:val="en-GB"/>
        </w:rPr>
        <w:t xml:space="preserve"> and Tonkolili) had a CT-scan machine. Four districts (</w:t>
      </w:r>
      <w:proofErr w:type="spellStart"/>
      <w:r w:rsidRPr="00610088">
        <w:rPr>
          <w:sz w:val="18"/>
          <w:szCs w:val="18"/>
          <w:lang w:val="en-GB"/>
        </w:rPr>
        <w:t>Bonthe</w:t>
      </w:r>
      <w:proofErr w:type="spellEnd"/>
      <w:r w:rsidRPr="00610088">
        <w:rPr>
          <w:sz w:val="18"/>
          <w:szCs w:val="18"/>
          <w:lang w:val="en-GB"/>
        </w:rPr>
        <w:t xml:space="preserve">, Kailahun, </w:t>
      </w:r>
      <w:proofErr w:type="spellStart"/>
      <w:r w:rsidRPr="00610088">
        <w:rPr>
          <w:sz w:val="18"/>
          <w:szCs w:val="18"/>
          <w:lang w:val="en-GB"/>
        </w:rPr>
        <w:t>Kambia</w:t>
      </w:r>
      <w:proofErr w:type="spellEnd"/>
      <w:r w:rsidRPr="00610088">
        <w:rPr>
          <w:sz w:val="18"/>
          <w:szCs w:val="18"/>
          <w:lang w:val="en-GB"/>
        </w:rPr>
        <w:t xml:space="preserve">, </w:t>
      </w:r>
      <w:proofErr w:type="spellStart"/>
      <w:r w:rsidRPr="00610088">
        <w:rPr>
          <w:sz w:val="18"/>
          <w:szCs w:val="18"/>
          <w:lang w:val="en-GB"/>
        </w:rPr>
        <w:t>Moyamba</w:t>
      </w:r>
      <w:proofErr w:type="spellEnd"/>
      <w:r w:rsidRPr="00610088">
        <w:rPr>
          <w:sz w:val="18"/>
          <w:szCs w:val="18"/>
          <w:lang w:val="en-GB"/>
        </w:rPr>
        <w:t xml:space="preserve">) had none of the high-level diagnostic equipment. </w:t>
      </w:r>
      <w:r w:rsidRPr="00610088">
        <w:rPr>
          <w:sz w:val="18"/>
          <w:szCs w:val="18"/>
          <w:vertAlign w:val="superscript"/>
          <w:lang w:val="en-GB"/>
        </w:rPr>
        <w:fldChar w:fldCharType="begin"/>
      </w:r>
      <w:r w:rsidRPr="00610088">
        <w:rPr>
          <w:sz w:val="18"/>
          <w:szCs w:val="18"/>
          <w:vertAlign w:val="superscript"/>
          <w:lang w:val="en-GB"/>
        </w:rPr>
        <w:instrText xml:space="preserve"> NOTEREF _Ref17185534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108</w:t>
      </w:r>
      <w:r w:rsidRPr="00610088">
        <w:rPr>
          <w:sz w:val="18"/>
          <w:szCs w:val="18"/>
          <w:vertAlign w:val="superscript"/>
          <w:lang w:val="en-GB"/>
        </w:rPr>
        <w:fldChar w:fldCharType="end"/>
      </w:r>
    </w:p>
    <w:p w14:paraId="7E38C03A" w14:textId="77777777" w:rsidR="00136C5E" w:rsidRPr="00610088" w:rsidRDefault="00136C5E" w:rsidP="00136C5E">
      <w:pPr>
        <w:rPr>
          <w:sz w:val="18"/>
          <w:szCs w:val="18"/>
          <w:lang w:val="en-GB"/>
        </w:rPr>
      </w:pPr>
    </w:p>
    <w:p w14:paraId="62337278" w14:textId="229A4E60" w:rsidR="00136C5E" w:rsidRPr="00610088" w:rsidRDefault="00136C5E" w:rsidP="00136C5E">
      <w:pPr>
        <w:rPr>
          <w:sz w:val="18"/>
          <w:szCs w:val="18"/>
          <w:lang w:val="en-GB"/>
        </w:rPr>
      </w:pPr>
      <w:r w:rsidRPr="00610088">
        <w:rPr>
          <w:sz w:val="18"/>
          <w:szCs w:val="18"/>
          <w:lang w:val="en-GB"/>
        </w:rPr>
        <w:t xml:space="preserve">The overall mean availability of tracer basic amenities at all 1284 health facilities in the country was 57% in 2017. Only 2% had all tracer items. The availability per individual tracer basic amenity was: 23% power (grid or generator), 57% improved water source, consultation room (with privacy) 71%, adequate sanitation facilities 84%, communication equipment 70%, access to computer with internet 4%, and emergency transportation 91%.  </w:t>
      </w:r>
      <w:r w:rsidRPr="00610088">
        <w:rPr>
          <w:sz w:val="18"/>
          <w:szCs w:val="18"/>
          <w:vertAlign w:val="superscript"/>
          <w:lang w:val="en-GB"/>
        </w:rPr>
        <w:fldChar w:fldCharType="begin"/>
      </w:r>
      <w:r w:rsidRPr="00610088">
        <w:rPr>
          <w:sz w:val="18"/>
          <w:szCs w:val="18"/>
          <w:vertAlign w:val="superscript"/>
          <w:lang w:val="en-GB"/>
        </w:rPr>
        <w:instrText xml:space="preserve"> NOTEREF _Ref17185534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108</w:t>
      </w:r>
      <w:r w:rsidRPr="00610088">
        <w:rPr>
          <w:sz w:val="18"/>
          <w:szCs w:val="18"/>
          <w:vertAlign w:val="superscript"/>
          <w:lang w:val="en-GB"/>
        </w:rPr>
        <w:fldChar w:fldCharType="end"/>
      </w:r>
    </w:p>
    <w:p w14:paraId="6ABB5A1B" w14:textId="77777777" w:rsidR="00136C5E" w:rsidRPr="00610088" w:rsidRDefault="00136C5E" w:rsidP="00136C5E">
      <w:pPr>
        <w:rPr>
          <w:sz w:val="18"/>
          <w:szCs w:val="18"/>
          <w:lang w:val="en-GB"/>
        </w:rPr>
      </w:pPr>
    </w:p>
    <w:p w14:paraId="307CA8F5" w14:textId="789E181B" w:rsidR="00136C5E" w:rsidRPr="00610088" w:rsidRDefault="00136C5E" w:rsidP="00136C5E">
      <w:pPr>
        <w:rPr>
          <w:sz w:val="18"/>
          <w:szCs w:val="18"/>
          <w:lang w:val="en-GB"/>
        </w:rPr>
      </w:pPr>
      <w:r w:rsidRPr="00610088">
        <w:rPr>
          <w:sz w:val="18"/>
          <w:szCs w:val="18"/>
          <w:lang w:val="en-GB"/>
        </w:rPr>
        <w:t xml:space="preserve">There is no planned preventive maintenance for physical infrastructure and medical equipment. There are only 2 biomechanical staffs in the </w:t>
      </w:r>
      <w:proofErr w:type="spellStart"/>
      <w:r w:rsidR="00156C15">
        <w:rPr>
          <w:sz w:val="18"/>
          <w:szCs w:val="18"/>
          <w:lang w:val="en-GB"/>
        </w:rPr>
        <w:t>MoHS</w:t>
      </w:r>
      <w:proofErr w:type="spellEnd"/>
      <w:r w:rsidRPr="00610088">
        <w:rPr>
          <w:sz w:val="18"/>
          <w:szCs w:val="18"/>
          <w:lang w:val="en-GB"/>
        </w:rPr>
        <w:t xml:space="preserve"> at national level. There is at least one (1) solar technician in each district; taking care of the solar fridges for the vaccines cold chain. </w:t>
      </w:r>
    </w:p>
    <w:p w14:paraId="396A8F1A" w14:textId="77777777" w:rsidR="00136C5E" w:rsidRPr="00610088" w:rsidRDefault="00136C5E" w:rsidP="00136C5E">
      <w:pPr>
        <w:rPr>
          <w:sz w:val="18"/>
          <w:szCs w:val="18"/>
          <w:lang w:val="en-GB"/>
        </w:rPr>
      </w:pPr>
    </w:p>
    <w:p w14:paraId="4800B8F4"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Medicines and medical products and technologies</w:t>
      </w:r>
    </w:p>
    <w:p w14:paraId="29F23D76" w14:textId="6CD52BCF" w:rsidR="00136C5E" w:rsidRPr="00610088" w:rsidRDefault="00136C5E" w:rsidP="00136C5E">
      <w:pPr>
        <w:rPr>
          <w:sz w:val="18"/>
          <w:szCs w:val="18"/>
          <w:lang w:val="en-GB"/>
        </w:rPr>
      </w:pPr>
      <w:r w:rsidRPr="00610088">
        <w:rPr>
          <w:sz w:val="18"/>
          <w:szCs w:val="18"/>
          <w:lang w:val="en-GB"/>
        </w:rPr>
        <w:t xml:space="preserve">Provision and correct and safe use of medical products and technologies is guided by a whole range of documents including the National medicines policy </w:t>
      </w:r>
      <w:bookmarkStart w:id="133" w:name="_Ref32799438"/>
      <w:r w:rsidRPr="00610088">
        <w:rPr>
          <w:rStyle w:val="EndnoteReference"/>
          <w:sz w:val="18"/>
          <w:szCs w:val="18"/>
          <w:lang w:val="en-GB"/>
        </w:rPr>
        <w:endnoteReference w:id="120"/>
      </w:r>
      <w:bookmarkEnd w:id="133"/>
      <w:r w:rsidRPr="00610088">
        <w:rPr>
          <w:sz w:val="18"/>
          <w:szCs w:val="18"/>
          <w:lang w:val="en-GB"/>
        </w:rPr>
        <w:t xml:space="preserve">, the Essential Medicines list </w:t>
      </w:r>
      <w:bookmarkStart w:id="134" w:name="_Ref32799439"/>
      <w:r w:rsidRPr="00610088">
        <w:rPr>
          <w:rStyle w:val="EndnoteReference"/>
          <w:sz w:val="18"/>
          <w:szCs w:val="18"/>
          <w:lang w:val="en-GB"/>
        </w:rPr>
        <w:endnoteReference w:id="121"/>
      </w:r>
      <w:bookmarkEnd w:id="134"/>
      <w:r w:rsidRPr="00610088">
        <w:rPr>
          <w:sz w:val="18"/>
          <w:szCs w:val="18"/>
          <w:lang w:val="en-GB"/>
        </w:rPr>
        <w:t xml:space="preserve">, the Standard Treatment Guidelines for Primary Level prescribers </w:t>
      </w:r>
      <w:bookmarkStart w:id="135" w:name="_Ref32799441"/>
      <w:r w:rsidRPr="00610088">
        <w:rPr>
          <w:rStyle w:val="EndnoteReference"/>
          <w:sz w:val="18"/>
          <w:szCs w:val="18"/>
          <w:lang w:val="en-GB"/>
        </w:rPr>
        <w:endnoteReference w:id="122"/>
      </w:r>
      <w:bookmarkEnd w:id="135"/>
      <w:r w:rsidRPr="00610088">
        <w:rPr>
          <w:sz w:val="18"/>
          <w:szCs w:val="18"/>
          <w:lang w:val="en-GB"/>
        </w:rPr>
        <w:t xml:space="preserve">, the National Formulary </w:t>
      </w:r>
      <w:bookmarkStart w:id="136" w:name="_Ref32799443"/>
      <w:r w:rsidRPr="00610088">
        <w:rPr>
          <w:rStyle w:val="EndnoteReference"/>
          <w:sz w:val="18"/>
          <w:szCs w:val="18"/>
          <w:lang w:val="en-GB"/>
        </w:rPr>
        <w:endnoteReference w:id="123"/>
      </w:r>
      <w:bookmarkEnd w:id="136"/>
      <w:r w:rsidRPr="00610088">
        <w:rPr>
          <w:sz w:val="18"/>
          <w:szCs w:val="18"/>
          <w:lang w:val="en-GB"/>
        </w:rPr>
        <w:t xml:space="preserve">, National Health Laboratory Strategic Plan </w:t>
      </w:r>
      <w:bookmarkStart w:id="137" w:name="_Ref32611913"/>
      <w:r w:rsidRPr="00610088">
        <w:rPr>
          <w:rStyle w:val="EndnoteReference"/>
          <w:sz w:val="18"/>
          <w:szCs w:val="18"/>
          <w:lang w:val="en-GB"/>
        </w:rPr>
        <w:endnoteReference w:id="124"/>
      </w:r>
      <w:bookmarkEnd w:id="137"/>
      <w:r w:rsidRPr="00610088">
        <w:rPr>
          <w:sz w:val="18"/>
          <w:szCs w:val="18"/>
          <w:lang w:val="en-GB"/>
        </w:rPr>
        <w:t xml:space="preserve"> and SOPs for integrated management of health commodities </w:t>
      </w:r>
      <w:r w:rsidRPr="00610088">
        <w:rPr>
          <w:sz w:val="18"/>
          <w:szCs w:val="18"/>
          <w:vertAlign w:val="superscript"/>
          <w:lang w:val="en-GB"/>
        </w:rPr>
        <w:fldChar w:fldCharType="begin"/>
      </w:r>
      <w:r w:rsidRPr="00610088">
        <w:rPr>
          <w:sz w:val="18"/>
          <w:szCs w:val="18"/>
          <w:vertAlign w:val="superscript"/>
          <w:lang w:val="en-GB"/>
        </w:rPr>
        <w:instrText xml:space="preserve"> NOTEREF _Ref17117498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107</w:t>
      </w:r>
      <w:r w:rsidRPr="00610088">
        <w:rPr>
          <w:sz w:val="18"/>
          <w:szCs w:val="18"/>
          <w:vertAlign w:val="superscript"/>
          <w:lang w:val="en-GB"/>
        </w:rPr>
        <w:fldChar w:fldCharType="end"/>
      </w:r>
      <w:r w:rsidRPr="00610088">
        <w:rPr>
          <w:sz w:val="18"/>
          <w:szCs w:val="18"/>
          <w:lang w:val="en-GB"/>
        </w:rPr>
        <w:t xml:space="preserve">. Several of these documents are currently being reviewed and updated and/or revised. There are no policy documents for blood and blood products and for traditional medicines and products. </w:t>
      </w:r>
      <w:r w:rsidRPr="00610088">
        <w:rPr>
          <w:sz w:val="18"/>
          <w:szCs w:val="18"/>
          <w:vertAlign w:val="superscript"/>
          <w:lang w:val="en-GB"/>
        </w:rPr>
        <w:fldChar w:fldCharType="begin"/>
      </w:r>
      <w:r w:rsidRPr="00610088">
        <w:rPr>
          <w:sz w:val="18"/>
          <w:szCs w:val="18"/>
          <w:vertAlign w:val="superscript"/>
          <w:lang w:val="en-GB"/>
        </w:rPr>
        <w:instrText xml:space="preserve"> NOTEREF _Ref17117498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107</w:t>
      </w:r>
      <w:r w:rsidRPr="00610088">
        <w:rPr>
          <w:sz w:val="18"/>
          <w:szCs w:val="18"/>
          <w:vertAlign w:val="superscript"/>
          <w:lang w:val="en-GB"/>
        </w:rPr>
        <w:fldChar w:fldCharType="end"/>
      </w:r>
    </w:p>
    <w:p w14:paraId="4D2CA112" w14:textId="77777777" w:rsidR="00136C5E" w:rsidRPr="00610088" w:rsidRDefault="00136C5E" w:rsidP="00136C5E">
      <w:pPr>
        <w:rPr>
          <w:sz w:val="18"/>
          <w:szCs w:val="18"/>
          <w:lang w:val="en-GB"/>
        </w:rPr>
      </w:pPr>
    </w:p>
    <w:p w14:paraId="442C1B23" w14:textId="24092293" w:rsidR="00136C5E" w:rsidRPr="00610088" w:rsidRDefault="00136C5E" w:rsidP="00136C5E">
      <w:pPr>
        <w:rPr>
          <w:sz w:val="18"/>
          <w:szCs w:val="18"/>
          <w:lang w:val="en-GB"/>
        </w:rPr>
      </w:pPr>
      <w:r w:rsidRPr="00610088">
        <w:rPr>
          <w:sz w:val="18"/>
          <w:szCs w:val="18"/>
          <w:lang w:val="en-GB"/>
        </w:rPr>
        <w:t xml:space="preserve">There is poor adherence to treatment guidelines. </w:t>
      </w:r>
      <w:r w:rsidRPr="00610088">
        <w:rPr>
          <w:sz w:val="18"/>
          <w:szCs w:val="18"/>
          <w:lang w:val="en-GB"/>
        </w:rPr>
        <w:fldChar w:fldCharType="begin"/>
      </w:r>
      <w:r w:rsidRPr="00610088">
        <w:rPr>
          <w:sz w:val="18"/>
          <w:szCs w:val="18"/>
          <w:lang w:val="en-GB"/>
        </w:rPr>
        <w:instrText xml:space="preserve"> NOTEREF _Ref17117498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107</w:t>
      </w:r>
      <w:r w:rsidRPr="00610088">
        <w:rPr>
          <w:sz w:val="18"/>
          <w:szCs w:val="18"/>
          <w:lang w:val="en-GB"/>
        </w:rPr>
        <w:fldChar w:fldCharType="end"/>
      </w:r>
      <w:r w:rsidRPr="00610088">
        <w:rPr>
          <w:sz w:val="18"/>
          <w:szCs w:val="18"/>
          <w:lang w:val="en-GB"/>
        </w:rPr>
        <w:t xml:space="preserve"> Recently Drug and therapeutic committees have been established / revitalised in 8 hospitals, guided by the Drug &amp; Therapeutic Committees operating manual. </w:t>
      </w:r>
      <w:r w:rsidRPr="00610088">
        <w:rPr>
          <w:sz w:val="18"/>
          <w:szCs w:val="18"/>
          <w:lang w:val="en-GB"/>
        </w:rPr>
        <w:fldChar w:fldCharType="begin"/>
      </w:r>
      <w:r w:rsidRPr="00610088">
        <w:rPr>
          <w:sz w:val="18"/>
          <w:szCs w:val="18"/>
          <w:lang w:val="en-GB"/>
        </w:rPr>
        <w:instrText xml:space="preserve"> NOTEREF _Ref17117498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107</w:t>
      </w:r>
      <w:r w:rsidRPr="00610088">
        <w:rPr>
          <w:sz w:val="18"/>
          <w:szCs w:val="18"/>
          <w:lang w:val="en-GB"/>
        </w:rPr>
        <w:fldChar w:fldCharType="end"/>
      </w:r>
    </w:p>
    <w:p w14:paraId="6B19E142" w14:textId="77777777" w:rsidR="00136C5E" w:rsidRPr="00610088" w:rsidRDefault="00136C5E" w:rsidP="00136C5E">
      <w:pPr>
        <w:rPr>
          <w:sz w:val="18"/>
          <w:szCs w:val="18"/>
          <w:lang w:val="en-GB"/>
        </w:rPr>
      </w:pPr>
    </w:p>
    <w:p w14:paraId="5AE38F1F" w14:textId="08B30AA0" w:rsidR="00136C5E" w:rsidRPr="00610088" w:rsidRDefault="00136C5E" w:rsidP="00136C5E">
      <w:pPr>
        <w:rPr>
          <w:sz w:val="18"/>
          <w:szCs w:val="18"/>
          <w:lang w:val="en-GB"/>
        </w:rPr>
      </w:pPr>
      <w:r w:rsidRPr="00610088">
        <w:rPr>
          <w:sz w:val="18"/>
          <w:szCs w:val="18"/>
          <w:lang w:val="en-GB"/>
        </w:rPr>
        <w:t xml:space="preserve">National Medical Supplies Agency (NMSA) – currently in set up phase - is responsible for procurement, warehousing and distribution of drugs and medical supplies on behalf of all public institutions throughout Sierra Leone. The NMSA is new (enacted in 2017 </w:t>
      </w:r>
      <w:bookmarkStart w:id="138" w:name="_Ref32799532"/>
      <w:r w:rsidRPr="00610088">
        <w:rPr>
          <w:rStyle w:val="EndnoteReference"/>
          <w:sz w:val="18"/>
          <w:szCs w:val="18"/>
          <w:lang w:val="en-GB"/>
        </w:rPr>
        <w:endnoteReference w:id="125"/>
      </w:r>
      <w:bookmarkEnd w:id="138"/>
      <w:r w:rsidRPr="00610088">
        <w:rPr>
          <w:sz w:val="18"/>
          <w:szCs w:val="18"/>
          <w:lang w:val="en-GB"/>
        </w:rPr>
        <w:t xml:space="preserve">) and its preceding agency, the short-lived National Pharmaceutical Procurement Unit (NPPU) had limited procurement experience before it was disbanded in 2016. </w:t>
      </w:r>
      <w:r w:rsidRPr="00610088">
        <w:rPr>
          <w:rStyle w:val="EndnoteReference"/>
          <w:sz w:val="18"/>
          <w:szCs w:val="18"/>
          <w:lang w:val="en-GB"/>
        </w:rPr>
        <w:endnoteReference w:id="126"/>
      </w:r>
      <w:r w:rsidRPr="00610088">
        <w:rPr>
          <w:sz w:val="18"/>
          <w:szCs w:val="18"/>
          <w:lang w:val="en-GB"/>
        </w:rPr>
        <w:t xml:space="preserve"> DDMS (Directorate of Drugs and Medical Supplies of the </w:t>
      </w:r>
      <w:proofErr w:type="spellStart"/>
      <w:r w:rsidR="00156C15">
        <w:rPr>
          <w:sz w:val="18"/>
          <w:szCs w:val="18"/>
          <w:lang w:val="en-GB"/>
        </w:rPr>
        <w:t>MoHS</w:t>
      </w:r>
      <w:proofErr w:type="spellEnd"/>
      <w:r w:rsidRPr="00610088">
        <w:rPr>
          <w:sz w:val="18"/>
          <w:szCs w:val="18"/>
          <w:lang w:val="en-GB"/>
        </w:rPr>
        <w:t xml:space="preserve">) supported by partners like UNICEF continue to act in caretaker environment until NMSA can take up all its functions. The focus of supplies is for now on commodities for FHCI, RH/FP, nutrition and the 3 Global Fund diseases (TB, HIV, Malaria). There has been no functional national cost-recovery system for many years now. </w:t>
      </w:r>
      <w:r w:rsidRPr="00610088">
        <w:rPr>
          <w:sz w:val="18"/>
          <w:szCs w:val="18"/>
          <w:lang w:val="en-GB"/>
        </w:rPr>
        <w:fldChar w:fldCharType="begin"/>
      </w:r>
      <w:r w:rsidRPr="00610088">
        <w:rPr>
          <w:sz w:val="18"/>
          <w:szCs w:val="18"/>
          <w:lang w:val="en-GB"/>
        </w:rPr>
        <w:instrText xml:space="preserve"> NOTEREF _Ref17117498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107</w:t>
      </w:r>
      <w:r w:rsidRPr="00610088">
        <w:rPr>
          <w:sz w:val="18"/>
          <w:szCs w:val="18"/>
          <w:lang w:val="en-GB"/>
        </w:rPr>
        <w:fldChar w:fldCharType="end"/>
      </w:r>
    </w:p>
    <w:p w14:paraId="66F672B3" w14:textId="77777777" w:rsidR="00136C5E" w:rsidRPr="00610088" w:rsidRDefault="00136C5E" w:rsidP="00136C5E">
      <w:pPr>
        <w:rPr>
          <w:sz w:val="18"/>
          <w:szCs w:val="18"/>
          <w:lang w:val="en-GB"/>
        </w:rPr>
      </w:pPr>
    </w:p>
    <w:p w14:paraId="179B2016" w14:textId="62A0B289" w:rsidR="00136C5E" w:rsidRPr="00610088" w:rsidRDefault="00136C5E" w:rsidP="00136C5E">
      <w:pPr>
        <w:rPr>
          <w:sz w:val="18"/>
          <w:szCs w:val="18"/>
          <w:lang w:val="en-GB"/>
        </w:rPr>
      </w:pPr>
      <w:r w:rsidRPr="00610088">
        <w:rPr>
          <w:sz w:val="18"/>
          <w:szCs w:val="18"/>
          <w:lang w:val="en-GB"/>
        </w:rPr>
        <w:t xml:space="preserve">There is a national supply chain Technical work group and several subgroups that develop procurement forecasts, plans and strategies for each set of commodities. </w:t>
      </w:r>
      <w:r w:rsidRPr="00610088">
        <w:rPr>
          <w:sz w:val="18"/>
          <w:szCs w:val="18"/>
          <w:lang w:val="en-GB"/>
        </w:rPr>
        <w:fldChar w:fldCharType="begin"/>
      </w:r>
      <w:r w:rsidRPr="00610088">
        <w:rPr>
          <w:sz w:val="18"/>
          <w:szCs w:val="18"/>
          <w:lang w:val="en-GB"/>
        </w:rPr>
        <w:instrText xml:space="preserve"> NOTEREF _Ref17117498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107</w:t>
      </w:r>
      <w:r w:rsidRPr="00610088">
        <w:rPr>
          <w:sz w:val="18"/>
          <w:szCs w:val="18"/>
          <w:lang w:val="en-GB"/>
        </w:rPr>
        <w:fldChar w:fldCharType="end"/>
      </w:r>
    </w:p>
    <w:p w14:paraId="352AA46A" w14:textId="77777777" w:rsidR="00136C5E" w:rsidRPr="00610088" w:rsidRDefault="00136C5E" w:rsidP="00136C5E">
      <w:pPr>
        <w:rPr>
          <w:sz w:val="18"/>
          <w:szCs w:val="18"/>
          <w:lang w:val="en-GB"/>
        </w:rPr>
      </w:pPr>
    </w:p>
    <w:p w14:paraId="3FF247BB" w14:textId="51A6D323" w:rsidR="00136C5E" w:rsidRPr="00610088" w:rsidRDefault="00136C5E" w:rsidP="00136C5E">
      <w:pPr>
        <w:rPr>
          <w:sz w:val="18"/>
          <w:szCs w:val="18"/>
          <w:vertAlign w:val="superscript"/>
          <w:lang w:val="en-GB"/>
        </w:rPr>
      </w:pPr>
      <w:r w:rsidRPr="00610088">
        <w:rPr>
          <w:sz w:val="18"/>
          <w:szCs w:val="18"/>
          <w:lang w:val="en-GB"/>
        </w:rPr>
        <w:lastRenderedPageBreak/>
        <w:t xml:space="preserve">The SARA 2017 survey of all 1284 health facilities showed a low mean availability of the 24 essential medicine tracer items (31%), ranging from 24% in Tonkolili district to 37% in </w:t>
      </w:r>
      <w:proofErr w:type="spellStart"/>
      <w:r w:rsidRPr="00610088">
        <w:rPr>
          <w:sz w:val="18"/>
          <w:szCs w:val="18"/>
          <w:lang w:val="en-GB"/>
        </w:rPr>
        <w:t>Bombali</w:t>
      </w:r>
      <w:proofErr w:type="spellEnd"/>
      <w:r w:rsidRPr="00610088">
        <w:rPr>
          <w:sz w:val="18"/>
          <w:szCs w:val="18"/>
          <w:lang w:val="en-GB"/>
        </w:rPr>
        <w:t xml:space="preserve"> and </w:t>
      </w:r>
      <w:proofErr w:type="spellStart"/>
      <w:r w:rsidRPr="00610088">
        <w:rPr>
          <w:sz w:val="18"/>
          <w:szCs w:val="18"/>
          <w:lang w:val="en-GB"/>
        </w:rPr>
        <w:t>Koinadugu</w:t>
      </w:r>
      <w:proofErr w:type="spellEnd"/>
      <w:r w:rsidRPr="00610088">
        <w:rPr>
          <w:sz w:val="18"/>
          <w:szCs w:val="18"/>
          <w:lang w:val="en-GB"/>
        </w:rPr>
        <w:t xml:space="preserve"> districts, with none of the health facilities having all items available. </w:t>
      </w:r>
      <w:r w:rsidRPr="00610088">
        <w:rPr>
          <w:sz w:val="18"/>
          <w:szCs w:val="18"/>
          <w:vertAlign w:val="superscript"/>
          <w:lang w:val="en-GB"/>
        </w:rPr>
        <w:fldChar w:fldCharType="begin"/>
      </w:r>
      <w:r w:rsidRPr="00610088">
        <w:rPr>
          <w:sz w:val="18"/>
          <w:szCs w:val="18"/>
          <w:vertAlign w:val="superscript"/>
          <w:lang w:val="en-GB"/>
        </w:rPr>
        <w:instrText xml:space="preserve"> NOTEREF _Ref17185534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108</w:t>
      </w:r>
      <w:r w:rsidRPr="00610088">
        <w:rPr>
          <w:sz w:val="18"/>
          <w:szCs w:val="18"/>
          <w:vertAlign w:val="superscript"/>
          <w:lang w:val="en-GB"/>
        </w:rPr>
        <w:fldChar w:fldCharType="end"/>
      </w:r>
    </w:p>
    <w:p w14:paraId="4CB6A6E0" w14:textId="77777777" w:rsidR="00136C5E" w:rsidRPr="00610088" w:rsidRDefault="00136C5E" w:rsidP="00136C5E">
      <w:pPr>
        <w:rPr>
          <w:sz w:val="18"/>
          <w:szCs w:val="18"/>
          <w:lang w:val="en-GB"/>
        </w:rPr>
      </w:pPr>
    </w:p>
    <w:p w14:paraId="162CC654" w14:textId="77777777" w:rsidR="00136C5E" w:rsidRPr="00610088" w:rsidRDefault="00136C5E" w:rsidP="007A5E46">
      <w:pPr>
        <w:pStyle w:val="Subtitle"/>
        <w:rPr>
          <w:b/>
          <w:bCs/>
          <w:sz w:val="18"/>
          <w:szCs w:val="18"/>
          <w:u w:val="single"/>
          <w:lang w:val="en-GB"/>
        </w:rPr>
      </w:pPr>
      <w:r w:rsidRPr="00610088">
        <w:rPr>
          <w:b/>
          <w:bCs/>
          <w:sz w:val="18"/>
          <w:szCs w:val="18"/>
          <w:u w:val="single"/>
          <w:lang w:val="en-GB"/>
        </w:rPr>
        <w:t>Health information systems</w:t>
      </w:r>
    </w:p>
    <w:p w14:paraId="68DAF6EC" w14:textId="77777777" w:rsidR="00136C5E" w:rsidRPr="00610088" w:rsidRDefault="00136C5E" w:rsidP="00136C5E">
      <w:pPr>
        <w:rPr>
          <w:sz w:val="18"/>
          <w:szCs w:val="18"/>
          <w:lang w:val="en-GB"/>
        </w:rPr>
      </w:pPr>
      <w:r w:rsidRPr="00610088">
        <w:rPr>
          <w:sz w:val="18"/>
          <w:szCs w:val="18"/>
          <w:lang w:val="en-GB"/>
        </w:rPr>
        <w:t xml:space="preserve">The Health Management Information System is guided by the National Health Sector Information Strategic Plan 2017-2021 and the e-Health strategy. </w:t>
      </w:r>
    </w:p>
    <w:p w14:paraId="333FA529" w14:textId="77777777" w:rsidR="00136C5E" w:rsidRPr="00610088" w:rsidRDefault="00136C5E" w:rsidP="00136C5E">
      <w:pPr>
        <w:rPr>
          <w:sz w:val="18"/>
          <w:szCs w:val="18"/>
          <w:lang w:val="en-GB"/>
        </w:rPr>
      </w:pPr>
    </w:p>
    <w:p w14:paraId="2BAFDF2D" w14:textId="6EEDD085" w:rsidR="00136C5E" w:rsidRPr="00610088" w:rsidRDefault="00136C5E" w:rsidP="00136C5E">
      <w:pPr>
        <w:rPr>
          <w:sz w:val="18"/>
          <w:szCs w:val="18"/>
          <w:lang w:val="en-GB"/>
        </w:rPr>
      </w:pPr>
      <w:r w:rsidRPr="00610088">
        <w:rPr>
          <w:sz w:val="18"/>
          <w:szCs w:val="18"/>
          <w:lang w:val="en-GB"/>
        </w:rPr>
        <w:t xml:space="preserve">The key health information sources are national surveys such as DHS </w:t>
      </w:r>
      <w:r w:rsidRPr="00610088">
        <w:rPr>
          <w:sz w:val="18"/>
          <w:szCs w:val="18"/>
          <w:lang w:val="en-GB"/>
        </w:rPr>
        <w:fldChar w:fldCharType="begin"/>
      </w:r>
      <w:r w:rsidRPr="00610088">
        <w:rPr>
          <w:sz w:val="18"/>
          <w:szCs w:val="18"/>
          <w:lang w:val="en-GB"/>
        </w:rPr>
        <w:instrText xml:space="preserve"> NOTEREF _Ref17298289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8</w:t>
      </w:r>
      <w:r w:rsidRPr="00610088">
        <w:rPr>
          <w:sz w:val="18"/>
          <w:szCs w:val="18"/>
          <w:lang w:val="en-GB"/>
        </w:rPr>
        <w:fldChar w:fldCharType="end"/>
      </w:r>
      <w:r w:rsidRPr="00610088">
        <w:rPr>
          <w:sz w:val="18"/>
          <w:szCs w:val="18"/>
          <w:vertAlign w:val="superscript"/>
          <w:lang w:val="en-GB"/>
        </w:rPr>
        <w:t xml:space="preserve">, </w:t>
      </w:r>
      <w:r w:rsidRPr="00610088">
        <w:rPr>
          <w:sz w:val="18"/>
          <w:szCs w:val="18"/>
          <w:lang w:val="en-GB"/>
        </w:rPr>
        <w:fldChar w:fldCharType="begin"/>
      </w:r>
      <w:r w:rsidRPr="00610088">
        <w:rPr>
          <w:sz w:val="18"/>
          <w:szCs w:val="18"/>
          <w:lang w:val="en-GB"/>
        </w:rPr>
        <w:instrText xml:space="preserve"> NOTEREF _Ref17613310 \f \h </w:instrText>
      </w:r>
      <w:r w:rsidR="007A5E46"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208</w:t>
      </w:r>
      <w:r w:rsidRPr="00610088">
        <w:rPr>
          <w:sz w:val="18"/>
          <w:szCs w:val="18"/>
          <w:lang w:val="en-GB"/>
        </w:rPr>
        <w:fldChar w:fldCharType="end"/>
      </w:r>
      <w:r w:rsidRPr="00610088">
        <w:rPr>
          <w:sz w:val="18"/>
          <w:szCs w:val="18"/>
          <w:lang w:val="en-GB"/>
        </w:rPr>
        <w:t xml:space="preserve"> and MICS </w:t>
      </w:r>
      <w:r w:rsidRPr="00610088">
        <w:rPr>
          <w:sz w:val="18"/>
          <w:szCs w:val="18"/>
          <w:vertAlign w:val="superscript"/>
          <w:lang w:val="en-GB"/>
        </w:rPr>
        <w:fldChar w:fldCharType="begin"/>
      </w:r>
      <w:r w:rsidRPr="00610088">
        <w:rPr>
          <w:sz w:val="18"/>
          <w:szCs w:val="18"/>
          <w:vertAlign w:val="superscript"/>
          <w:lang w:val="en-GB"/>
        </w:rPr>
        <w:instrText xml:space="preserve"> NOTEREF _Ref17613464 \f \h </w:instrText>
      </w:r>
      <w:r w:rsidR="007A5E46" w:rsidRPr="00610088">
        <w:rPr>
          <w:sz w:val="18"/>
          <w:szCs w:val="18"/>
          <w:vertAlign w:val="superscript"/>
          <w:lang w:val="en-GB"/>
        </w:rPr>
        <w:instrText xml:space="preserve"> \* MERGEFORMAT </w:instrText>
      </w:r>
      <w:r w:rsidRPr="00610088">
        <w:rPr>
          <w:sz w:val="18"/>
          <w:szCs w:val="18"/>
          <w:vertAlign w:val="superscript"/>
          <w:lang w:val="en-GB"/>
        </w:rPr>
      </w:r>
      <w:r w:rsidRPr="00610088">
        <w:rPr>
          <w:sz w:val="18"/>
          <w:szCs w:val="18"/>
          <w:vertAlign w:val="superscript"/>
          <w:lang w:val="en-GB"/>
        </w:rPr>
        <w:fldChar w:fldCharType="separate"/>
      </w:r>
      <w:r w:rsidR="00CB360C" w:rsidRPr="00CB360C">
        <w:rPr>
          <w:rStyle w:val="EndnoteReference"/>
          <w:sz w:val="18"/>
          <w:szCs w:val="18"/>
          <w:lang w:val="en-GB"/>
        </w:rPr>
        <w:t>7</w:t>
      </w:r>
      <w:r w:rsidRPr="00610088">
        <w:rPr>
          <w:sz w:val="18"/>
          <w:szCs w:val="18"/>
          <w:vertAlign w:val="superscript"/>
          <w:lang w:val="en-GB"/>
        </w:rPr>
        <w:fldChar w:fldCharType="end"/>
      </w:r>
      <w:r w:rsidR="001A7A3C"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_Ref17613474 \f \h </w:instrText>
      </w:r>
      <w:r w:rsidR="007A5E46" w:rsidRPr="00610088">
        <w:rPr>
          <w:sz w:val="18"/>
          <w:szCs w:val="18"/>
          <w:vertAlign w:val="superscript"/>
          <w:lang w:val="en-GB"/>
        </w:rPr>
        <w:instrText xml:space="preserve"> \* MERGEFORMAT </w:instrText>
      </w:r>
      <w:r w:rsidRPr="00610088">
        <w:rPr>
          <w:sz w:val="18"/>
          <w:szCs w:val="18"/>
          <w:vertAlign w:val="superscript"/>
          <w:lang w:val="en-GB"/>
        </w:rPr>
      </w:r>
      <w:r w:rsidRPr="00610088">
        <w:rPr>
          <w:sz w:val="18"/>
          <w:szCs w:val="18"/>
          <w:vertAlign w:val="superscript"/>
          <w:lang w:val="en-GB"/>
        </w:rPr>
        <w:fldChar w:fldCharType="separate"/>
      </w:r>
      <w:r w:rsidR="00CB360C" w:rsidRPr="00CB360C">
        <w:rPr>
          <w:rStyle w:val="EndnoteReference"/>
          <w:sz w:val="18"/>
          <w:szCs w:val="18"/>
          <w:lang w:val="en-GB"/>
        </w:rPr>
        <w:t>209</w:t>
      </w:r>
      <w:r w:rsidRPr="00610088">
        <w:rPr>
          <w:sz w:val="18"/>
          <w:szCs w:val="18"/>
          <w:vertAlign w:val="superscript"/>
          <w:lang w:val="en-GB"/>
        </w:rPr>
        <w:fldChar w:fldCharType="end"/>
      </w:r>
      <w:r w:rsidR="001A7A3C" w:rsidRPr="00610088">
        <w:rPr>
          <w:sz w:val="18"/>
          <w:szCs w:val="18"/>
          <w:vertAlign w:val="superscript"/>
          <w:lang w:val="en-GB"/>
        </w:rPr>
        <w:t xml:space="preserve"> </w:t>
      </w:r>
      <w:r w:rsidRPr="00610088">
        <w:rPr>
          <w:sz w:val="18"/>
          <w:szCs w:val="18"/>
          <w:lang w:val="en-GB"/>
        </w:rPr>
        <w:t xml:space="preserve">with as main sources for service utilisation data the DHIS 2.0 (District Health Information System), for HRH data the </w:t>
      </w:r>
      <w:proofErr w:type="spellStart"/>
      <w:r w:rsidRPr="00610088">
        <w:rPr>
          <w:sz w:val="18"/>
          <w:szCs w:val="18"/>
          <w:lang w:val="en-GB"/>
        </w:rPr>
        <w:t>iHRIS</w:t>
      </w:r>
      <w:proofErr w:type="spellEnd"/>
      <w:r w:rsidRPr="00610088">
        <w:rPr>
          <w:sz w:val="18"/>
          <w:szCs w:val="18"/>
          <w:lang w:val="en-GB"/>
        </w:rPr>
        <w:t xml:space="preserve"> (integrated Human Resource Information System) and for supply data the RRIV (Request, Report and Issue Voucher) forms. </w:t>
      </w:r>
    </w:p>
    <w:p w14:paraId="15118D8D" w14:textId="7263449B" w:rsidR="00136C5E" w:rsidRPr="00610088" w:rsidRDefault="00156C15" w:rsidP="00136C5E">
      <w:pPr>
        <w:rPr>
          <w:sz w:val="18"/>
          <w:szCs w:val="18"/>
          <w:lang w:val="en-GB"/>
        </w:rPr>
      </w:pPr>
      <w:proofErr w:type="spellStart"/>
      <w:r>
        <w:rPr>
          <w:sz w:val="18"/>
          <w:szCs w:val="18"/>
          <w:lang w:val="en-GB"/>
        </w:rPr>
        <w:t>MoHS</w:t>
      </w:r>
      <w:proofErr w:type="spellEnd"/>
      <w:r w:rsidR="00136C5E" w:rsidRPr="00610088">
        <w:rPr>
          <w:sz w:val="18"/>
          <w:szCs w:val="18"/>
          <w:lang w:val="en-GB"/>
        </w:rPr>
        <w:t xml:space="preserve"> Directorates and programs also collect data during supervision and special assessment visits. </w:t>
      </w:r>
    </w:p>
    <w:p w14:paraId="5D7029A5" w14:textId="77777777" w:rsidR="00136C5E" w:rsidRPr="00610088" w:rsidRDefault="00136C5E" w:rsidP="00136C5E">
      <w:pPr>
        <w:rPr>
          <w:sz w:val="18"/>
          <w:szCs w:val="18"/>
          <w:lang w:val="en-GB"/>
        </w:rPr>
      </w:pPr>
    </w:p>
    <w:p w14:paraId="32FA8D76" w14:textId="77777777" w:rsidR="00136C5E" w:rsidRPr="00610088" w:rsidRDefault="00136C5E" w:rsidP="00136C5E">
      <w:pPr>
        <w:rPr>
          <w:sz w:val="18"/>
          <w:szCs w:val="18"/>
          <w:lang w:val="en-GB"/>
        </w:rPr>
      </w:pPr>
      <w:r w:rsidRPr="00610088">
        <w:rPr>
          <w:sz w:val="18"/>
          <w:szCs w:val="18"/>
          <w:lang w:val="en-GB"/>
        </w:rPr>
        <w:t xml:space="preserve">PHUs report on paper to the DHMT, where the data are entered and are subsequently available online through the DHIS 2.0 at district and national level. Hospitals have in recent years been added to the DHIS 2.0 system, but still have data timeliness and completeness problems. Most PHU forms and the Integrated Disease Surveillance and Response (IDSR) for all health facilities has good (90-95%) data completeness and timelines. Every week an IDSR epidemiological bulletin is published. The IDSR forms and recently also the RRIV (Report, Request and Issue Voucher) and ISSV forms have been integrated into the DHIS 2.0. </w:t>
      </w:r>
    </w:p>
    <w:p w14:paraId="5111BEA2" w14:textId="77777777" w:rsidR="00136C5E" w:rsidRPr="00610088" w:rsidRDefault="00136C5E" w:rsidP="00136C5E">
      <w:pPr>
        <w:rPr>
          <w:sz w:val="18"/>
          <w:szCs w:val="18"/>
          <w:lang w:val="en-GB"/>
        </w:rPr>
      </w:pPr>
      <w:r w:rsidRPr="00610088">
        <w:rPr>
          <w:sz w:val="18"/>
          <w:szCs w:val="18"/>
          <w:lang w:val="en-GB"/>
        </w:rPr>
        <w:t xml:space="preserve">The DHIS 2.0 system is currently hampered by lack of data tools combined with a delay in scaling up the digital data pilot, which would enable data entry at PHU level thus removing the cumbersome paper trail to district level.  Other ongoing constraints are ICT hardware constraints, data quality and the limited use of the collected data for decision making, also due to limited data quality assurance and data analysis capacity and systems. </w:t>
      </w:r>
    </w:p>
    <w:p w14:paraId="30CB33BB" w14:textId="77777777" w:rsidR="00136C5E" w:rsidRPr="00610088" w:rsidRDefault="00136C5E" w:rsidP="00136C5E">
      <w:pPr>
        <w:rPr>
          <w:sz w:val="18"/>
          <w:szCs w:val="18"/>
          <w:lang w:val="en-GB"/>
        </w:rPr>
      </w:pPr>
    </w:p>
    <w:p w14:paraId="7E8C4F77" w14:textId="2D1E0882" w:rsidR="00136C5E" w:rsidRPr="00610088" w:rsidRDefault="00136C5E" w:rsidP="00136C5E">
      <w:pPr>
        <w:rPr>
          <w:sz w:val="18"/>
          <w:szCs w:val="18"/>
          <w:lang w:val="en-GB"/>
        </w:rPr>
      </w:pPr>
      <w:r w:rsidRPr="00610088">
        <w:rPr>
          <w:sz w:val="18"/>
          <w:szCs w:val="18"/>
          <w:lang w:val="en-GB"/>
        </w:rPr>
        <w:t xml:space="preserve">Supervision is done through Integrated Supportive Supervision (ISSV) combined with special focussed supervision by separate </w:t>
      </w:r>
      <w:proofErr w:type="spellStart"/>
      <w:r w:rsidR="00156C15">
        <w:rPr>
          <w:sz w:val="18"/>
          <w:szCs w:val="18"/>
          <w:lang w:val="en-GB"/>
        </w:rPr>
        <w:t>MoHS</w:t>
      </w:r>
      <w:proofErr w:type="spellEnd"/>
      <w:r w:rsidRPr="00610088">
        <w:rPr>
          <w:sz w:val="18"/>
          <w:szCs w:val="18"/>
          <w:lang w:val="en-GB"/>
        </w:rPr>
        <w:t xml:space="preserve"> entities. </w:t>
      </w:r>
    </w:p>
    <w:p w14:paraId="67D193D2" w14:textId="77777777" w:rsidR="00136C5E" w:rsidRPr="00610088" w:rsidRDefault="00136C5E" w:rsidP="00136C5E">
      <w:pPr>
        <w:rPr>
          <w:sz w:val="18"/>
          <w:szCs w:val="18"/>
          <w:lang w:val="en-GB"/>
        </w:rPr>
      </w:pPr>
    </w:p>
    <w:p w14:paraId="6E20C869" w14:textId="77777777" w:rsidR="00136C5E" w:rsidRPr="00610088" w:rsidRDefault="00136C5E" w:rsidP="00136C5E">
      <w:pPr>
        <w:rPr>
          <w:sz w:val="18"/>
          <w:szCs w:val="18"/>
          <w:lang w:val="en-GB"/>
        </w:rPr>
      </w:pPr>
      <w:r w:rsidRPr="00610088">
        <w:rPr>
          <w:sz w:val="18"/>
          <w:szCs w:val="18"/>
          <w:lang w:val="en-GB"/>
        </w:rPr>
        <w:t>The last Health Sector Performance Review report (2016) was produced in 2017. Joint annual and mid-term reviews are irregular and could be strengthened.</w:t>
      </w:r>
    </w:p>
    <w:p w14:paraId="7AB55E46" w14:textId="77777777" w:rsidR="00136C5E" w:rsidRPr="00610088" w:rsidRDefault="00136C5E" w:rsidP="00136C5E">
      <w:pPr>
        <w:rPr>
          <w:sz w:val="18"/>
          <w:szCs w:val="18"/>
          <w:lang w:val="en-GB"/>
        </w:rPr>
      </w:pPr>
    </w:p>
    <w:p w14:paraId="1AEEA6A2" w14:textId="77777777" w:rsidR="00136C5E" w:rsidRPr="00610088" w:rsidRDefault="00136C5E" w:rsidP="00136C5E">
      <w:pPr>
        <w:rPr>
          <w:sz w:val="18"/>
          <w:szCs w:val="18"/>
          <w:lang w:val="en-GB"/>
        </w:rPr>
      </w:pPr>
      <w:r w:rsidRPr="00610088">
        <w:rPr>
          <w:sz w:val="18"/>
          <w:szCs w:val="18"/>
          <w:lang w:val="en-GB"/>
        </w:rPr>
        <w:t xml:space="preserve">Research for health is limited in the country, although an increase in research has been seen since the Ebola outbreak period, also due to limited research capacity in the country. There is no Research for health policy or strategy in Sierra Leone.  </w:t>
      </w:r>
    </w:p>
    <w:p w14:paraId="507B4A6D" w14:textId="77777777" w:rsidR="00136C5E" w:rsidRPr="00610088" w:rsidRDefault="00136C5E" w:rsidP="00136C5E">
      <w:pPr>
        <w:rPr>
          <w:sz w:val="18"/>
          <w:szCs w:val="18"/>
          <w:lang w:val="en-GB"/>
        </w:rPr>
      </w:pPr>
    </w:p>
    <w:p w14:paraId="73BFED8A" w14:textId="77777777" w:rsidR="00136C5E" w:rsidRPr="00610088" w:rsidRDefault="00136C5E" w:rsidP="00136C5E">
      <w:pPr>
        <w:rPr>
          <w:lang w:val="en-GB"/>
        </w:rPr>
      </w:pPr>
    </w:p>
    <w:p w14:paraId="5021C644" w14:textId="085B1B5B" w:rsidR="00FF70EA" w:rsidRPr="00610088" w:rsidRDefault="00FF70EA">
      <w:pPr>
        <w:rPr>
          <w:lang w:val="en-GB"/>
        </w:rPr>
      </w:pPr>
      <w:r w:rsidRPr="00610088">
        <w:rPr>
          <w:lang w:val="en-GB"/>
        </w:rPr>
        <w:br w:type="page"/>
      </w:r>
    </w:p>
    <w:p w14:paraId="7152ED78" w14:textId="554ECF76" w:rsidR="00FF70EA" w:rsidRPr="00610088" w:rsidRDefault="00FF70EA" w:rsidP="00FF70EA">
      <w:pPr>
        <w:pStyle w:val="Heading1"/>
        <w:numPr>
          <w:ilvl w:val="0"/>
          <w:numId w:val="0"/>
        </w:numPr>
        <w:ind w:left="432" w:hanging="432"/>
        <w:rPr>
          <w:lang w:val="en-GB"/>
        </w:rPr>
      </w:pPr>
      <w:bookmarkStart w:id="139" w:name="_Ref32391386"/>
      <w:bookmarkStart w:id="140" w:name="_Toc41370574"/>
      <w:r w:rsidRPr="00610088">
        <w:rPr>
          <w:lang w:val="en-GB"/>
        </w:rPr>
        <w:lastRenderedPageBreak/>
        <w:t>Annex 2:  NCD status in Sierra Leone</w:t>
      </w:r>
      <w:bookmarkEnd w:id="139"/>
      <w:bookmarkEnd w:id="140"/>
    </w:p>
    <w:p w14:paraId="3F069184" w14:textId="77777777" w:rsidR="00FF70EA" w:rsidRPr="00610088" w:rsidRDefault="00FF70EA" w:rsidP="00FF70EA">
      <w:pPr>
        <w:pStyle w:val="Heading3"/>
        <w:numPr>
          <w:ilvl w:val="0"/>
          <w:numId w:val="0"/>
        </w:numPr>
        <w:ind w:left="1288"/>
        <w:rPr>
          <w:sz w:val="18"/>
          <w:szCs w:val="18"/>
          <w:lang w:val="en-GB"/>
        </w:rPr>
      </w:pPr>
      <w:bookmarkStart w:id="141" w:name="_Ref18144845"/>
      <w:bookmarkStart w:id="142" w:name="_Ref18144851"/>
    </w:p>
    <w:p w14:paraId="156CF661" w14:textId="239FA841" w:rsidR="00FF70EA" w:rsidRPr="00610088" w:rsidRDefault="00FF70EA" w:rsidP="007A5E46">
      <w:pPr>
        <w:pStyle w:val="Subtitle"/>
        <w:rPr>
          <w:b/>
          <w:bCs/>
          <w:sz w:val="18"/>
          <w:szCs w:val="18"/>
          <w:u w:val="single"/>
          <w:lang w:val="en-GB"/>
        </w:rPr>
      </w:pPr>
      <w:r w:rsidRPr="00610088">
        <w:rPr>
          <w:b/>
          <w:bCs/>
          <w:sz w:val="18"/>
          <w:szCs w:val="18"/>
          <w:u w:val="single"/>
          <w:lang w:val="en-GB"/>
        </w:rPr>
        <w:t>General</w:t>
      </w:r>
      <w:bookmarkEnd w:id="141"/>
      <w:bookmarkEnd w:id="142"/>
    </w:p>
    <w:p w14:paraId="4D5F6D4F" w14:textId="606379B8" w:rsidR="00FF70EA" w:rsidRPr="00610088" w:rsidRDefault="00FF70EA" w:rsidP="00FF70EA">
      <w:pPr>
        <w:rPr>
          <w:sz w:val="18"/>
          <w:szCs w:val="18"/>
          <w:lang w:val="en-GB"/>
        </w:rPr>
      </w:pPr>
      <w:r w:rsidRPr="00610088">
        <w:rPr>
          <w:sz w:val="18"/>
          <w:szCs w:val="18"/>
          <w:lang w:val="en-GB"/>
        </w:rPr>
        <w:t>Non-Communicable Diseases (NCDs) including injuries contributed to 41% of mortality in Sierra Leone</w:t>
      </w:r>
      <w:bookmarkStart w:id="143" w:name="_Ref9329311"/>
      <w:r w:rsidRPr="00610088">
        <w:rPr>
          <w:sz w:val="18"/>
          <w:szCs w:val="18"/>
          <w:lang w:val="en-GB"/>
        </w:rPr>
        <w:t xml:space="preserve"> in 2016 </w:t>
      </w:r>
      <w:bookmarkStart w:id="144" w:name="_Ref16692559"/>
      <w:r w:rsidRPr="00610088">
        <w:rPr>
          <w:rStyle w:val="EndnoteReference"/>
          <w:sz w:val="18"/>
          <w:szCs w:val="18"/>
          <w:lang w:val="en-GB"/>
        </w:rPr>
        <w:endnoteReference w:id="127"/>
      </w:r>
      <w:bookmarkEnd w:id="143"/>
      <w:bookmarkEnd w:id="144"/>
      <w:r w:rsidRPr="00610088">
        <w:rPr>
          <w:sz w:val="18"/>
          <w:szCs w:val="18"/>
          <w:lang w:val="en-GB"/>
        </w:rPr>
        <w:t xml:space="preserve">, see </w:t>
      </w:r>
      <w:r w:rsidRPr="00610088">
        <w:rPr>
          <w:sz w:val="18"/>
          <w:szCs w:val="18"/>
          <w:lang w:val="en-GB"/>
        </w:rPr>
        <w:fldChar w:fldCharType="begin"/>
      </w:r>
      <w:r w:rsidRPr="00610088">
        <w:rPr>
          <w:sz w:val="18"/>
          <w:szCs w:val="18"/>
          <w:lang w:val="en-GB"/>
        </w:rPr>
        <w:instrText xml:space="preserve"> REF _Ref15418659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 xml:space="preserve">Figure </w:t>
      </w:r>
      <w:r w:rsidR="00CB360C" w:rsidRPr="00CB360C">
        <w:rPr>
          <w:noProof/>
          <w:sz w:val="18"/>
          <w:szCs w:val="18"/>
          <w:lang w:val="en-GB"/>
        </w:rPr>
        <w:t>8</w:t>
      </w:r>
      <w:r w:rsidRPr="00610088">
        <w:rPr>
          <w:sz w:val="18"/>
          <w:szCs w:val="18"/>
          <w:lang w:val="en-GB"/>
        </w:rPr>
        <w:fldChar w:fldCharType="end"/>
      </w:r>
      <w:r w:rsidRPr="00610088">
        <w:rPr>
          <w:sz w:val="18"/>
          <w:szCs w:val="18"/>
          <w:lang w:val="en-GB"/>
        </w:rPr>
        <w:t>. It is estimated that there are 29,700 deaths every year in Sierra Leone because of NCDs, of which 14,000 males and 15,700 females. Sierra Leone is not on track to reach the 2025 global target (25% reduction of premature death from the 4 main NCDs) for females, see</w:t>
      </w:r>
      <w:r w:rsidRPr="00610088">
        <w:rPr>
          <w:sz w:val="18"/>
          <w:szCs w:val="18"/>
          <w:lang w:val="en-GB"/>
        </w:rPr>
        <w:fldChar w:fldCharType="begin"/>
      </w:r>
      <w:r w:rsidRPr="00610088">
        <w:rPr>
          <w:sz w:val="18"/>
          <w:szCs w:val="18"/>
          <w:lang w:val="en-GB"/>
        </w:rPr>
        <w:instrText xml:space="preserve"> REF _Ref15420094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 xml:space="preserve">  Figure </w:t>
      </w:r>
      <w:r w:rsidR="00CB360C" w:rsidRPr="00CB360C">
        <w:rPr>
          <w:noProof/>
          <w:sz w:val="18"/>
          <w:szCs w:val="18"/>
          <w:lang w:val="en-GB"/>
        </w:rPr>
        <w:t>9</w:t>
      </w:r>
      <w:r w:rsidRPr="00610088">
        <w:rPr>
          <w:sz w:val="18"/>
          <w:szCs w:val="18"/>
          <w:lang w:val="en-GB"/>
        </w:rPr>
        <w:fldChar w:fldCharType="end"/>
      </w:r>
      <w:r w:rsidRPr="00610088">
        <w:rPr>
          <w:sz w:val="18"/>
          <w:szCs w:val="18"/>
          <w:lang w:val="en-GB"/>
        </w:rPr>
        <w:t>.  The 2016 premature death risk in Sierra Leone was 30% (male 28%, female 33%).</w:t>
      </w:r>
      <w:r w:rsidRPr="00610088">
        <w:rPr>
          <w:sz w:val="18"/>
          <w:szCs w:val="18"/>
          <w:vertAlign w:val="superscript"/>
          <w:lang w:val="en-GB"/>
        </w:rPr>
        <w:fldChar w:fldCharType="begin"/>
      </w:r>
      <w:r w:rsidRPr="00610088">
        <w:rPr>
          <w:sz w:val="18"/>
          <w:szCs w:val="18"/>
          <w:vertAlign w:val="superscript"/>
          <w:lang w:val="en-GB"/>
        </w:rPr>
        <w:instrText xml:space="preserve"> NOTEREF _Ref9329311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vertAlign w:val="superscript"/>
          <w:lang w:val="en-GB"/>
        </w:rPr>
        <w:t>,</w:t>
      </w:r>
      <w:bookmarkStart w:id="145" w:name="_Ref9330411"/>
      <w:r w:rsidRPr="00610088">
        <w:rPr>
          <w:rStyle w:val="EndnoteReference"/>
          <w:sz w:val="18"/>
          <w:szCs w:val="18"/>
          <w:lang w:val="en-GB"/>
        </w:rPr>
        <w:endnoteReference w:id="128"/>
      </w:r>
      <w:bookmarkEnd w:id="145"/>
      <w:r w:rsidRPr="00610088">
        <w:rPr>
          <w:sz w:val="18"/>
          <w:szCs w:val="18"/>
          <w:vertAlign w:val="superscript"/>
          <w:lang w:val="en-GB"/>
        </w:rPr>
        <w:t xml:space="preserve">  </w:t>
      </w:r>
      <w:r w:rsidRPr="00610088">
        <w:rPr>
          <w:sz w:val="18"/>
          <w:szCs w:val="18"/>
          <w:lang w:val="en-GB"/>
        </w:rPr>
        <w:t xml:space="preserve">It is estimated 9700 lives can be saved in Sierra Leone by 2025 by implementing all WHO “best buys”, which are cost-effective evidence-based NCD interventions which are further discussed in section </w:t>
      </w:r>
      <w:r w:rsidRPr="00610088">
        <w:rPr>
          <w:sz w:val="18"/>
          <w:szCs w:val="18"/>
          <w:lang w:val="en-GB"/>
        </w:rPr>
        <w:fldChar w:fldCharType="begin"/>
      </w:r>
      <w:r w:rsidRPr="00610088">
        <w:rPr>
          <w:sz w:val="18"/>
          <w:szCs w:val="18"/>
          <w:lang w:val="en-GB"/>
        </w:rPr>
        <w:instrText xml:space="preserve"> REF _Ref16767635 \w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Pr>
          <w:sz w:val="18"/>
          <w:szCs w:val="18"/>
          <w:lang w:val="en-GB"/>
        </w:rPr>
        <w:t>2.3.1</w:t>
      </w:r>
      <w:r w:rsidRPr="00610088">
        <w:rPr>
          <w:sz w:val="18"/>
          <w:szCs w:val="18"/>
          <w:lang w:val="en-GB"/>
        </w:rPr>
        <w:fldChar w:fldCharType="end"/>
      </w:r>
      <w:r w:rsidRPr="00610088">
        <w:rPr>
          <w:sz w:val="18"/>
          <w:szCs w:val="18"/>
          <w:lang w:val="en-GB"/>
        </w:rPr>
        <w:t xml:space="preserve">. </w:t>
      </w:r>
      <w:r w:rsidRPr="00610088">
        <w:rPr>
          <w:sz w:val="18"/>
          <w:szCs w:val="18"/>
          <w:lang w:val="en-GB"/>
        </w:rPr>
        <w:fldChar w:fldCharType="begin"/>
      </w:r>
      <w:r w:rsidRPr="00610088">
        <w:rPr>
          <w:sz w:val="18"/>
          <w:szCs w:val="18"/>
          <w:lang w:val="en-GB"/>
        </w:rPr>
        <w:instrText xml:space="preserve"> NOTEREF _Ref15419966 \f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32</w:t>
      </w:r>
      <w:r w:rsidRPr="00610088">
        <w:rPr>
          <w:sz w:val="18"/>
          <w:szCs w:val="18"/>
          <w:lang w:val="en-GB"/>
        </w:rPr>
        <w:fldChar w:fldCharType="end"/>
      </w:r>
      <w:r w:rsidRPr="00610088">
        <w:rPr>
          <w:sz w:val="18"/>
          <w:szCs w:val="18"/>
          <w:vertAlign w:val="superscript"/>
          <w:lang w:val="en-GB"/>
        </w:rPr>
        <w:t xml:space="preserve"> </w:t>
      </w:r>
    </w:p>
    <w:p w14:paraId="60F13B26" w14:textId="77777777" w:rsidR="00FF70EA" w:rsidRPr="00610088" w:rsidRDefault="00FF70EA" w:rsidP="00FF70EA">
      <w:pPr>
        <w:rPr>
          <w:sz w:val="18"/>
          <w:szCs w:val="18"/>
          <w:vertAlign w:val="superscript"/>
          <w:lang w:val="en-GB"/>
        </w:rPr>
      </w:pPr>
    </w:p>
    <w:p w14:paraId="21771DA3" w14:textId="77777777" w:rsidR="00FF70EA" w:rsidRPr="00610088" w:rsidRDefault="00FF70EA" w:rsidP="007A5E46">
      <w:pPr>
        <w:pStyle w:val="EndnoteText"/>
        <w:rPr>
          <w:rStyle w:val="EndnoteReference"/>
          <w:szCs w:val="18"/>
          <w:vertAlign w:val="baseline"/>
          <w:lang w:val="en-GB"/>
        </w:rPr>
      </w:pPr>
      <w:r w:rsidRPr="00610088">
        <w:rPr>
          <w:noProof/>
          <w:szCs w:val="18"/>
          <w:lang w:val="en-GB"/>
        </w:rPr>
        <w:drawing>
          <wp:inline distT="0" distB="0" distL="0" distR="0" wp14:anchorId="71601EB7" wp14:editId="6A6EF478">
            <wp:extent cx="2729653" cy="1604010"/>
            <wp:effectExtent l="0" t="0" r="1397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610088">
        <w:rPr>
          <w:szCs w:val="18"/>
          <w:lang w:val="en-GB"/>
        </w:rPr>
        <w:t xml:space="preserve">  </w:t>
      </w:r>
      <w:r w:rsidRPr="00610088">
        <w:rPr>
          <w:noProof/>
          <w:szCs w:val="18"/>
          <w:lang w:val="en-GB"/>
        </w:rPr>
        <w:drawing>
          <wp:inline distT="0" distB="0" distL="0" distR="0" wp14:anchorId="511DA7B4" wp14:editId="79B7838C">
            <wp:extent cx="2823060" cy="1593003"/>
            <wp:effectExtent l="12700" t="12700" r="9525"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shot 2019-07-30 at 10.51.10 PM.png"/>
                    <pic:cNvPicPr/>
                  </pic:nvPicPr>
                  <pic:blipFill>
                    <a:blip r:embed="rId23">
                      <a:extLst>
                        <a:ext uri="{28A0092B-C50C-407E-A947-70E740481C1C}">
                          <a14:useLocalDpi xmlns:a14="http://schemas.microsoft.com/office/drawing/2010/main" val="0"/>
                        </a:ext>
                      </a:extLst>
                    </a:blip>
                    <a:stretch>
                      <a:fillRect/>
                    </a:stretch>
                  </pic:blipFill>
                  <pic:spPr>
                    <a:xfrm>
                      <a:off x="0" y="0"/>
                      <a:ext cx="2841100" cy="1603183"/>
                    </a:xfrm>
                    <a:prstGeom prst="rect">
                      <a:avLst/>
                    </a:prstGeom>
                    <a:ln>
                      <a:solidFill>
                        <a:prstClr val="black"/>
                      </a:solidFill>
                    </a:ln>
                  </pic:spPr>
                </pic:pic>
              </a:graphicData>
            </a:graphic>
          </wp:inline>
        </w:drawing>
      </w:r>
    </w:p>
    <w:p w14:paraId="71B8C137" w14:textId="4035B6C5" w:rsidR="00FF70EA" w:rsidRPr="00610088" w:rsidRDefault="00FF70EA" w:rsidP="007A5E46">
      <w:pPr>
        <w:pStyle w:val="Caption"/>
        <w:rPr>
          <w:lang w:val="en-GB"/>
        </w:rPr>
      </w:pPr>
      <w:bookmarkStart w:id="146" w:name="_Ref15418659"/>
      <w:bookmarkStart w:id="147" w:name="_Toc34804978"/>
      <w:r w:rsidRPr="00610088">
        <w:rPr>
          <w:lang w:val="en-GB"/>
        </w:rPr>
        <w:t xml:space="preserve">Figure </w:t>
      </w:r>
      <w:r w:rsidRPr="00610088">
        <w:rPr>
          <w:lang w:val="en-GB"/>
        </w:rPr>
        <w:fldChar w:fldCharType="begin"/>
      </w:r>
      <w:r w:rsidRPr="00610088">
        <w:rPr>
          <w:lang w:val="en-GB"/>
        </w:rPr>
        <w:instrText xml:space="preserve"> SEQ Figure \* ARABIC </w:instrText>
      </w:r>
      <w:r w:rsidRPr="00610088">
        <w:rPr>
          <w:lang w:val="en-GB"/>
        </w:rPr>
        <w:fldChar w:fldCharType="separate"/>
      </w:r>
      <w:r w:rsidR="00CB360C">
        <w:rPr>
          <w:noProof/>
          <w:lang w:val="en-GB"/>
        </w:rPr>
        <w:t>8</w:t>
      </w:r>
      <w:r w:rsidRPr="00610088">
        <w:rPr>
          <w:lang w:val="en-GB"/>
        </w:rPr>
        <w:fldChar w:fldCharType="end"/>
      </w:r>
      <w:bookmarkEnd w:id="146"/>
      <w:r w:rsidRPr="00610088">
        <w:rPr>
          <w:lang w:val="en-GB"/>
        </w:rPr>
        <w:t xml:space="preserve">: Estimated Sierra Leone Mortality contributions – </w:t>
      </w:r>
      <w:proofErr w:type="gramStart"/>
      <w:r w:rsidRPr="00610088">
        <w:rPr>
          <w:lang w:val="en-GB"/>
        </w:rPr>
        <w:t>2016</w:t>
      </w:r>
      <w:bookmarkStart w:id="148" w:name="_Ref15420094"/>
      <w:r w:rsidR="007A5E46" w:rsidRPr="00610088">
        <w:rPr>
          <w:lang w:val="en-GB"/>
        </w:rPr>
        <w:t xml:space="preserve"> </w:t>
      </w:r>
      <w:r w:rsidRPr="00610088">
        <w:rPr>
          <w:lang w:val="en-GB"/>
        </w:rPr>
        <w:t xml:space="preserve"> Figure</w:t>
      </w:r>
      <w:proofErr w:type="gramEnd"/>
      <w:r w:rsidRPr="00610088">
        <w:rPr>
          <w:lang w:val="en-GB"/>
        </w:rPr>
        <w:t xml:space="preserve"> </w:t>
      </w:r>
      <w:r w:rsidRPr="00610088">
        <w:rPr>
          <w:lang w:val="en-GB"/>
        </w:rPr>
        <w:fldChar w:fldCharType="begin"/>
      </w:r>
      <w:r w:rsidRPr="00610088">
        <w:rPr>
          <w:lang w:val="en-GB"/>
        </w:rPr>
        <w:instrText xml:space="preserve"> SEQ Figure \* ARABIC </w:instrText>
      </w:r>
      <w:r w:rsidRPr="00610088">
        <w:rPr>
          <w:lang w:val="en-GB"/>
        </w:rPr>
        <w:fldChar w:fldCharType="separate"/>
      </w:r>
      <w:r w:rsidR="00CB360C">
        <w:rPr>
          <w:noProof/>
          <w:lang w:val="en-GB"/>
        </w:rPr>
        <w:t>9</w:t>
      </w:r>
      <w:r w:rsidRPr="00610088">
        <w:rPr>
          <w:noProof/>
          <w:lang w:val="en-GB"/>
        </w:rPr>
        <w:fldChar w:fldCharType="end"/>
      </w:r>
      <w:bookmarkEnd w:id="148"/>
      <w:r w:rsidRPr="00610088">
        <w:rPr>
          <w:lang w:val="en-GB"/>
        </w:rPr>
        <w:t>: Projected premature mortality trends against global voluntary mortality reduction targets, 2016-2025</w:t>
      </w:r>
      <w:bookmarkEnd w:id="147"/>
    </w:p>
    <w:p w14:paraId="57D9545D" w14:textId="77777777" w:rsidR="00FF70EA" w:rsidRPr="00610088" w:rsidRDefault="00FF70EA" w:rsidP="00FF70EA">
      <w:pPr>
        <w:rPr>
          <w:sz w:val="18"/>
          <w:szCs w:val="18"/>
          <w:lang w:val="en-GB"/>
        </w:rPr>
      </w:pPr>
      <w:r w:rsidRPr="00610088">
        <w:rPr>
          <w:sz w:val="18"/>
          <w:szCs w:val="18"/>
          <w:lang w:val="en-GB"/>
        </w:rPr>
        <w:t>In the top 10 causes of death for 2017 ischemic heart disease and stroke rank 4</w:t>
      </w:r>
      <w:r w:rsidRPr="00610088">
        <w:rPr>
          <w:sz w:val="18"/>
          <w:szCs w:val="18"/>
          <w:vertAlign w:val="superscript"/>
          <w:lang w:val="en-GB"/>
        </w:rPr>
        <w:t>th</w:t>
      </w:r>
      <w:r w:rsidRPr="00610088">
        <w:rPr>
          <w:sz w:val="18"/>
          <w:szCs w:val="18"/>
          <w:lang w:val="en-GB"/>
        </w:rPr>
        <w:t xml:space="preserve"> and 6</w:t>
      </w:r>
      <w:r w:rsidRPr="00610088">
        <w:rPr>
          <w:sz w:val="18"/>
          <w:szCs w:val="18"/>
          <w:vertAlign w:val="superscript"/>
          <w:lang w:val="en-GB"/>
        </w:rPr>
        <w:t>th</w:t>
      </w:r>
      <w:r w:rsidRPr="00610088">
        <w:rPr>
          <w:sz w:val="18"/>
          <w:szCs w:val="18"/>
          <w:lang w:val="en-GB"/>
        </w:rPr>
        <w:t xml:space="preserve"> respectively, showing a respective 17.0% and 16.7% increase in deaths from 2007. Ischemic heart disease ranks 10</w:t>
      </w:r>
      <w:r w:rsidRPr="00610088">
        <w:rPr>
          <w:sz w:val="18"/>
          <w:szCs w:val="18"/>
          <w:vertAlign w:val="superscript"/>
          <w:lang w:val="en-GB"/>
        </w:rPr>
        <w:t>th</w:t>
      </w:r>
      <w:r w:rsidRPr="00610088">
        <w:rPr>
          <w:sz w:val="18"/>
          <w:szCs w:val="18"/>
          <w:lang w:val="en-GB"/>
        </w:rPr>
        <w:t xml:space="preserve"> in the top 10 of premature death causes, with a 17.6% increase of premature deaths from 2007. Six NCD conditions (headache disorders, low back pain, depressive disorders, diabetes, blindness and vision impairment and age-related hearing loss) are in the top 10 of disability causes. There are 7 NCD risk factors (air pollution, high blood pressure, dietary risks, alcohol use, tobacco, high fasting plasma blood glucose and high body mass index) out of the top-10 of risk factors for death and disability combined in Sierra Leone. </w:t>
      </w:r>
      <w:bookmarkStart w:id="149" w:name="_Ref16768610"/>
      <w:r w:rsidRPr="00610088">
        <w:rPr>
          <w:rStyle w:val="EndnoteReference"/>
          <w:sz w:val="18"/>
          <w:szCs w:val="18"/>
          <w:lang w:val="en-GB"/>
        </w:rPr>
        <w:endnoteReference w:id="129"/>
      </w:r>
      <w:bookmarkEnd w:id="149"/>
    </w:p>
    <w:p w14:paraId="47865784" w14:textId="77777777" w:rsidR="00FF70EA" w:rsidRPr="00610088" w:rsidRDefault="00FF70EA" w:rsidP="00FF70EA">
      <w:pPr>
        <w:rPr>
          <w:sz w:val="18"/>
          <w:szCs w:val="18"/>
          <w:lang w:val="en-GB"/>
        </w:rPr>
      </w:pPr>
    </w:p>
    <w:p w14:paraId="07D833BB" w14:textId="2C47E424" w:rsidR="00FF70EA" w:rsidRPr="00610088" w:rsidRDefault="00FF70EA" w:rsidP="00FF70EA">
      <w:pPr>
        <w:rPr>
          <w:sz w:val="18"/>
          <w:szCs w:val="18"/>
          <w:lang w:val="en-GB"/>
        </w:rPr>
      </w:pPr>
      <w:r w:rsidRPr="00610088">
        <w:rPr>
          <w:sz w:val="18"/>
          <w:szCs w:val="18"/>
          <w:lang w:val="en-GB"/>
        </w:rPr>
        <w:t xml:space="preserve">The </w:t>
      </w:r>
      <w:proofErr w:type="spellStart"/>
      <w:r w:rsidR="00156C15">
        <w:rPr>
          <w:sz w:val="18"/>
          <w:szCs w:val="18"/>
          <w:lang w:val="en-GB"/>
        </w:rPr>
        <w:t>MoHS</w:t>
      </w:r>
      <w:proofErr w:type="spellEnd"/>
      <w:r w:rsidRPr="00610088">
        <w:rPr>
          <w:sz w:val="18"/>
          <w:szCs w:val="18"/>
          <w:lang w:val="en-GB"/>
        </w:rPr>
        <w:t xml:space="preserve"> DHIS 2.0 data for 2018 (see </w:t>
      </w:r>
      <w:r w:rsidRPr="00610088">
        <w:rPr>
          <w:sz w:val="18"/>
          <w:szCs w:val="18"/>
          <w:lang w:val="en-GB"/>
        </w:rPr>
        <w:fldChar w:fldCharType="begin"/>
      </w:r>
      <w:r w:rsidRPr="00610088">
        <w:rPr>
          <w:sz w:val="18"/>
          <w:szCs w:val="18"/>
          <w:lang w:val="en-GB"/>
        </w:rPr>
        <w:instrText xml:space="preserve"> REF _Ref18143628 \h </w:instrText>
      </w:r>
      <w:r w:rsidR="00370881"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Table 4</w:t>
      </w:r>
      <w:r w:rsidRPr="00610088">
        <w:rPr>
          <w:sz w:val="18"/>
          <w:szCs w:val="18"/>
          <w:lang w:val="en-GB"/>
        </w:rPr>
        <w:fldChar w:fldCharType="end"/>
      </w:r>
      <w:r w:rsidRPr="00610088">
        <w:rPr>
          <w:sz w:val="18"/>
          <w:szCs w:val="18"/>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_Ref16718151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153</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show that at least 3.7% (n=181,645) of conditions presented to facilities that report to the DHIS are NCDs (PHU 2.8%, Hospital outpatient 19.0% and Hospital inpatient 13.4%). It should be noted that service delivery has limited focus on NCDs and in line with that the DHIS 2.0 data tools are not well-designed to capture all key NCDs and their risk factors and might be captured in a group with “other conditions”. Also, the data completeness of the hospital forms for 2018 is around 65%, however the PHU forms have a high completeness of over 98%.</w:t>
      </w:r>
    </w:p>
    <w:p w14:paraId="0C453912" w14:textId="77777777" w:rsidR="00FF70EA" w:rsidRPr="00610088" w:rsidRDefault="00FF70EA" w:rsidP="00FF70EA">
      <w:pPr>
        <w:rPr>
          <w:sz w:val="18"/>
          <w:szCs w:val="18"/>
          <w:lang w:val="en-GB"/>
        </w:rPr>
      </w:pPr>
    </w:p>
    <w:p w14:paraId="56AB1A7D" w14:textId="14F3AAC9" w:rsidR="00FF70EA" w:rsidRPr="00F0634E" w:rsidRDefault="00FF70EA" w:rsidP="00FF70EA">
      <w:pPr>
        <w:pStyle w:val="NoSpacing"/>
        <w:rPr>
          <w:color w:val="4472C4" w:themeColor="accent1"/>
          <w:sz w:val="18"/>
          <w:szCs w:val="18"/>
          <w:lang w:val="en-GB"/>
        </w:rPr>
      </w:pPr>
      <w:bookmarkStart w:id="150" w:name="_Ref18143628"/>
      <w:bookmarkStart w:id="151" w:name="_Toc34804982"/>
      <w:r w:rsidRPr="00F0634E">
        <w:rPr>
          <w:color w:val="4472C4" w:themeColor="accent1"/>
          <w:sz w:val="18"/>
          <w:szCs w:val="18"/>
          <w:lang w:val="en-GB"/>
        </w:rPr>
        <w:t xml:space="preserve">Table </w:t>
      </w:r>
      <w:r w:rsidRPr="00F0634E">
        <w:rPr>
          <w:color w:val="4472C4" w:themeColor="accent1"/>
          <w:sz w:val="18"/>
          <w:szCs w:val="18"/>
          <w:lang w:val="en-GB"/>
        </w:rPr>
        <w:fldChar w:fldCharType="begin"/>
      </w:r>
      <w:r w:rsidRPr="00F0634E">
        <w:rPr>
          <w:color w:val="4472C4" w:themeColor="accent1"/>
          <w:sz w:val="18"/>
          <w:szCs w:val="18"/>
          <w:lang w:val="en-GB"/>
        </w:rPr>
        <w:instrText xml:space="preserve"> SEQ Table \* ARABIC </w:instrText>
      </w:r>
      <w:r w:rsidRPr="00F0634E">
        <w:rPr>
          <w:color w:val="4472C4" w:themeColor="accent1"/>
          <w:sz w:val="18"/>
          <w:szCs w:val="18"/>
          <w:lang w:val="en-GB"/>
        </w:rPr>
        <w:fldChar w:fldCharType="separate"/>
      </w:r>
      <w:r w:rsidR="00CB360C">
        <w:rPr>
          <w:noProof/>
          <w:color w:val="4472C4" w:themeColor="accent1"/>
          <w:sz w:val="18"/>
          <w:szCs w:val="18"/>
          <w:lang w:val="en-GB"/>
        </w:rPr>
        <w:t>4</w:t>
      </w:r>
      <w:r w:rsidRPr="00F0634E">
        <w:rPr>
          <w:color w:val="4472C4" w:themeColor="accent1"/>
          <w:sz w:val="18"/>
          <w:szCs w:val="18"/>
          <w:lang w:val="en-GB"/>
        </w:rPr>
        <w:fldChar w:fldCharType="end"/>
      </w:r>
      <w:bookmarkEnd w:id="150"/>
      <w:r w:rsidRPr="00F0634E">
        <w:rPr>
          <w:color w:val="4472C4" w:themeColor="accent1"/>
          <w:sz w:val="18"/>
          <w:szCs w:val="18"/>
          <w:lang w:val="en-GB"/>
        </w:rPr>
        <w:t>: 2018 Morbidities in DHIS 2.0 by level and type*</w:t>
      </w:r>
      <w:r w:rsidRPr="00F0634E">
        <w:rPr>
          <w:color w:val="4472C4" w:themeColor="accent1"/>
          <w:sz w:val="18"/>
          <w:szCs w:val="18"/>
          <w:vertAlign w:val="superscript"/>
          <w:lang w:val="en-GB"/>
        </w:rPr>
        <w:fldChar w:fldCharType="begin"/>
      </w:r>
      <w:r w:rsidRPr="00F0634E">
        <w:rPr>
          <w:color w:val="4472C4" w:themeColor="accent1"/>
          <w:sz w:val="18"/>
          <w:szCs w:val="18"/>
          <w:vertAlign w:val="superscript"/>
          <w:lang w:val="en-GB"/>
        </w:rPr>
        <w:instrText xml:space="preserve"> NOTEREF _Ref16718151 \h  \* MERGEFORMAT </w:instrText>
      </w:r>
      <w:r w:rsidRPr="00F0634E">
        <w:rPr>
          <w:color w:val="4472C4" w:themeColor="accent1"/>
          <w:sz w:val="18"/>
          <w:szCs w:val="18"/>
          <w:vertAlign w:val="superscript"/>
          <w:lang w:val="en-GB"/>
        </w:rPr>
      </w:r>
      <w:r w:rsidRPr="00F0634E">
        <w:rPr>
          <w:color w:val="4472C4" w:themeColor="accent1"/>
          <w:sz w:val="18"/>
          <w:szCs w:val="18"/>
          <w:vertAlign w:val="superscript"/>
          <w:lang w:val="en-GB"/>
        </w:rPr>
        <w:fldChar w:fldCharType="separate"/>
      </w:r>
      <w:r w:rsidR="00CB360C">
        <w:rPr>
          <w:color w:val="4472C4" w:themeColor="accent1"/>
          <w:sz w:val="18"/>
          <w:szCs w:val="18"/>
          <w:vertAlign w:val="superscript"/>
          <w:lang w:val="en-GB"/>
        </w:rPr>
        <w:t>153</w:t>
      </w:r>
      <w:bookmarkEnd w:id="151"/>
      <w:r w:rsidRPr="00F0634E">
        <w:rPr>
          <w:color w:val="4472C4" w:themeColor="accent1"/>
          <w:sz w:val="18"/>
          <w:szCs w:val="18"/>
          <w:vertAlign w:val="superscript"/>
          <w:lang w:val="en-GB"/>
        </w:rPr>
        <w:fldChar w:fldCharType="end"/>
      </w:r>
    </w:p>
    <w:tbl>
      <w:tblPr>
        <w:tblStyle w:val="GridTable4-Accent1"/>
        <w:tblW w:w="9788" w:type="dxa"/>
        <w:tblLook w:val="04A0" w:firstRow="1" w:lastRow="0" w:firstColumn="1" w:lastColumn="0" w:noHBand="0" w:noVBand="1"/>
      </w:tblPr>
      <w:tblGrid>
        <w:gridCol w:w="3077"/>
        <w:gridCol w:w="1109"/>
        <w:gridCol w:w="668"/>
        <w:gridCol w:w="966"/>
        <w:gridCol w:w="705"/>
        <w:gridCol w:w="1054"/>
        <w:gridCol w:w="668"/>
        <w:gridCol w:w="873"/>
        <w:gridCol w:w="668"/>
      </w:tblGrid>
      <w:tr w:rsidR="00FF70EA" w:rsidRPr="00610088" w14:paraId="78DDB4D9" w14:textId="77777777" w:rsidTr="00FF7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241B07" w14:textId="77777777" w:rsidR="00FF70EA" w:rsidRPr="00610088" w:rsidRDefault="00FF70EA" w:rsidP="00FF70EA">
            <w:pPr>
              <w:jc w:val="center"/>
              <w:rPr>
                <w:rFonts w:ascii="Arial Narrow" w:eastAsia="Times New Roman" w:hAnsi="Arial Narrow" w:cs="Times New Roman"/>
                <w:color w:val="000000"/>
                <w:sz w:val="18"/>
                <w:szCs w:val="18"/>
                <w:lang w:val="en-GB" w:eastAsia="en-GB"/>
              </w:rPr>
            </w:pPr>
            <w:r w:rsidRPr="00610088">
              <w:rPr>
                <w:rFonts w:ascii="Arial Narrow" w:hAnsi="Arial Narrow"/>
                <w:sz w:val="18"/>
                <w:szCs w:val="18"/>
                <w:lang w:val="en-GB"/>
              </w:rPr>
              <w:t>Morbidity**</w:t>
            </w:r>
          </w:p>
        </w:tc>
        <w:tc>
          <w:tcPr>
            <w:tcW w:w="17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2DD1C7" w14:textId="77777777" w:rsidR="00FF70EA" w:rsidRPr="00610088" w:rsidRDefault="00FF70EA" w:rsidP="00FF70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lang w:val="en-GB" w:eastAsia="en-GB"/>
              </w:rPr>
            </w:pPr>
            <w:r w:rsidRPr="00610088">
              <w:rPr>
                <w:rFonts w:ascii="Arial Narrow" w:eastAsia="Times New Roman" w:hAnsi="Arial Narrow" w:cs="Times New Roman"/>
                <w:sz w:val="18"/>
                <w:szCs w:val="18"/>
                <w:lang w:val="en-GB" w:eastAsia="en-GB"/>
              </w:rPr>
              <w:t>PHU (PHUF1)</w:t>
            </w:r>
          </w:p>
        </w:tc>
        <w:tc>
          <w:tcPr>
            <w:tcW w:w="167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D5B169" w14:textId="77777777" w:rsidR="00FF70EA" w:rsidRPr="00610088" w:rsidRDefault="00FF70EA" w:rsidP="00FF70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lang w:val="en-GB" w:eastAsia="en-GB"/>
              </w:rPr>
            </w:pPr>
            <w:r w:rsidRPr="00610088">
              <w:rPr>
                <w:rFonts w:ascii="Arial Narrow" w:eastAsia="Times New Roman" w:hAnsi="Arial Narrow" w:cs="Times New Roman"/>
                <w:sz w:val="18"/>
                <w:szCs w:val="18"/>
                <w:lang w:val="en-GB" w:eastAsia="en-GB"/>
              </w:rPr>
              <w:t>Hospital Outpatient (F1)</w:t>
            </w:r>
          </w:p>
        </w:tc>
        <w:tc>
          <w:tcPr>
            <w:tcW w:w="17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3D532" w14:textId="77777777" w:rsidR="00FF70EA" w:rsidRPr="00610088" w:rsidRDefault="00FF70EA" w:rsidP="00FF70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lang w:val="en-GB" w:eastAsia="en-GB"/>
              </w:rPr>
            </w:pPr>
            <w:r w:rsidRPr="00610088">
              <w:rPr>
                <w:rFonts w:ascii="Arial Narrow" w:eastAsia="Times New Roman" w:hAnsi="Arial Narrow" w:cs="Times New Roman"/>
                <w:sz w:val="18"/>
                <w:szCs w:val="18"/>
                <w:lang w:val="en-GB" w:eastAsia="en-GB"/>
              </w:rPr>
              <w:t>Hospital Inpatient (F2)</w:t>
            </w:r>
          </w:p>
        </w:tc>
        <w:tc>
          <w:tcPr>
            <w:tcW w:w="15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16C705" w14:textId="77777777" w:rsidR="00FF70EA" w:rsidRPr="00610088" w:rsidRDefault="00FF70EA" w:rsidP="00FF70EA">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18"/>
                <w:szCs w:val="18"/>
                <w:lang w:val="en-GB" w:eastAsia="en-GB"/>
              </w:rPr>
            </w:pPr>
            <w:r w:rsidRPr="00610088">
              <w:rPr>
                <w:rFonts w:ascii="Arial Narrow" w:eastAsia="Times New Roman" w:hAnsi="Arial Narrow" w:cs="Times New Roman"/>
                <w:sz w:val="18"/>
                <w:szCs w:val="18"/>
                <w:lang w:val="en-GB" w:eastAsia="en-GB"/>
              </w:rPr>
              <w:t>Total</w:t>
            </w:r>
          </w:p>
        </w:tc>
      </w:tr>
      <w:tr w:rsidR="00FF70EA" w:rsidRPr="00610088" w14:paraId="048F267E"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E536" w14:textId="77777777" w:rsidR="00FF70EA" w:rsidRPr="00610088" w:rsidRDefault="00FF70EA" w:rsidP="00FF70EA">
            <w:pPr>
              <w:jc w:val="center"/>
              <w:rPr>
                <w:rFonts w:ascii="Arial Narrow" w:eastAsia="Times New Roman" w:hAnsi="Arial Narrow" w:cs="Times New Roman"/>
                <w:color w:val="000000"/>
                <w:sz w:val="18"/>
                <w:szCs w:val="18"/>
                <w:lang w:val="en-GB" w:eastAsia="en-GB"/>
              </w:rPr>
            </w:pPr>
          </w:p>
        </w:tc>
        <w:tc>
          <w:tcPr>
            <w:tcW w:w="11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1BB9368A"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Number</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2B6E119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w:t>
            </w:r>
          </w:p>
        </w:tc>
        <w:tc>
          <w:tcPr>
            <w:tcW w:w="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38A5B64E"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Number</w:t>
            </w: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484FB01E"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w:t>
            </w:r>
          </w:p>
        </w:tc>
        <w:tc>
          <w:tcPr>
            <w:tcW w:w="10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34244A5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Number</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6F43A99D"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w:t>
            </w:r>
          </w:p>
        </w:tc>
        <w:tc>
          <w:tcPr>
            <w:tcW w:w="8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11CEE1FA"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Number</w:t>
            </w:r>
          </w:p>
        </w:tc>
        <w:tc>
          <w:tcPr>
            <w:tcW w:w="6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48BFE3B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FFFFFF" w:themeColor="background1"/>
                <w:sz w:val="18"/>
                <w:szCs w:val="18"/>
                <w:lang w:val="en-GB" w:eastAsia="en-GB"/>
              </w:rPr>
            </w:pPr>
            <w:r w:rsidRPr="00610088">
              <w:rPr>
                <w:rFonts w:ascii="Arial Narrow" w:eastAsia="Times New Roman" w:hAnsi="Arial Narrow" w:cs="Times New Roman"/>
                <w:color w:val="FFFFFF" w:themeColor="background1"/>
                <w:sz w:val="18"/>
                <w:szCs w:val="18"/>
                <w:lang w:val="en-GB" w:eastAsia="en-GB"/>
              </w:rPr>
              <w:t>%</w:t>
            </w:r>
          </w:p>
        </w:tc>
      </w:tr>
      <w:tr w:rsidR="00FF70EA" w:rsidRPr="00610088" w14:paraId="0E1C5587" w14:textId="77777777" w:rsidTr="00FF70EA">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FFFFFF" w:themeColor="background1"/>
            </w:tcBorders>
          </w:tcPr>
          <w:p w14:paraId="02C468CC"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color w:val="000000"/>
                <w:sz w:val="18"/>
                <w:szCs w:val="18"/>
                <w:lang w:val="en-GB" w:eastAsia="en-GB"/>
              </w:rPr>
              <w:t>Communicable/ infectious diseases</w:t>
            </w:r>
            <w:r w:rsidRPr="00610088">
              <w:rPr>
                <w:rFonts w:ascii="Arial Narrow" w:eastAsia="Times New Roman" w:hAnsi="Arial Narrow" w:cs="Times New Roman"/>
                <w:b w:val="0"/>
                <w:bCs w:val="0"/>
                <w:color w:val="000000"/>
                <w:sz w:val="18"/>
                <w:szCs w:val="18"/>
                <w:lang w:val="en-GB" w:eastAsia="en-GB"/>
              </w:rPr>
              <w:t xml:space="preserve"> (incl. eye infection) ***</w:t>
            </w:r>
          </w:p>
        </w:tc>
        <w:tc>
          <w:tcPr>
            <w:tcW w:w="1109" w:type="dxa"/>
            <w:tcBorders>
              <w:top w:val="single" w:sz="4" w:space="0" w:color="FFFFFF" w:themeColor="background1"/>
            </w:tcBorders>
          </w:tcPr>
          <w:p w14:paraId="43F5165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3,697,097</w:t>
            </w:r>
          </w:p>
        </w:tc>
        <w:tc>
          <w:tcPr>
            <w:tcW w:w="668" w:type="dxa"/>
            <w:tcBorders>
              <w:top w:val="single" w:sz="4" w:space="0" w:color="FFFFFF" w:themeColor="background1"/>
            </w:tcBorders>
          </w:tcPr>
          <w:p w14:paraId="2C675609"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78.62</w:t>
            </w:r>
          </w:p>
        </w:tc>
        <w:tc>
          <w:tcPr>
            <w:tcW w:w="966" w:type="dxa"/>
            <w:tcBorders>
              <w:top w:val="single" w:sz="4" w:space="0" w:color="FFFFFF" w:themeColor="background1"/>
            </w:tcBorders>
          </w:tcPr>
          <w:p w14:paraId="135C71DC"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110,818</w:t>
            </w:r>
          </w:p>
        </w:tc>
        <w:tc>
          <w:tcPr>
            <w:tcW w:w="705" w:type="dxa"/>
            <w:tcBorders>
              <w:top w:val="single" w:sz="4" w:space="0" w:color="FFFFFF" w:themeColor="background1"/>
            </w:tcBorders>
          </w:tcPr>
          <w:p w14:paraId="5C88CF8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52.84</w:t>
            </w:r>
          </w:p>
        </w:tc>
        <w:tc>
          <w:tcPr>
            <w:tcW w:w="1054" w:type="dxa"/>
            <w:tcBorders>
              <w:top w:val="single" w:sz="4" w:space="0" w:color="FFFFFF" w:themeColor="background1"/>
            </w:tcBorders>
          </w:tcPr>
          <w:p w14:paraId="078F2AC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48,325</w:t>
            </w:r>
          </w:p>
        </w:tc>
        <w:tc>
          <w:tcPr>
            <w:tcW w:w="668" w:type="dxa"/>
            <w:tcBorders>
              <w:top w:val="single" w:sz="4" w:space="0" w:color="FFFFFF" w:themeColor="background1"/>
            </w:tcBorders>
          </w:tcPr>
          <w:p w14:paraId="1A68732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53.13</w:t>
            </w:r>
          </w:p>
        </w:tc>
        <w:tc>
          <w:tcPr>
            <w:tcW w:w="873" w:type="dxa"/>
            <w:tcBorders>
              <w:top w:val="single" w:sz="4" w:space="0" w:color="FFFFFF" w:themeColor="background1"/>
            </w:tcBorders>
          </w:tcPr>
          <w:p w14:paraId="3417544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3,856,240</w:t>
            </w:r>
          </w:p>
        </w:tc>
        <w:tc>
          <w:tcPr>
            <w:tcW w:w="668" w:type="dxa"/>
            <w:tcBorders>
              <w:top w:val="single" w:sz="4" w:space="0" w:color="FFFFFF" w:themeColor="background1"/>
            </w:tcBorders>
          </w:tcPr>
          <w:p w14:paraId="7E07D8F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77.08</w:t>
            </w:r>
          </w:p>
        </w:tc>
      </w:tr>
      <w:tr w:rsidR="00FF70EA" w:rsidRPr="00610088" w14:paraId="13E9CD06"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7009DA02" w14:textId="499A104F" w:rsidR="00FF70EA" w:rsidRPr="00610088" w:rsidRDefault="00FF70EA" w:rsidP="00FF70EA">
            <w:pPr>
              <w:rPr>
                <w:rFonts w:ascii="Arial Narrow" w:hAnsi="Arial Narrow"/>
                <w:sz w:val="18"/>
                <w:szCs w:val="18"/>
                <w:lang w:val="en-GB"/>
              </w:rPr>
            </w:pPr>
            <w:r w:rsidRPr="00610088">
              <w:rPr>
                <w:rFonts w:ascii="Arial Narrow" w:eastAsia="Times New Roman" w:hAnsi="Arial Narrow" w:cs="Times New Roman"/>
                <w:color w:val="000000"/>
                <w:sz w:val="18"/>
                <w:szCs w:val="18"/>
                <w:lang w:val="en-GB" w:eastAsia="en-GB"/>
              </w:rPr>
              <w:t xml:space="preserve">Nutrition (malnutrition, </w:t>
            </w:r>
            <w:r w:rsidR="00607B2D" w:rsidRPr="00610088">
              <w:rPr>
                <w:rFonts w:ascii="Arial Narrow" w:eastAsia="Times New Roman" w:hAnsi="Arial Narrow" w:cs="Times New Roman"/>
                <w:color w:val="000000"/>
                <w:sz w:val="18"/>
                <w:szCs w:val="18"/>
                <w:lang w:val="en-GB" w:eastAsia="en-GB"/>
              </w:rPr>
              <w:t>anaemia</w:t>
            </w:r>
            <w:r w:rsidRPr="00610088">
              <w:rPr>
                <w:rFonts w:ascii="Arial Narrow" w:eastAsia="Times New Roman" w:hAnsi="Arial Narrow" w:cs="Times New Roman"/>
                <w:color w:val="000000"/>
                <w:sz w:val="18"/>
                <w:szCs w:val="18"/>
                <w:lang w:val="en-GB" w:eastAsia="en-GB"/>
              </w:rPr>
              <w:t>)</w:t>
            </w:r>
          </w:p>
        </w:tc>
        <w:tc>
          <w:tcPr>
            <w:tcW w:w="1109" w:type="dxa"/>
          </w:tcPr>
          <w:p w14:paraId="44FD60E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279,630</w:t>
            </w:r>
          </w:p>
        </w:tc>
        <w:tc>
          <w:tcPr>
            <w:tcW w:w="668" w:type="dxa"/>
          </w:tcPr>
          <w:p w14:paraId="477A9624"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5.95</w:t>
            </w:r>
          </w:p>
        </w:tc>
        <w:tc>
          <w:tcPr>
            <w:tcW w:w="966" w:type="dxa"/>
          </w:tcPr>
          <w:p w14:paraId="44DECD54"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3,255</w:t>
            </w:r>
          </w:p>
        </w:tc>
        <w:tc>
          <w:tcPr>
            <w:tcW w:w="705" w:type="dxa"/>
          </w:tcPr>
          <w:p w14:paraId="3277D8B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1.55</w:t>
            </w:r>
          </w:p>
        </w:tc>
        <w:tc>
          <w:tcPr>
            <w:tcW w:w="1054" w:type="dxa"/>
          </w:tcPr>
          <w:p w14:paraId="3AC1F67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10,801</w:t>
            </w:r>
          </w:p>
        </w:tc>
        <w:tc>
          <w:tcPr>
            <w:tcW w:w="668" w:type="dxa"/>
          </w:tcPr>
          <w:p w14:paraId="3E18209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11.87</w:t>
            </w:r>
          </w:p>
        </w:tc>
        <w:tc>
          <w:tcPr>
            <w:tcW w:w="873" w:type="dxa"/>
          </w:tcPr>
          <w:p w14:paraId="3EA7555D"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293,686</w:t>
            </w:r>
          </w:p>
        </w:tc>
        <w:tc>
          <w:tcPr>
            <w:tcW w:w="668" w:type="dxa"/>
          </w:tcPr>
          <w:p w14:paraId="3482AB1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5.87</w:t>
            </w:r>
          </w:p>
        </w:tc>
      </w:tr>
      <w:tr w:rsidR="00FF70EA" w:rsidRPr="00610088" w14:paraId="356D2487"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0B6B1FD9" w14:textId="77777777" w:rsidR="00FF70EA" w:rsidRPr="00610088" w:rsidRDefault="00FF70EA" w:rsidP="00FF70EA">
            <w:pPr>
              <w:rPr>
                <w:rFonts w:ascii="Arial Narrow" w:hAnsi="Arial Narrow"/>
                <w:sz w:val="18"/>
                <w:szCs w:val="18"/>
                <w:lang w:val="en-GB"/>
              </w:rPr>
            </w:pPr>
            <w:r w:rsidRPr="00610088">
              <w:rPr>
                <w:rFonts w:ascii="Arial Narrow" w:eastAsia="Times New Roman" w:hAnsi="Arial Narrow" w:cs="Times New Roman"/>
                <w:color w:val="000000"/>
                <w:sz w:val="18"/>
                <w:szCs w:val="18"/>
                <w:lang w:val="en-GB" w:eastAsia="en-GB"/>
              </w:rPr>
              <w:t>Neonatal</w:t>
            </w:r>
          </w:p>
        </w:tc>
        <w:tc>
          <w:tcPr>
            <w:tcW w:w="1109" w:type="dxa"/>
          </w:tcPr>
          <w:p w14:paraId="27B171F2"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1,163</w:t>
            </w:r>
          </w:p>
        </w:tc>
        <w:tc>
          <w:tcPr>
            <w:tcW w:w="668" w:type="dxa"/>
          </w:tcPr>
          <w:p w14:paraId="5D6D0789"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0.02</w:t>
            </w:r>
          </w:p>
        </w:tc>
        <w:tc>
          <w:tcPr>
            <w:tcW w:w="966" w:type="dxa"/>
          </w:tcPr>
          <w:p w14:paraId="3AC6FC92"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not in form</w:t>
            </w:r>
          </w:p>
        </w:tc>
        <w:tc>
          <w:tcPr>
            <w:tcW w:w="705" w:type="dxa"/>
          </w:tcPr>
          <w:p w14:paraId="7ED432C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0.00</w:t>
            </w:r>
          </w:p>
        </w:tc>
        <w:tc>
          <w:tcPr>
            <w:tcW w:w="1054" w:type="dxa"/>
          </w:tcPr>
          <w:p w14:paraId="2DAD9A12"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not in form</w:t>
            </w:r>
          </w:p>
        </w:tc>
        <w:tc>
          <w:tcPr>
            <w:tcW w:w="668" w:type="dxa"/>
          </w:tcPr>
          <w:p w14:paraId="77FC75FC"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0.00</w:t>
            </w:r>
          </w:p>
        </w:tc>
        <w:tc>
          <w:tcPr>
            <w:tcW w:w="873" w:type="dxa"/>
          </w:tcPr>
          <w:p w14:paraId="2B472F6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1,163</w:t>
            </w:r>
          </w:p>
        </w:tc>
        <w:tc>
          <w:tcPr>
            <w:tcW w:w="668" w:type="dxa"/>
          </w:tcPr>
          <w:p w14:paraId="64F2106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0.02</w:t>
            </w:r>
          </w:p>
        </w:tc>
      </w:tr>
      <w:tr w:rsidR="00FF70EA" w:rsidRPr="00610088" w14:paraId="439879E4"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371F1D58"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NCD – CVD</w:t>
            </w:r>
          </w:p>
        </w:tc>
        <w:tc>
          <w:tcPr>
            <w:tcW w:w="1109" w:type="dxa"/>
          </w:tcPr>
          <w:p w14:paraId="3FB58BB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w:t>
            </w:r>
          </w:p>
        </w:tc>
        <w:tc>
          <w:tcPr>
            <w:tcW w:w="668" w:type="dxa"/>
          </w:tcPr>
          <w:p w14:paraId="32BCCD2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966" w:type="dxa"/>
          </w:tcPr>
          <w:p w14:paraId="101758C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w:t>
            </w:r>
          </w:p>
        </w:tc>
        <w:tc>
          <w:tcPr>
            <w:tcW w:w="705" w:type="dxa"/>
          </w:tcPr>
          <w:p w14:paraId="6AB60E6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1054" w:type="dxa"/>
          </w:tcPr>
          <w:p w14:paraId="655286A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w:t>
            </w:r>
          </w:p>
        </w:tc>
        <w:tc>
          <w:tcPr>
            <w:tcW w:w="668" w:type="dxa"/>
          </w:tcPr>
          <w:p w14:paraId="2A040E8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873" w:type="dxa"/>
          </w:tcPr>
          <w:p w14:paraId="78AE3FC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b/>
                <w:bCs/>
                <w:color w:val="000000"/>
                <w:sz w:val="18"/>
                <w:szCs w:val="18"/>
                <w:lang w:val="en-GB"/>
              </w:rPr>
              <w:t>-</w:t>
            </w:r>
          </w:p>
        </w:tc>
        <w:tc>
          <w:tcPr>
            <w:tcW w:w="668" w:type="dxa"/>
          </w:tcPr>
          <w:p w14:paraId="4FD1EDB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r>
      <w:tr w:rsidR="00FF70EA" w:rsidRPr="00610088" w14:paraId="438DD298"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4B88EA75" w14:textId="77777777" w:rsidR="00FF70EA" w:rsidRPr="00610088" w:rsidRDefault="00FF70EA" w:rsidP="00FF70EA">
            <w:pPr>
              <w:jc w:val="right"/>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Cardiovascular diseases </w:t>
            </w:r>
            <w:r w:rsidRPr="00610088">
              <w:rPr>
                <w:rFonts w:ascii="Arial Narrow" w:eastAsia="Times New Roman" w:hAnsi="Arial Narrow" w:cs="Times New Roman"/>
                <w:b w:val="0"/>
                <w:bCs w:val="0"/>
                <w:i/>
                <w:iCs/>
                <w:color w:val="000000"/>
                <w:sz w:val="18"/>
                <w:szCs w:val="18"/>
                <w:lang w:val="en-GB" w:eastAsia="en-GB"/>
              </w:rPr>
              <w:t>(Stroke/ Myocardial Infarction / Rheumatic heart disease/ congenital heart disease)</w:t>
            </w:r>
            <w:r w:rsidRPr="00610088">
              <w:rPr>
                <w:rFonts w:ascii="Arial Narrow" w:eastAsia="Times New Roman" w:hAnsi="Arial Narrow" w:cs="Times New Roman"/>
                <w:b w:val="0"/>
                <w:bCs w:val="0"/>
                <w:color w:val="000000"/>
                <w:sz w:val="18"/>
                <w:szCs w:val="18"/>
                <w:lang w:val="en-GB" w:eastAsia="en-GB"/>
              </w:rPr>
              <w:t xml:space="preserve"> </w:t>
            </w:r>
          </w:p>
        </w:tc>
        <w:tc>
          <w:tcPr>
            <w:tcW w:w="1109" w:type="dxa"/>
          </w:tcPr>
          <w:p w14:paraId="5E97610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384</w:t>
            </w:r>
          </w:p>
        </w:tc>
        <w:tc>
          <w:tcPr>
            <w:tcW w:w="668" w:type="dxa"/>
          </w:tcPr>
          <w:p w14:paraId="7072DB54"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0.01</w:t>
            </w:r>
          </w:p>
        </w:tc>
        <w:tc>
          <w:tcPr>
            <w:tcW w:w="966" w:type="dxa"/>
          </w:tcPr>
          <w:p w14:paraId="01551AC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946</w:t>
            </w:r>
          </w:p>
        </w:tc>
        <w:tc>
          <w:tcPr>
            <w:tcW w:w="705" w:type="dxa"/>
          </w:tcPr>
          <w:p w14:paraId="38F12879"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0.45</w:t>
            </w:r>
          </w:p>
        </w:tc>
        <w:tc>
          <w:tcPr>
            <w:tcW w:w="1054" w:type="dxa"/>
          </w:tcPr>
          <w:p w14:paraId="16AA7E2E"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820</w:t>
            </w:r>
          </w:p>
        </w:tc>
        <w:tc>
          <w:tcPr>
            <w:tcW w:w="668" w:type="dxa"/>
          </w:tcPr>
          <w:p w14:paraId="25B76FF2"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0.90</w:t>
            </w:r>
          </w:p>
        </w:tc>
        <w:tc>
          <w:tcPr>
            <w:tcW w:w="873" w:type="dxa"/>
          </w:tcPr>
          <w:p w14:paraId="094E6A76"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2,150</w:t>
            </w:r>
          </w:p>
        </w:tc>
        <w:tc>
          <w:tcPr>
            <w:tcW w:w="668" w:type="dxa"/>
          </w:tcPr>
          <w:p w14:paraId="2056F8A7"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0.04</w:t>
            </w:r>
          </w:p>
        </w:tc>
      </w:tr>
      <w:tr w:rsidR="00FF70EA" w:rsidRPr="00610088" w14:paraId="1CD9F3F5"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32D4E657" w14:textId="77777777" w:rsidR="00FF70EA" w:rsidRPr="00610088" w:rsidRDefault="00FF70EA" w:rsidP="00FF70EA">
            <w:pPr>
              <w:jc w:val="right"/>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Hypertension </w:t>
            </w:r>
          </w:p>
        </w:tc>
        <w:tc>
          <w:tcPr>
            <w:tcW w:w="1109" w:type="dxa"/>
          </w:tcPr>
          <w:p w14:paraId="2C955845"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28,050</w:t>
            </w:r>
          </w:p>
        </w:tc>
        <w:tc>
          <w:tcPr>
            <w:tcW w:w="668" w:type="dxa"/>
          </w:tcPr>
          <w:p w14:paraId="78681F8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0.60</w:t>
            </w:r>
          </w:p>
        </w:tc>
        <w:tc>
          <w:tcPr>
            <w:tcW w:w="966" w:type="dxa"/>
          </w:tcPr>
          <w:p w14:paraId="4D8ECE1E"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6,446</w:t>
            </w:r>
          </w:p>
        </w:tc>
        <w:tc>
          <w:tcPr>
            <w:tcW w:w="705" w:type="dxa"/>
          </w:tcPr>
          <w:p w14:paraId="7A863EC5"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3.07</w:t>
            </w:r>
          </w:p>
        </w:tc>
        <w:tc>
          <w:tcPr>
            <w:tcW w:w="1054" w:type="dxa"/>
          </w:tcPr>
          <w:p w14:paraId="0B22FEA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2,455</w:t>
            </w:r>
          </w:p>
        </w:tc>
        <w:tc>
          <w:tcPr>
            <w:tcW w:w="668" w:type="dxa"/>
          </w:tcPr>
          <w:p w14:paraId="58904CDE"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2.70</w:t>
            </w:r>
          </w:p>
        </w:tc>
        <w:tc>
          <w:tcPr>
            <w:tcW w:w="873" w:type="dxa"/>
          </w:tcPr>
          <w:p w14:paraId="32E1D8AF"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36,951</w:t>
            </w:r>
          </w:p>
        </w:tc>
        <w:tc>
          <w:tcPr>
            <w:tcW w:w="668" w:type="dxa"/>
          </w:tcPr>
          <w:p w14:paraId="1D428AF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0.74</w:t>
            </w:r>
          </w:p>
        </w:tc>
      </w:tr>
      <w:tr w:rsidR="00FF70EA" w:rsidRPr="00610088" w14:paraId="165D299E"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7070C9C1"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NCD – CRD </w:t>
            </w:r>
          </w:p>
        </w:tc>
        <w:tc>
          <w:tcPr>
            <w:tcW w:w="1109" w:type="dxa"/>
          </w:tcPr>
          <w:p w14:paraId="31F8E374"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not in form</w:t>
            </w:r>
          </w:p>
        </w:tc>
        <w:tc>
          <w:tcPr>
            <w:tcW w:w="668" w:type="dxa"/>
          </w:tcPr>
          <w:p w14:paraId="343ABA2C"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966" w:type="dxa"/>
          </w:tcPr>
          <w:p w14:paraId="4C050C71"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not in form</w:t>
            </w:r>
          </w:p>
        </w:tc>
        <w:tc>
          <w:tcPr>
            <w:tcW w:w="705" w:type="dxa"/>
          </w:tcPr>
          <w:p w14:paraId="78BB187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1054" w:type="dxa"/>
          </w:tcPr>
          <w:p w14:paraId="3CA5E5F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not in form</w:t>
            </w:r>
          </w:p>
        </w:tc>
        <w:tc>
          <w:tcPr>
            <w:tcW w:w="668" w:type="dxa"/>
          </w:tcPr>
          <w:p w14:paraId="43742E0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873" w:type="dxa"/>
          </w:tcPr>
          <w:p w14:paraId="5B17126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p>
        </w:tc>
        <w:tc>
          <w:tcPr>
            <w:tcW w:w="668" w:type="dxa"/>
          </w:tcPr>
          <w:p w14:paraId="1F298196"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p>
        </w:tc>
      </w:tr>
      <w:tr w:rsidR="00FF70EA" w:rsidRPr="00610088" w14:paraId="3B5E705D"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0F1248E0"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NCD – Diabetes (Type 1 or Type 2)</w:t>
            </w:r>
          </w:p>
        </w:tc>
        <w:tc>
          <w:tcPr>
            <w:tcW w:w="1109" w:type="dxa"/>
          </w:tcPr>
          <w:p w14:paraId="4B826EE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399</w:t>
            </w:r>
          </w:p>
        </w:tc>
        <w:tc>
          <w:tcPr>
            <w:tcW w:w="668" w:type="dxa"/>
          </w:tcPr>
          <w:p w14:paraId="65E4556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0.01</w:t>
            </w:r>
          </w:p>
        </w:tc>
        <w:tc>
          <w:tcPr>
            <w:tcW w:w="966" w:type="dxa"/>
          </w:tcPr>
          <w:p w14:paraId="03AC211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1,025</w:t>
            </w:r>
          </w:p>
        </w:tc>
        <w:tc>
          <w:tcPr>
            <w:tcW w:w="705" w:type="dxa"/>
          </w:tcPr>
          <w:p w14:paraId="7D7E2154"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0.49</w:t>
            </w:r>
          </w:p>
        </w:tc>
        <w:tc>
          <w:tcPr>
            <w:tcW w:w="1054" w:type="dxa"/>
          </w:tcPr>
          <w:p w14:paraId="6AD199A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505</w:t>
            </w:r>
          </w:p>
        </w:tc>
        <w:tc>
          <w:tcPr>
            <w:tcW w:w="668" w:type="dxa"/>
          </w:tcPr>
          <w:p w14:paraId="05FFE174"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0.56</w:t>
            </w:r>
          </w:p>
        </w:tc>
        <w:tc>
          <w:tcPr>
            <w:tcW w:w="873" w:type="dxa"/>
          </w:tcPr>
          <w:p w14:paraId="4478CD85"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1,929</w:t>
            </w:r>
          </w:p>
        </w:tc>
        <w:tc>
          <w:tcPr>
            <w:tcW w:w="668" w:type="dxa"/>
          </w:tcPr>
          <w:p w14:paraId="697151DD"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0.04</w:t>
            </w:r>
          </w:p>
        </w:tc>
      </w:tr>
      <w:tr w:rsidR="00FF70EA" w:rsidRPr="00610088" w14:paraId="36BA9C16"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31097AE6" w14:textId="7705E6D9"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NCD – </w:t>
            </w:r>
            <w:r w:rsidR="00607B2D" w:rsidRPr="00610088">
              <w:rPr>
                <w:rFonts w:ascii="Arial Narrow" w:eastAsia="Times New Roman" w:hAnsi="Arial Narrow" w:cs="Times New Roman"/>
                <w:b w:val="0"/>
                <w:bCs w:val="0"/>
                <w:color w:val="000000"/>
                <w:sz w:val="18"/>
                <w:szCs w:val="18"/>
                <w:lang w:val="en-GB" w:eastAsia="en-GB"/>
              </w:rPr>
              <w:t>Tumour</w:t>
            </w:r>
            <w:r w:rsidRPr="00610088">
              <w:rPr>
                <w:rFonts w:ascii="Arial Narrow" w:eastAsia="Times New Roman" w:hAnsi="Arial Narrow" w:cs="Times New Roman"/>
                <w:b w:val="0"/>
                <w:bCs w:val="0"/>
                <w:color w:val="000000"/>
                <w:sz w:val="18"/>
                <w:szCs w:val="18"/>
                <w:lang w:val="en-GB" w:eastAsia="en-GB"/>
              </w:rPr>
              <w:t>/Cancer</w:t>
            </w:r>
          </w:p>
        </w:tc>
        <w:tc>
          <w:tcPr>
            <w:tcW w:w="1109" w:type="dxa"/>
          </w:tcPr>
          <w:p w14:paraId="53BC9E99"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371</w:t>
            </w:r>
          </w:p>
        </w:tc>
        <w:tc>
          <w:tcPr>
            <w:tcW w:w="668" w:type="dxa"/>
          </w:tcPr>
          <w:p w14:paraId="061D33A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0.01</w:t>
            </w:r>
          </w:p>
        </w:tc>
        <w:tc>
          <w:tcPr>
            <w:tcW w:w="966" w:type="dxa"/>
          </w:tcPr>
          <w:p w14:paraId="2952EF2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367</w:t>
            </w:r>
          </w:p>
        </w:tc>
        <w:tc>
          <w:tcPr>
            <w:tcW w:w="705" w:type="dxa"/>
          </w:tcPr>
          <w:p w14:paraId="6DAE479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0.17</w:t>
            </w:r>
          </w:p>
        </w:tc>
        <w:tc>
          <w:tcPr>
            <w:tcW w:w="1054" w:type="dxa"/>
          </w:tcPr>
          <w:p w14:paraId="51FD7F8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182</w:t>
            </w:r>
          </w:p>
        </w:tc>
        <w:tc>
          <w:tcPr>
            <w:tcW w:w="668" w:type="dxa"/>
          </w:tcPr>
          <w:p w14:paraId="0512AB9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0.20</w:t>
            </w:r>
          </w:p>
        </w:tc>
        <w:tc>
          <w:tcPr>
            <w:tcW w:w="873" w:type="dxa"/>
          </w:tcPr>
          <w:p w14:paraId="384CE31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920</w:t>
            </w:r>
          </w:p>
        </w:tc>
        <w:tc>
          <w:tcPr>
            <w:tcW w:w="668" w:type="dxa"/>
          </w:tcPr>
          <w:p w14:paraId="78B0EE8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0.02</w:t>
            </w:r>
          </w:p>
        </w:tc>
      </w:tr>
      <w:tr w:rsidR="00FF70EA" w:rsidRPr="00610088" w14:paraId="17D1BC19"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3002CDF0"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NCD – Mental disorder</w:t>
            </w:r>
          </w:p>
        </w:tc>
        <w:tc>
          <w:tcPr>
            <w:tcW w:w="1109" w:type="dxa"/>
          </w:tcPr>
          <w:p w14:paraId="76A330C6"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326</w:t>
            </w:r>
          </w:p>
        </w:tc>
        <w:tc>
          <w:tcPr>
            <w:tcW w:w="668" w:type="dxa"/>
          </w:tcPr>
          <w:p w14:paraId="6D930BCC"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0.01</w:t>
            </w:r>
          </w:p>
        </w:tc>
        <w:tc>
          <w:tcPr>
            <w:tcW w:w="966" w:type="dxa"/>
          </w:tcPr>
          <w:p w14:paraId="3D38724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1,195</w:t>
            </w:r>
          </w:p>
        </w:tc>
        <w:tc>
          <w:tcPr>
            <w:tcW w:w="705" w:type="dxa"/>
          </w:tcPr>
          <w:p w14:paraId="3985715A"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0.57</w:t>
            </w:r>
          </w:p>
        </w:tc>
        <w:tc>
          <w:tcPr>
            <w:tcW w:w="1054" w:type="dxa"/>
          </w:tcPr>
          <w:p w14:paraId="4F5A55D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419</w:t>
            </w:r>
          </w:p>
        </w:tc>
        <w:tc>
          <w:tcPr>
            <w:tcW w:w="668" w:type="dxa"/>
          </w:tcPr>
          <w:p w14:paraId="579B481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0.46</w:t>
            </w:r>
          </w:p>
        </w:tc>
        <w:tc>
          <w:tcPr>
            <w:tcW w:w="873" w:type="dxa"/>
          </w:tcPr>
          <w:p w14:paraId="7B2A267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1,940</w:t>
            </w:r>
          </w:p>
        </w:tc>
        <w:tc>
          <w:tcPr>
            <w:tcW w:w="668" w:type="dxa"/>
          </w:tcPr>
          <w:p w14:paraId="1B11E02C"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0.04</w:t>
            </w:r>
          </w:p>
        </w:tc>
      </w:tr>
      <w:tr w:rsidR="00FF70EA" w:rsidRPr="00610088" w14:paraId="4DFACF99"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6429C2D4"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Injuries/accidents </w:t>
            </w:r>
            <w:r w:rsidRPr="00610088">
              <w:rPr>
                <w:rFonts w:ascii="Arial Narrow" w:eastAsia="Times New Roman" w:hAnsi="Arial Narrow" w:cs="Times New Roman"/>
                <w:b w:val="0"/>
                <w:bCs w:val="0"/>
                <w:i/>
                <w:iCs/>
                <w:color w:val="000000"/>
                <w:sz w:val="18"/>
                <w:szCs w:val="18"/>
                <w:lang w:val="en-GB" w:eastAsia="en-GB"/>
              </w:rPr>
              <w:t>(Stings/Bites, Burns, Wounds/Trauma)</w:t>
            </w:r>
          </w:p>
        </w:tc>
        <w:tc>
          <w:tcPr>
            <w:tcW w:w="1109" w:type="dxa"/>
          </w:tcPr>
          <w:p w14:paraId="31241E4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59,784</w:t>
            </w:r>
          </w:p>
        </w:tc>
        <w:tc>
          <w:tcPr>
            <w:tcW w:w="668" w:type="dxa"/>
          </w:tcPr>
          <w:p w14:paraId="51A951E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1.27</w:t>
            </w:r>
          </w:p>
        </w:tc>
        <w:tc>
          <w:tcPr>
            <w:tcW w:w="966" w:type="dxa"/>
          </w:tcPr>
          <w:p w14:paraId="67B887F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4,063</w:t>
            </w:r>
          </w:p>
        </w:tc>
        <w:tc>
          <w:tcPr>
            <w:tcW w:w="705" w:type="dxa"/>
          </w:tcPr>
          <w:p w14:paraId="2D445E7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1.94</w:t>
            </w:r>
          </w:p>
        </w:tc>
        <w:tc>
          <w:tcPr>
            <w:tcW w:w="1054" w:type="dxa"/>
          </w:tcPr>
          <w:p w14:paraId="32E9490F"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1,817</w:t>
            </w:r>
          </w:p>
        </w:tc>
        <w:tc>
          <w:tcPr>
            <w:tcW w:w="668" w:type="dxa"/>
          </w:tcPr>
          <w:p w14:paraId="3AA49D04"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2.00</w:t>
            </w:r>
          </w:p>
        </w:tc>
        <w:tc>
          <w:tcPr>
            <w:tcW w:w="873" w:type="dxa"/>
          </w:tcPr>
          <w:p w14:paraId="582870C1"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65,664</w:t>
            </w:r>
          </w:p>
        </w:tc>
        <w:tc>
          <w:tcPr>
            <w:tcW w:w="668" w:type="dxa"/>
          </w:tcPr>
          <w:p w14:paraId="227A6ED6"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1.31</w:t>
            </w:r>
          </w:p>
        </w:tc>
      </w:tr>
      <w:tr w:rsidR="00FF70EA" w:rsidRPr="00610088" w14:paraId="3D435D16"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29FB01D7"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Other surgical </w:t>
            </w:r>
            <w:r w:rsidRPr="00610088">
              <w:rPr>
                <w:rFonts w:ascii="Arial Narrow" w:eastAsia="Times New Roman" w:hAnsi="Arial Narrow" w:cs="Times New Roman"/>
                <w:b w:val="0"/>
                <w:bCs w:val="0"/>
                <w:i/>
                <w:iCs/>
                <w:color w:val="000000"/>
                <w:sz w:val="18"/>
                <w:szCs w:val="18"/>
                <w:lang w:val="en-GB" w:eastAsia="en-GB"/>
              </w:rPr>
              <w:t>(Acute abdomen, appendicitis, hernia, hydrocele)</w:t>
            </w:r>
          </w:p>
        </w:tc>
        <w:tc>
          <w:tcPr>
            <w:tcW w:w="1109" w:type="dxa"/>
          </w:tcPr>
          <w:p w14:paraId="1D82661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3,489</w:t>
            </w:r>
          </w:p>
        </w:tc>
        <w:tc>
          <w:tcPr>
            <w:tcW w:w="668" w:type="dxa"/>
          </w:tcPr>
          <w:p w14:paraId="2E93DAD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0.07</w:t>
            </w:r>
          </w:p>
        </w:tc>
        <w:tc>
          <w:tcPr>
            <w:tcW w:w="966" w:type="dxa"/>
          </w:tcPr>
          <w:p w14:paraId="793F83C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4,563</w:t>
            </w:r>
          </w:p>
        </w:tc>
        <w:tc>
          <w:tcPr>
            <w:tcW w:w="705" w:type="dxa"/>
          </w:tcPr>
          <w:p w14:paraId="14AF7E6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2.18</w:t>
            </w:r>
          </w:p>
        </w:tc>
        <w:tc>
          <w:tcPr>
            <w:tcW w:w="1054" w:type="dxa"/>
          </w:tcPr>
          <w:p w14:paraId="2B90FAE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4,446</w:t>
            </w:r>
          </w:p>
        </w:tc>
        <w:tc>
          <w:tcPr>
            <w:tcW w:w="668" w:type="dxa"/>
          </w:tcPr>
          <w:p w14:paraId="73F54BD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4.89</w:t>
            </w:r>
          </w:p>
        </w:tc>
        <w:tc>
          <w:tcPr>
            <w:tcW w:w="873" w:type="dxa"/>
          </w:tcPr>
          <w:p w14:paraId="246ABF7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12,498</w:t>
            </w:r>
          </w:p>
        </w:tc>
        <w:tc>
          <w:tcPr>
            <w:tcW w:w="668" w:type="dxa"/>
          </w:tcPr>
          <w:p w14:paraId="2E3EE0D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0.25</w:t>
            </w:r>
          </w:p>
        </w:tc>
      </w:tr>
      <w:tr w:rsidR="00FF70EA" w:rsidRPr="00610088" w14:paraId="540DE6C5"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5C56E072"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lastRenderedPageBreak/>
              <w:t>Eye conditions (</w:t>
            </w:r>
            <w:r w:rsidRPr="00610088">
              <w:rPr>
                <w:rFonts w:ascii="Arial Narrow" w:eastAsia="Times New Roman" w:hAnsi="Arial Narrow" w:cs="Times New Roman"/>
                <w:b w:val="0"/>
                <w:bCs w:val="0"/>
                <w:i/>
                <w:iCs/>
                <w:color w:val="000000"/>
                <w:sz w:val="18"/>
                <w:szCs w:val="18"/>
                <w:lang w:val="en-GB" w:eastAsia="en-GB"/>
              </w:rPr>
              <w:t>no eye infection) (cataract, glaucoma, refractive error, irreversible blindness / low vision, uveitis, diabetic retinopathy, eye trauma)</w:t>
            </w:r>
          </w:p>
        </w:tc>
        <w:tc>
          <w:tcPr>
            <w:tcW w:w="1109" w:type="dxa"/>
          </w:tcPr>
          <w:p w14:paraId="0BED4BE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9,313</w:t>
            </w:r>
          </w:p>
        </w:tc>
        <w:tc>
          <w:tcPr>
            <w:tcW w:w="668" w:type="dxa"/>
          </w:tcPr>
          <w:p w14:paraId="2984E81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0.20</w:t>
            </w:r>
          </w:p>
        </w:tc>
        <w:tc>
          <w:tcPr>
            <w:tcW w:w="966" w:type="dxa"/>
          </w:tcPr>
          <w:p w14:paraId="6AC926D4"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17,716</w:t>
            </w:r>
          </w:p>
        </w:tc>
        <w:tc>
          <w:tcPr>
            <w:tcW w:w="705" w:type="dxa"/>
          </w:tcPr>
          <w:p w14:paraId="41E376BF"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8.45</w:t>
            </w:r>
          </w:p>
        </w:tc>
        <w:tc>
          <w:tcPr>
            <w:tcW w:w="1054" w:type="dxa"/>
          </w:tcPr>
          <w:p w14:paraId="4E4F4E3C"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1,001</w:t>
            </w:r>
          </w:p>
        </w:tc>
        <w:tc>
          <w:tcPr>
            <w:tcW w:w="668" w:type="dxa"/>
          </w:tcPr>
          <w:p w14:paraId="53792D4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1.10</w:t>
            </w:r>
          </w:p>
        </w:tc>
        <w:tc>
          <w:tcPr>
            <w:tcW w:w="873" w:type="dxa"/>
          </w:tcPr>
          <w:p w14:paraId="6ACA388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28,030</w:t>
            </w:r>
          </w:p>
        </w:tc>
        <w:tc>
          <w:tcPr>
            <w:tcW w:w="668" w:type="dxa"/>
          </w:tcPr>
          <w:p w14:paraId="6AE7A766"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0.56</w:t>
            </w:r>
          </w:p>
        </w:tc>
      </w:tr>
      <w:tr w:rsidR="00FF70EA" w:rsidRPr="00610088" w14:paraId="4C71A10A"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345AF101"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Ear, Nose, Throat conditions</w:t>
            </w:r>
          </w:p>
        </w:tc>
        <w:tc>
          <w:tcPr>
            <w:tcW w:w="1109" w:type="dxa"/>
          </w:tcPr>
          <w:p w14:paraId="1FDC7A3F"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3,541</w:t>
            </w:r>
          </w:p>
        </w:tc>
        <w:tc>
          <w:tcPr>
            <w:tcW w:w="668" w:type="dxa"/>
          </w:tcPr>
          <w:p w14:paraId="684A964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0.08</w:t>
            </w:r>
          </w:p>
        </w:tc>
        <w:tc>
          <w:tcPr>
            <w:tcW w:w="966" w:type="dxa"/>
          </w:tcPr>
          <w:p w14:paraId="1074285E"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1,274</w:t>
            </w:r>
          </w:p>
        </w:tc>
        <w:tc>
          <w:tcPr>
            <w:tcW w:w="705" w:type="dxa"/>
          </w:tcPr>
          <w:p w14:paraId="533D5A51"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0.61</w:t>
            </w:r>
          </w:p>
        </w:tc>
        <w:tc>
          <w:tcPr>
            <w:tcW w:w="1054" w:type="dxa"/>
          </w:tcPr>
          <w:p w14:paraId="73BEA9C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387</w:t>
            </w:r>
          </w:p>
        </w:tc>
        <w:tc>
          <w:tcPr>
            <w:tcW w:w="668" w:type="dxa"/>
          </w:tcPr>
          <w:p w14:paraId="7484BED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0.43</w:t>
            </w:r>
          </w:p>
        </w:tc>
        <w:tc>
          <w:tcPr>
            <w:tcW w:w="873" w:type="dxa"/>
          </w:tcPr>
          <w:p w14:paraId="23992B5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5,202</w:t>
            </w:r>
          </w:p>
        </w:tc>
        <w:tc>
          <w:tcPr>
            <w:tcW w:w="668" w:type="dxa"/>
          </w:tcPr>
          <w:p w14:paraId="461FC91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0.10</w:t>
            </w:r>
          </w:p>
        </w:tc>
      </w:tr>
      <w:tr w:rsidR="00FF70EA" w:rsidRPr="00610088" w14:paraId="2DBAA8E9"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3E3BCCE2"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Oral and dental conditions</w:t>
            </w:r>
          </w:p>
        </w:tc>
        <w:tc>
          <w:tcPr>
            <w:tcW w:w="1109" w:type="dxa"/>
          </w:tcPr>
          <w:p w14:paraId="172FC22F"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2,235</w:t>
            </w:r>
          </w:p>
        </w:tc>
        <w:tc>
          <w:tcPr>
            <w:tcW w:w="668" w:type="dxa"/>
          </w:tcPr>
          <w:p w14:paraId="1E3954E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0.05</w:t>
            </w:r>
          </w:p>
        </w:tc>
        <w:tc>
          <w:tcPr>
            <w:tcW w:w="966" w:type="dxa"/>
          </w:tcPr>
          <w:p w14:paraId="1879DA03"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2,296</w:t>
            </w:r>
          </w:p>
        </w:tc>
        <w:tc>
          <w:tcPr>
            <w:tcW w:w="705" w:type="dxa"/>
          </w:tcPr>
          <w:p w14:paraId="15AD6741"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1.09</w:t>
            </w:r>
          </w:p>
        </w:tc>
        <w:tc>
          <w:tcPr>
            <w:tcW w:w="1054" w:type="dxa"/>
          </w:tcPr>
          <w:p w14:paraId="385EEB0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162</w:t>
            </w:r>
          </w:p>
        </w:tc>
        <w:tc>
          <w:tcPr>
            <w:tcW w:w="668" w:type="dxa"/>
          </w:tcPr>
          <w:p w14:paraId="2C6A364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0.18</w:t>
            </w:r>
          </w:p>
        </w:tc>
        <w:tc>
          <w:tcPr>
            <w:tcW w:w="873" w:type="dxa"/>
          </w:tcPr>
          <w:p w14:paraId="01B1A62E"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4,693</w:t>
            </w:r>
          </w:p>
        </w:tc>
        <w:tc>
          <w:tcPr>
            <w:tcW w:w="668" w:type="dxa"/>
          </w:tcPr>
          <w:p w14:paraId="1740D867"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0.09</w:t>
            </w:r>
          </w:p>
        </w:tc>
      </w:tr>
      <w:tr w:rsidR="00FF70EA" w:rsidRPr="00610088" w14:paraId="469A82AD"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6CEEB3AE"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 xml:space="preserve">NCD – others </w:t>
            </w:r>
            <w:r w:rsidRPr="00610088">
              <w:rPr>
                <w:rFonts w:ascii="Arial Narrow" w:eastAsia="Times New Roman" w:hAnsi="Arial Narrow" w:cs="Times New Roman"/>
                <w:b w:val="0"/>
                <w:bCs w:val="0"/>
                <w:i/>
                <w:iCs/>
                <w:color w:val="000000"/>
                <w:sz w:val="18"/>
                <w:szCs w:val="18"/>
                <w:lang w:val="en-GB" w:eastAsia="en-GB"/>
              </w:rPr>
              <w:t>(PUD (Ulcer), Adverse Drug Reaction)</w:t>
            </w:r>
          </w:p>
        </w:tc>
        <w:tc>
          <w:tcPr>
            <w:tcW w:w="1109" w:type="dxa"/>
          </w:tcPr>
          <w:p w14:paraId="1C700D8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21,668</w:t>
            </w:r>
          </w:p>
        </w:tc>
        <w:tc>
          <w:tcPr>
            <w:tcW w:w="668" w:type="dxa"/>
          </w:tcPr>
          <w:p w14:paraId="11C3BC80"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0.46</w:t>
            </w:r>
          </w:p>
        </w:tc>
        <w:tc>
          <w:tcPr>
            <w:tcW w:w="966" w:type="dxa"/>
          </w:tcPr>
          <w:p w14:paraId="1D2346C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not in form</w:t>
            </w:r>
          </w:p>
        </w:tc>
        <w:tc>
          <w:tcPr>
            <w:tcW w:w="705" w:type="dxa"/>
          </w:tcPr>
          <w:p w14:paraId="6D5F16AF"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1054" w:type="dxa"/>
          </w:tcPr>
          <w:p w14:paraId="73F621F8"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not in form</w:t>
            </w:r>
          </w:p>
        </w:tc>
        <w:tc>
          <w:tcPr>
            <w:tcW w:w="668" w:type="dxa"/>
          </w:tcPr>
          <w:p w14:paraId="44822499"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0.00</w:t>
            </w:r>
          </w:p>
        </w:tc>
        <w:tc>
          <w:tcPr>
            <w:tcW w:w="873" w:type="dxa"/>
          </w:tcPr>
          <w:p w14:paraId="4FC2E503"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21,668</w:t>
            </w:r>
          </w:p>
        </w:tc>
        <w:tc>
          <w:tcPr>
            <w:tcW w:w="668" w:type="dxa"/>
          </w:tcPr>
          <w:p w14:paraId="02D87F5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0.43</w:t>
            </w:r>
          </w:p>
        </w:tc>
      </w:tr>
      <w:tr w:rsidR="00FF70EA" w:rsidRPr="00610088" w14:paraId="5FDA979A"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3093FEAB" w14:textId="77777777" w:rsidR="00FF70EA" w:rsidRPr="00610088" w:rsidRDefault="00FF70EA" w:rsidP="00FF70EA">
            <w:pPr>
              <w:rPr>
                <w:rFonts w:ascii="Arial Narrow" w:hAnsi="Arial Narrow"/>
                <w:sz w:val="18"/>
                <w:szCs w:val="18"/>
                <w:lang w:val="en-GB"/>
              </w:rPr>
            </w:pPr>
            <w:r w:rsidRPr="00610088">
              <w:rPr>
                <w:rFonts w:ascii="Arial Narrow" w:eastAsia="Times New Roman" w:hAnsi="Arial Narrow" w:cs="Times New Roman"/>
                <w:color w:val="000000"/>
                <w:sz w:val="18"/>
                <w:szCs w:val="18"/>
                <w:lang w:val="en-GB" w:eastAsia="en-GB"/>
              </w:rPr>
              <w:t>All NCDs</w:t>
            </w:r>
          </w:p>
        </w:tc>
        <w:tc>
          <w:tcPr>
            <w:tcW w:w="1109" w:type="dxa"/>
          </w:tcPr>
          <w:p w14:paraId="389DAC1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129,560</w:t>
            </w:r>
          </w:p>
        </w:tc>
        <w:tc>
          <w:tcPr>
            <w:tcW w:w="668" w:type="dxa"/>
          </w:tcPr>
          <w:p w14:paraId="13E0545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2.76</w:t>
            </w:r>
          </w:p>
        </w:tc>
        <w:tc>
          <w:tcPr>
            <w:tcW w:w="966" w:type="dxa"/>
          </w:tcPr>
          <w:p w14:paraId="200F460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39,891</w:t>
            </w:r>
          </w:p>
        </w:tc>
        <w:tc>
          <w:tcPr>
            <w:tcW w:w="705" w:type="dxa"/>
          </w:tcPr>
          <w:p w14:paraId="04FD25A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19.02</w:t>
            </w:r>
          </w:p>
        </w:tc>
        <w:tc>
          <w:tcPr>
            <w:tcW w:w="1054" w:type="dxa"/>
          </w:tcPr>
          <w:p w14:paraId="7E9B0FBF"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12,194</w:t>
            </w:r>
          </w:p>
        </w:tc>
        <w:tc>
          <w:tcPr>
            <w:tcW w:w="668" w:type="dxa"/>
          </w:tcPr>
          <w:p w14:paraId="1DB8118B"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13.41</w:t>
            </w:r>
          </w:p>
        </w:tc>
        <w:tc>
          <w:tcPr>
            <w:tcW w:w="873" w:type="dxa"/>
          </w:tcPr>
          <w:p w14:paraId="3985BE6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181,645</w:t>
            </w:r>
          </w:p>
        </w:tc>
        <w:tc>
          <w:tcPr>
            <w:tcW w:w="668" w:type="dxa"/>
          </w:tcPr>
          <w:p w14:paraId="5AE6B5D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3.63</w:t>
            </w:r>
          </w:p>
        </w:tc>
      </w:tr>
      <w:tr w:rsidR="00FF70EA" w:rsidRPr="00610088" w14:paraId="4442ABE6"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7" w:type="dxa"/>
          </w:tcPr>
          <w:p w14:paraId="5FF6C603" w14:textId="77777777" w:rsidR="00FF70EA" w:rsidRPr="00610088" w:rsidRDefault="00FF70EA" w:rsidP="00FF70EA">
            <w:pPr>
              <w:rPr>
                <w:rFonts w:ascii="Arial Narrow" w:hAnsi="Arial Narrow"/>
                <w:b w:val="0"/>
                <w:bCs w:val="0"/>
                <w:sz w:val="18"/>
                <w:szCs w:val="18"/>
                <w:lang w:val="en-GB"/>
              </w:rPr>
            </w:pPr>
            <w:r w:rsidRPr="00610088">
              <w:rPr>
                <w:rFonts w:ascii="Arial Narrow" w:eastAsia="Times New Roman" w:hAnsi="Arial Narrow" w:cs="Times New Roman"/>
                <w:b w:val="0"/>
                <w:bCs w:val="0"/>
                <w:color w:val="000000"/>
                <w:sz w:val="18"/>
                <w:szCs w:val="18"/>
                <w:lang w:val="en-GB" w:eastAsia="en-GB"/>
              </w:rPr>
              <w:t>All other morbidities (</w:t>
            </w:r>
            <w:r w:rsidRPr="00610088">
              <w:rPr>
                <w:rFonts w:ascii="Arial Narrow" w:eastAsia="Times New Roman" w:hAnsi="Arial Narrow" w:cs="Times New Roman"/>
                <w:b w:val="0"/>
                <w:bCs w:val="0"/>
                <w:i/>
                <w:iCs/>
                <w:color w:val="000000"/>
                <w:sz w:val="18"/>
                <w:szCs w:val="18"/>
                <w:lang w:val="en-GB" w:eastAsia="en-GB"/>
              </w:rPr>
              <w:t>mixed group, likely also some NCDs)</w:t>
            </w:r>
          </w:p>
        </w:tc>
        <w:tc>
          <w:tcPr>
            <w:tcW w:w="1109" w:type="dxa"/>
          </w:tcPr>
          <w:p w14:paraId="19173D7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596,060</w:t>
            </w:r>
          </w:p>
        </w:tc>
        <w:tc>
          <w:tcPr>
            <w:tcW w:w="668" w:type="dxa"/>
          </w:tcPr>
          <w:p w14:paraId="2B9E49BD"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12.68</w:t>
            </w:r>
          </w:p>
        </w:tc>
        <w:tc>
          <w:tcPr>
            <w:tcW w:w="966" w:type="dxa"/>
          </w:tcPr>
          <w:p w14:paraId="727F9805"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55,762</w:t>
            </w:r>
          </w:p>
        </w:tc>
        <w:tc>
          <w:tcPr>
            <w:tcW w:w="705" w:type="dxa"/>
          </w:tcPr>
          <w:p w14:paraId="23F7F925"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26.59</w:t>
            </w:r>
          </w:p>
        </w:tc>
        <w:tc>
          <w:tcPr>
            <w:tcW w:w="1054" w:type="dxa"/>
          </w:tcPr>
          <w:p w14:paraId="7B1DC7B2"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19,638</w:t>
            </w:r>
          </w:p>
        </w:tc>
        <w:tc>
          <w:tcPr>
            <w:tcW w:w="668" w:type="dxa"/>
          </w:tcPr>
          <w:p w14:paraId="4082EDE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21.59</w:t>
            </w:r>
          </w:p>
        </w:tc>
        <w:tc>
          <w:tcPr>
            <w:tcW w:w="873" w:type="dxa"/>
          </w:tcPr>
          <w:p w14:paraId="79ED82AB"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671,460</w:t>
            </w:r>
          </w:p>
        </w:tc>
        <w:tc>
          <w:tcPr>
            <w:tcW w:w="668" w:type="dxa"/>
          </w:tcPr>
          <w:p w14:paraId="27BACC77" w14:textId="77777777" w:rsidR="00FF70EA" w:rsidRPr="00610088" w:rsidRDefault="00FF70EA" w:rsidP="00FF70EA">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n-GB"/>
              </w:rPr>
            </w:pPr>
            <w:r w:rsidRPr="00610088">
              <w:rPr>
                <w:rFonts w:ascii="Arial Narrow" w:hAnsi="Arial Narrow"/>
                <w:color w:val="000000"/>
                <w:sz w:val="18"/>
                <w:szCs w:val="18"/>
                <w:lang w:val="en-GB"/>
              </w:rPr>
              <w:t>13.42</w:t>
            </w:r>
          </w:p>
        </w:tc>
      </w:tr>
      <w:tr w:rsidR="00FF70EA" w:rsidRPr="00610088" w14:paraId="000A1422" w14:textId="77777777" w:rsidTr="00FF70EA">
        <w:tc>
          <w:tcPr>
            <w:cnfStyle w:val="001000000000" w:firstRow="0" w:lastRow="0" w:firstColumn="1" w:lastColumn="0" w:oddVBand="0" w:evenVBand="0" w:oddHBand="0" w:evenHBand="0" w:firstRowFirstColumn="0" w:firstRowLastColumn="0" w:lastRowFirstColumn="0" w:lastRowLastColumn="0"/>
            <w:tcW w:w="3077" w:type="dxa"/>
          </w:tcPr>
          <w:p w14:paraId="4CC97903" w14:textId="77777777" w:rsidR="00FF70EA" w:rsidRPr="00610088" w:rsidRDefault="00FF70EA" w:rsidP="00FF70EA">
            <w:pPr>
              <w:rPr>
                <w:rFonts w:ascii="Arial Narrow" w:hAnsi="Arial Narrow"/>
                <w:sz w:val="18"/>
                <w:szCs w:val="18"/>
                <w:lang w:val="en-GB"/>
              </w:rPr>
            </w:pPr>
            <w:r w:rsidRPr="00610088">
              <w:rPr>
                <w:rFonts w:ascii="Arial Narrow" w:eastAsia="Times New Roman" w:hAnsi="Arial Narrow" w:cs="Times New Roman"/>
                <w:color w:val="000000"/>
                <w:sz w:val="18"/>
                <w:szCs w:val="18"/>
                <w:lang w:val="en-GB" w:eastAsia="en-GB"/>
              </w:rPr>
              <w:t>TOTAL</w:t>
            </w:r>
          </w:p>
        </w:tc>
        <w:tc>
          <w:tcPr>
            <w:tcW w:w="1109" w:type="dxa"/>
          </w:tcPr>
          <w:p w14:paraId="6834357D"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4,702,347</w:t>
            </w:r>
          </w:p>
        </w:tc>
        <w:tc>
          <w:tcPr>
            <w:tcW w:w="668" w:type="dxa"/>
          </w:tcPr>
          <w:p w14:paraId="35F4EE9A"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100.00</w:t>
            </w:r>
          </w:p>
        </w:tc>
        <w:tc>
          <w:tcPr>
            <w:tcW w:w="966" w:type="dxa"/>
          </w:tcPr>
          <w:p w14:paraId="10725CE5"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209,726</w:t>
            </w:r>
          </w:p>
        </w:tc>
        <w:tc>
          <w:tcPr>
            <w:tcW w:w="705" w:type="dxa"/>
          </w:tcPr>
          <w:p w14:paraId="0E627398"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100.00</w:t>
            </w:r>
          </w:p>
        </w:tc>
        <w:tc>
          <w:tcPr>
            <w:tcW w:w="1054" w:type="dxa"/>
          </w:tcPr>
          <w:p w14:paraId="71F93CBF"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90,958</w:t>
            </w:r>
          </w:p>
        </w:tc>
        <w:tc>
          <w:tcPr>
            <w:tcW w:w="668" w:type="dxa"/>
          </w:tcPr>
          <w:p w14:paraId="019C63E0"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100.00</w:t>
            </w:r>
          </w:p>
        </w:tc>
        <w:tc>
          <w:tcPr>
            <w:tcW w:w="873" w:type="dxa"/>
          </w:tcPr>
          <w:p w14:paraId="67B03ED9"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5,003,031</w:t>
            </w:r>
          </w:p>
        </w:tc>
        <w:tc>
          <w:tcPr>
            <w:tcW w:w="668" w:type="dxa"/>
          </w:tcPr>
          <w:p w14:paraId="6F67E6B1" w14:textId="77777777" w:rsidR="00FF70EA" w:rsidRPr="00610088" w:rsidRDefault="00FF70EA" w:rsidP="00FF70E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18"/>
                <w:szCs w:val="18"/>
                <w:lang w:val="en-GB"/>
              </w:rPr>
            </w:pPr>
            <w:r w:rsidRPr="00610088">
              <w:rPr>
                <w:rFonts w:ascii="Arial Narrow" w:hAnsi="Arial Narrow"/>
                <w:b/>
                <w:bCs/>
                <w:color w:val="000000"/>
                <w:sz w:val="18"/>
                <w:szCs w:val="18"/>
                <w:lang w:val="en-GB"/>
              </w:rPr>
              <w:t>100.00</w:t>
            </w:r>
          </w:p>
        </w:tc>
      </w:tr>
      <w:tr w:rsidR="00FF70EA" w:rsidRPr="00610088" w14:paraId="06EE871E"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8" w:type="dxa"/>
            <w:gridSpan w:val="9"/>
          </w:tcPr>
          <w:p w14:paraId="1DB30B56" w14:textId="77777777" w:rsidR="00FF70EA" w:rsidRPr="00610088" w:rsidRDefault="00FF70EA" w:rsidP="00FF70EA">
            <w:pPr>
              <w:rPr>
                <w:rFonts w:ascii="Arial Narrow" w:eastAsia="Times New Roman" w:hAnsi="Arial Narrow" w:cs="Times New Roman"/>
                <w:b w:val="0"/>
                <w:bCs w:val="0"/>
                <w:i/>
                <w:iCs/>
                <w:color w:val="000000"/>
                <w:sz w:val="18"/>
                <w:szCs w:val="18"/>
                <w:lang w:val="en-GB" w:eastAsia="en-GB"/>
              </w:rPr>
            </w:pPr>
            <w:r w:rsidRPr="00610088">
              <w:rPr>
                <w:rFonts w:ascii="Arial Narrow" w:eastAsia="Times New Roman" w:hAnsi="Arial Narrow" w:cs="Times New Roman"/>
                <w:b w:val="0"/>
                <w:bCs w:val="0"/>
                <w:i/>
                <w:iCs/>
                <w:color w:val="000000"/>
                <w:sz w:val="18"/>
                <w:szCs w:val="18"/>
                <w:lang w:val="en-GB" w:eastAsia="en-GB"/>
              </w:rPr>
              <w:t>* Extraction date: 30 August 2019</w:t>
            </w:r>
          </w:p>
          <w:p w14:paraId="78C69172" w14:textId="77777777" w:rsidR="00FF70EA" w:rsidRPr="00610088" w:rsidRDefault="00FF70EA" w:rsidP="00FF70EA">
            <w:pPr>
              <w:rPr>
                <w:rFonts w:ascii="Arial Narrow" w:eastAsia="Times New Roman" w:hAnsi="Arial Narrow" w:cs="Times New Roman"/>
                <w:b w:val="0"/>
                <w:bCs w:val="0"/>
                <w:i/>
                <w:iCs/>
                <w:color w:val="000000"/>
                <w:sz w:val="18"/>
                <w:szCs w:val="18"/>
                <w:lang w:val="en-GB" w:eastAsia="en-GB"/>
              </w:rPr>
            </w:pPr>
            <w:r w:rsidRPr="00610088">
              <w:rPr>
                <w:rFonts w:ascii="Arial Narrow" w:eastAsia="Times New Roman" w:hAnsi="Arial Narrow" w:cs="Times New Roman"/>
                <w:b w:val="0"/>
                <w:bCs w:val="0"/>
                <w:i/>
                <w:iCs/>
                <w:color w:val="000000"/>
                <w:sz w:val="18"/>
                <w:szCs w:val="18"/>
                <w:lang w:val="en-GB" w:eastAsia="en-GB"/>
              </w:rPr>
              <w:t>** Number of morbidities counted - NOT the number of patients</w:t>
            </w:r>
          </w:p>
          <w:p w14:paraId="74C6BA85" w14:textId="77777777" w:rsidR="00FF70EA" w:rsidRPr="00610088" w:rsidRDefault="00FF70EA" w:rsidP="00FF70EA">
            <w:pPr>
              <w:rPr>
                <w:rFonts w:ascii="Arial Narrow" w:eastAsia="Times New Roman" w:hAnsi="Arial Narrow" w:cs="Times New Roman"/>
                <w:b w:val="0"/>
                <w:bCs w:val="0"/>
                <w:color w:val="000000"/>
                <w:sz w:val="18"/>
                <w:szCs w:val="18"/>
                <w:lang w:val="en-GB" w:eastAsia="en-GB"/>
              </w:rPr>
            </w:pPr>
            <w:r w:rsidRPr="00610088">
              <w:rPr>
                <w:rFonts w:ascii="Arial Narrow" w:eastAsia="Times New Roman" w:hAnsi="Arial Narrow" w:cs="Times New Roman"/>
                <w:b w:val="0"/>
                <w:bCs w:val="0"/>
                <w:i/>
                <w:iCs/>
                <w:color w:val="000000"/>
                <w:sz w:val="18"/>
                <w:szCs w:val="18"/>
                <w:lang w:val="en-GB" w:eastAsia="en-GB"/>
              </w:rPr>
              <w:t>*** Excluded "fever suspected malaria", only included confirmed malaria cases with treatment, assuming all malaria negative cases got assigned another morbidity</w:t>
            </w:r>
          </w:p>
        </w:tc>
      </w:tr>
    </w:tbl>
    <w:p w14:paraId="07C234B0" w14:textId="77777777" w:rsidR="00FF70EA" w:rsidRPr="00610088" w:rsidRDefault="00FF70EA" w:rsidP="00FF70EA">
      <w:pPr>
        <w:rPr>
          <w:sz w:val="18"/>
          <w:szCs w:val="18"/>
          <w:lang w:val="en-GB"/>
        </w:rPr>
      </w:pPr>
    </w:p>
    <w:p w14:paraId="406BEC8D" w14:textId="77777777" w:rsidR="00FF70EA" w:rsidRPr="00610088" w:rsidRDefault="00FF70EA" w:rsidP="007A5E46">
      <w:pPr>
        <w:pStyle w:val="Subtitle"/>
        <w:rPr>
          <w:b/>
          <w:bCs/>
          <w:sz w:val="18"/>
          <w:szCs w:val="18"/>
          <w:u w:val="single"/>
          <w:lang w:val="en-GB"/>
        </w:rPr>
      </w:pPr>
      <w:r w:rsidRPr="00610088">
        <w:rPr>
          <w:b/>
          <w:bCs/>
          <w:sz w:val="18"/>
          <w:szCs w:val="18"/>
          <w:u w:val="single"/>
          <w:lang w:val="en-GB"/>
        </w:rPr>
        <w:t xml:space="preserve">Cardiovascular diseases (CVD) </w:t>
      </w:r>
    </w:p>
    <w:p w14:paraId="547716F4" w14:textId="04532ACD" w:rsidR="00FF70EA" w:rsidRPr="00610088" w:rsidRDefault="00FF70EA" w:rsidP="00FF70EA">
      <w:pPr>
        <w:rPr>
          <w:sz w:val="18"/>
          <w:szCs w:val="18"/>
          <w:lang w:val="en-GB"/>
        </w:rPr>
      </w:pPr>
      <w:r w:rsidRPr="00610088">
        <w:rPr>
          <w:sz w:val="18"/>
          <w:szCs w:val="18"/>
          <w:lang w:val="en-GB"/>
        </w:rPr>
        <w:t>Cardiovascular diseases (CVD) include conditions like heart attacks and stroke. CVD are responsible for 14% of the deaths in Sierra Leone.</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lang w:val="en-GB"/>
        </w:rPr>
        <w:t xml:space="preserve"> </w:t>
      </w:r>
    </w:p>
    <w:p w14:paraId="77B87344" w14:textId="77777777" w:rsidR="00FF70EA" w:rsidRPr="00610088" w:rsidRDefault="00FF70EA" w:rsidP="00FF70EA">
      <w:pPr>
        <w:rPr>
          <w:sz w:val="18"/>
          <w:szCs w:val="18"/>
          <w:lang w:val="en-GB"/>
        </w:rPr>
      </w:pPr>
    </w:p>
    <w:p w14:paraId="7A2AF5BB" w14:textId="0E4967E4" w:rsidR="00FF70EA" w:rsidRPr="00610088" w:rsidRDefault="00FF70EA" w:rsidP="00FF70EA">
      <w:pPr>
        <w:rPr>
          <w:sz w:val="18"/>
          <w:szCs w:val="18"/>
          <w:lang w:val="en-GB"/>
        </w:rPr>
      </w:pPr>
      <w:r w:rsidRPr="00610088">
        <w:rPr>
          <w:sz w:val="18"/>
          <w:szCs w:val="18"/>
          <w:lang w:val="en-GB"/>
        </w:rPr>
        <w:t>In the top 10 causes of death for 2017 in Sierra Leone ischemic heart disease and stroke rank 4</w:t>
      </w:r>
      <w:r w:rsidRPr="00610088">
        <w:rPr>
          <w:sz w:val="18"/>
          <w:szCs w:val="18"/>
          <w:vertAlign w:val="superscript"/>
          <w:lang w:val="en-GB"/>
        </w:rPr>
        <w:t>th</w:t>
      </w:r>
      <w:r w:rsidRPr="00610088">
        <w:rPr>
          <w:sz w:val="18"/>
          <w:szCs w:val="18"/>
          <w:lang w:val="en-GB"/>
        </w:rPr>
        <w:t xml:space="preserve"> and 6</w:t>
      </w:r>
      <w:r w:rsidRPr="00610088">
        <w:rPr>
          <w:sz w:val="18"/>
          <w:szCs w:val="18"/>
          <w:vertAlign w:val="superscript"/>
          <w:lang w:val="en-GB"/>
        </w:rPr>
        <w:t>th</w:t>
      </w:r>
      <w:r w:rsidRPr="00610088">
        <w:rPr>
          <w:sz w:val="18"/>
          <w:szCs w:val="18"/>
          <w:lang w:val="en-GB"/>
        </w:rPr>
        <w:t xml:space="preserve"> respectively, showing a respective 17.0% and 16.7% increase in deaths from 2007. Ischemic heart disease ranks 10</w:t>
      </w:r>
      <w:r w:rsidRPr="00610088">
        <w:rPr>
          <w:sz w:val="18"/>
          <w:szCs w:val="18"/>
          <w:vertAlign w:val="superscript"/>
          <w:lang w:val="en-GB"/>
        </w:rPr>
        <w:t>th</w:t>
      </w:r>
      <w:r w:rsidRPr="00610088">
        <w:rPr>
          <w:sz w:val="18"/>
          <w:szCs w:val="18"/>
          <w:lang w:val="en-GB"/>
        </w:rPr>
        <w:t xml:space="preserve"> in the top 10 of premature death causes, with a 17.6% increase of premature deaths from 2007.</w:t>
      </w:r>
      <w:r w:rsidRPr="00610088">
        <w:rPr>
          <w:sz w:val="18"/>
          <w:szCs w:val="18"/>
          <w:vertAlign w:val="superscript"/>
          <w:lang w:val="en-GB"/>
        </w:rPr>
        <w:fldChar w:fldCharType="begin"/>
      </w:r>
      <w:r w:rsidRPr="00610088">
        <w:rPr>
          <w:sz w:val="18"/>
          <w:szCs w:val="18"/>
          <w:vertAlign w:val="superscript"/>
          <w:lang w:val="en-GB"/>
        </w:rPr>
        <w:instrText xml:space="preserve"> NOTEREF _Ref16768610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129</w:t>
      </w:r>
      <w:r w:rsidRPr="00610088">
        <w:rPr>
          <w:sz w:val="18"/>
          <w:szCs w:val="18"/>
          <w:vertAlign w:val="superscript"/>
          <w:lang w:val="en-GB"/>
        </w:rPr>
        <w:fldChar w:fldCharType="end"/>
      </w:r>
    </w:p>
    <w:p w14:paraId="5D21F4DA" w14:textId="77777777" w:rsidR="00FF70EA" w:rsidRPr="00610088" w:rsidRDefault="00FF70EA" w:rsidP="00FF70EA">
      <w:pPr>
        <w:rPr>
          <w:sz w:val="18"/>
          <w:szCs w:val="18"/>
          <w:lang w:val="en-GB"/>
        </w:rPr>
      </w:pPr>
    </w:p>
    <w:p w14:paraId="7ABB3B04" w14:textId="328C1DD4" w:rsidR="00FF70EA" w:rsidRPr="00610088" w:rsidRDefault="00FF70EA" w:rsidP="00FF70EA">
      <w:pPr>
        <w:rPr>
          <w:sz w:val="18"/>
          <w:szCs w:val="18"/>
          <w:lang w:val="en-GB"/>
        </w:rPr>
      </w:pPr>
      <w:r w:rsidRPr="00610088">
        <w:rPr>
          <w:sz w:val="18"/>
          <w:szCs w:val="18"/>
          <w:lang w:val="en-GB"/>
        </w:rPr>
        <w:t>The DHIS 2.0 - which counts morbidities at each visit so not unique patients - captured for 2018 in total 2,150 CVD morbidities amongst visits and admissions out of in total 5,003,031 morbidities (0.04%); 384 from primary health care and 946 and 820 from hospital out- and inpatient departments respectively.</w:t>
      </w:r>
      <w:r w:rsidRPr="00610088">
        <w:rPr>
          <w:sz w:val="18"/>
          <w:szCs w:val="18"/>
          <w:vertAlign w:val="superscript"/>
          <w:lang w:val="en-GB"/>
        </w:rPr>
        <w:fldChar w:fldCharType="begin"/>
      </w:r>
      <w:r w:rsidRPr="00610088">
        <w:rPr>
          <w:sz w:val="18"/>
          <w:szCs w:val="18"/>
          <w:vertAlign w:val="superscript"/>
          <w:lang w:val="en-GB"/>
        </w:rPr>
        <w:instrText xml:space="preserve"> NOTEREF _Ref16718151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153</w:t>
      </w:r>
      <w:r w:rsidRPr="00610088">
        <w:rPr>
          <w:sz w:val="18"/>
          <w:szCs w:val="18"/>
          <w:vertAlign w:val="superscript"/>
          <w:lang w:val="en-GB"/>
        </w:rPr>
        <w:fldChar w:fldCharType="end"/>
      </w:r>
      <w:r w:rsidRPr="00610088">
        <w:rPr>
          <w:sz w:val="18"/>
          <w:szCs w:val="18"/>
          <w:lang w:val="en-GB"/>
        </w:rPr>
        <w:t xml:space="preserve"> It should be noted that differentiation between main and additional diagnosis is not possible in the DHIS 2.0. Hypertension, a CVD risk factor, is more frequent among the morbidities (0.74%) and will be discussed in detail in the risk factor section. </w:t>
      </w:r>
    </w:p>
    <w:p w14:paraId="7BD3F0E6" w14:textId="77777777" w:rsidR="00FF70EA" w:rsidRPr="00610088" w:rsidRDefault="00FF70EA" w:rsidP="00FF70EA">
      <w:pPr>
        <w:rPr>
          <w:sz w:val="18"/>
          <w:szCs w:val="18"/>
          <w:lang w:val="en-GB"/>
        </w:rPr>
      </w:pPr>
    </w:p>
    <w:p w14:paraId="0CCDAFDA" w14:textId="7A3CA892" w:rsidR="00FF70EA" w:rsidRPr="00610088" w:rsidRDefault="00FF70EA" w:rsidP="00FF70EA">
      <w:pPr>
        <w:rPr>
          <w:sz w:val="18"/>
          <w:szCs w:val="18"/>
          <w:lang w:val="en-GB"/>
        </w:rPr>
      </w:pPr>
      <w:r w:rsidRPr="00610088">
        <w:rPr>
          <w:sz w:val="18"/>
          <w:szCs w:val="18"/>
          <w:lang w:val="en-GB"/>
        </w:rPr>
        <w:t>The 2017 Global Burden of Disease (GBD) study</w:t>
      </w:r>
      <w:r w:rsidRPr="00610088">
        <w:rPr>
          <w:sz w:val="18"/>
          <w:szCs w:val="18"/>
          <w:vertAlign w:val="superscript"/>
          <w:lang w:val="en-GB"/>
        </w:rPr>
        <w:fldChar w:fldCharType="begin"/>
      </w:r>
      <w:r w:rsidRPr="00610088">
        <w:rPr>
          <w:sz w:val="18"/>
          <w:szCs w:val="18"/>
          <w:vertAlign w:val="superscript"/>
          <w:lang w:val="en-GB"/>
        </w:rPr>
        <w:instrText xml:space="preserve"> NOTEREF _Ref16711794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r w:rsidRPr="00610088">
        <w:rPr>
          <w:sz w:val="18"/>
          <w:szCs w:val="18"/>
          <w:lang w:val="en-GB"/>
        </w:rPr>
        <w:t xml:space="preserve"> estimates 274,900 existing CVD cases in Sierra Leone (prevalence 3.7% </w:t>
      </w:r>
      <w:r w:rsidRPr="00610088">
        <w:rPr>
          <w:sz w:val="18"/>
          <w:szCs w:val="18"/>
          <w:lang w:val="en-GB"/>
        </w:rPr>
        <w:fldChar w:fldCharType="begin"/>
      </w:r>
      <w:r w:rsidRPr="00610088">
        <w:rPr>
          <w:sz w:val="18"/>
          <w:szCs w:val="18"/>
          <w:lang w:val="en-GB"/>
        </w:rPr>
        <w:instrText xml:space="preserve"> NOTEREF _Ref16838134 \h  \* MERGEFORMAT </w:instrText>
      </w:r>
      <w:r w:rsidRPr="00610088">
        <w:rPr>
          <w:sz w:val="18"/>
          <w:szCs w:val="18"/>
          <w:lang w:val="en-GB"/>
        </w:rPr>
      </w:r>
      <w:r w:rsidRPr="00610088">
        <w:rPr>
          <w:sz w:val="18"/>
          <w:szCs w:val="18"/>
          <w:lang w:val="en-GB"/>
        </w:rPr>
        <w:fldChar w:fldCharType="separate"/>
      </w:r>
      <w:r w:rsidR="00CB360C" w:rsidRPr="00CB360C">
        <w:rPr>
          <w:sz w:val="18"/>
          <w:szCs w:val="18"/>
          <w:vertAlign w:val="superscript"/>
          <w:lang w:val="en-GB"/>
        </w:rPr>
        <w:t>154</w:t>
      </w:r>
      <w:r w:rsidRPr="00610088">
        <w:rPr>
          <w:sz w:val="18"/>
          <w:szCs w:val="18"/>
          <w:lang w:val="en-GB"/>
        </w:rPr>
        <w:fldChar w:fldCharType="end"/>
      </w:r>
      <w:r w:rsidRPr="00610088">
        <w:rPr>
          <w:sz w:val="18"/>
          <w:szCs w:val="18"/>
          <w:lang w:val="en-GB"/>
        </w:rPr>
        <w:t>), with 28,500 new cases every year. The most frequent are estimated to be rheumatic heart disease (23%), ischemic heart disease (23%), peripheral vascular disease (18%) and stroke (17%).</w:t>
      </w:r>
    </w:p>
    <w:p w14:paraId="49E00141" w14:textId="77777777" w:rsidR="00FF70EA" w:rsidRPr="00610088" w:rsidRDefault="00FF70EA" w:rsidP="00FF70EA">
      <w:pPr>
        <w:rPr>
          <w:sz w:val="18"/>
          <w:szCs w:val="18"/>
          <w:lang w:val="en-GB"/>
        </w:rPr>
      </w:pPr>
    </w:p>
    <w:p w14:paraId="319D0A42" w14:textId="23AA47F0" w:rsidR="00FF70EA" w:rsidRPr="00610088" w:rsidRDefault="00FF70EA" w:rsidP="00FF70EA">
      <w:pPr>
        <w:rPr>
          <w:sz w:val="18"/>
          <w:szCs w:val="18"/>
          <w:lang w:val="en-GB"/>
        </w:rPr>
      </w:pPr>
      <w:r w:rsidRPr="00610088">
        <w:rPr>
          <w:sz w:val="18"/>
          <w:szCs w:val="18"/>
          <w:lang w:val="en-GB"/>
        </w:rPr>
        <w:t xml:space="preserve">King’s Sierra Leone Partnership together with the Connaught Hospital established a longitudinal prospective stroke register at the hospital on 8 April 2019. Early analysis of pilot data </w:t>
      </w:r>
      <w:r w:rsidR="0005389B" w:rsidRPr="00610088">
        <w:rPr>
          <w:sz w:val="18"/>
          <w:szCs w:val="18"/>
          <w:lang w:val="en-GB"/>
        </w:rPr>
        <w:t>from the register</w:t>
      </w:r>
      <w:r w:rsidRPr="00610088">
        <w:rPr>
          <w:sz w:val="18"/>
          <w:szCs w:val="18"/>
          <w:lang w:val="en-GB"/>
        </w:rPr>
        <w:t xml:space="preserve"> shows no sex difference (50% women) and a median age of 60 for first stroke. There is a high proportion of haemorrhagic strokes (</w:t>
      </w:r>
      <w:r w:rsidR="0005389B" w:rsidRPr="00610088">
        <w:rPr>
          <w:sz w:val="18"/>
          <w:szCs w:val="18"/>
          <w:lang w:val="en-GB"/>
        </w:rPr>
        <w:t>35%</w:t>
      </w:r>
      <w:r w:rsidRPr="00610088">
        <w:rPr>
          <w:sz w:val="18"/>
          <w:szCs w:val="18"/>
          <w:lang w:val="en-GB"/>
        </w:rPr>
        <w:t>) which is higher than the sub-region and many High-Income countries. Hypertension is the dominant risk factor, present in 95% of the cases.</w:t>
      </w:r>
      <w:r w:rsidRPr="00610088">
        <w:rPr>
          <w:rStyle w:val="EndnoteReference"/>
          <w:sz w:val="18"/>
          <w:szCs w:val="18"/>
          <w:lang w:val="en-GB"/>
        </w:rPr>
        <w:t xml:space="preserve"> </w:t>
      </w:r>
      <w:r w:rsidRPr="00610088">
        <w:rPr>
          <w:sz w:val="18"/>
          <w:szCs w:val="18"/>
          <w:lang w:val="en-GB"/>
        </w:rPr>
        <w:t>Cases moved from an average Barthel index pre stroke score of 10</w:t>
      </w:r>
      <w:r w:rsidR="0005389B" w:rsidRPr="00610088">
        <w:rPr>
          <w:sz w:val="18"/>
          <w:szCs w:val="18"/>
          <w:lang w:val="en-GB"/>
        </w:rPr>
        <w:t>0</w:t>
      </w:r>
      <w:r w:rsidRPr="00610088">
        <w:rPr>
          <w:sz w:val="18"/>
          <w:szCs w:val="18"/>
          <w:lang w:val="en-GB"/>
        </w:rPr>
        <w:t xml:space="preserve"> (fully independent) to an average Barthel index post stroke score</w:t>
      </w:r>
      <w:r w:rsidR="0005389B" w:rsidRPr="00610088">
        <w:rPr>
          <w:sz w:val="18"/>
          <w:szCs w:val="18"/>
          <w:lang w:val="en-GB"/>
        </w:rPr>
        <w:t xml:space="preserve"> of 10</w:t>
      </w:r>
      <w:r w:rsidRPr="00610088">
        <w:rPr>
          <w:sz w:val="18"/>
          <w:szCs w:val="18"/>
          <w:lang w:val="en-GB"/>
        </w:rPr>
        <w:t xml:space="preserve"> (very disabled), with the average National Institute of Health Stroke Severity Score being 1</w:t>
      </w:r>
      <w:r w:rsidR="0005389B" w:rsidRPr="00610088">
        <w:rPr>
          <w:sz w:val="18"/>
          <w:szCs w:val="18"/>
          <w:lang w:val="en-GB"/>
        </w:rPr>
        <w:t>5</w:t>
      </w:r>
      <w:r w:rsidRPr="00610088">
        <w:rPr>
          <w:sz w:val="18"/>
          <w:szCs w:val="18"/>
          <w:lang w:val="en-GB"/>
        </w:rPr>
        <w:t xml:space="preserve"> (severe). The hospital mortality is high (</w:t>
      </w:r>
      <w:r w:rsidR="0005389B" w:rsidRPr="00610088">
        <w:rPr>
          <w:sz w:val="18"/>
          <w:szCs w:val="18"/>
          <w:lang w:val="en-GB"/>
        </w:rPr>
        <w:t>33</w:t>
      </w:r>
      <w:r w:rsidRPr="00610088">
        <w:rPr>
          <w:sz w:val="18"/>
          <w:szCs w:val="18"/>
          <w:lang w:val="en-GB"/>
        </w:rPr>
        <w:t>%)</w:t>
      </w:r>
      <w:r w:rsidR="0005389B" w:rsidRPr="00610088">
        <w:rPr>
          <w:sz w:val="18"/>
          <w:szCs w:val="18"/>
          <w:lang w:val="en-GB"/>
        </w:rPr>
        <w:t xml:space="preserve"> and at 3 months follow-up mortality is 53%</w:t>
      </w:r>
      <w:r w:rsidRPr="00610088">
        <w:rPr>
          <w:sz w:val="18"/>
          <w:szCs w:val="18"/>
          <w:lang w:val="en-GB"/>
        </w:rPr>
        <w:t xml:space="preserve">. In summary this means that in Sierra Leone – in comparison with the sub-region and in High-Income countries – younger previously fully independent and healthy individuals are having more severe strokes that cause significant death and </w:t>
      </w:r>
      <w:r w:rsidR="0005389B" w:rsidRPr="00610088">
        <w:rPr>
          <w:sz w:val="18"/>
          <w:szCs w:val="18"/>
          <w:lang w:val="en-GB"/>
        </w:rPr>
        <w:t>disability</w:t>
      </w:r>
      <w:r w:rsidRPr="00610088">
        <w:rPr>
          <w:sz w:val="18"/>
          <w:szCs w:val="18"/>
          <w:lang w:val="en-GB"/>
        </w:rPr>
        <w:t xml:space="preserve">. </w:t>
      </w:r>
      <w:bookmarkStart w:id="152" w:name="_Ref17397286"/>
      <w:r w:rsidRPr="00610088">
        <w:rPr>
          <w:rStyle w:val="EndnoteReference"/>
          <w:sz w:val="18"/>
          <w:szCs w:val="18"/>
          <w:lang w:val="en-GB"/>
        </w:rPr>
        <w:endnoteReference w:id="130"/>
      </w:r>
      <w:bookmarkEnd w:id="152"/>
      <w:r w:rsidRPr="00610088">
        <w:rPr>
          <w:sz w:val="18"/>
          <w:szCs w:val="18"/>
          <w:lang w:val="en-GB"/>
        </w:rPr>
        <w:t xml:space="preserve"> </w:t>
      </w:r>
    </w:p>
    <w:p w14:paraId="709F522D" w14:textId="77777777" w:rsidR="00FF70EA" w:rsidRPr="00610088" w:rsidRDefault="00FF70EA" w:rsidP="00FF70EA">
      <w:pPr>
        <w:ind w:left="720" w:hanging="720"/>
        <w:rPr>
          <w:sz w:val="18"/>
          <w:szCs w:val="18"/>
          <w:lang w:val="en-GB"/>
        </w:rPr>
      </w:pPr>
      <w:r w:rsidRPr="00610088">
        <w:rPr>
          <w:sz w:val="18"/>
          <w:szCs w:val="18"/>
          <w:lang w:val="en-GB"/>
        </w:rPr>
        <w:t xml:space="preserve"> </w:t>
      </w:r>
    </w:p>
    <w:p w14:paraId="2B207E23" w14:textId="77777777" w:rsidR="00FF70EA" w:rsidRPr="00610088" w:rsidRDefault="00FF70EA" w:rsidP="00FF70EA">
      <w:pPr>
        <w:rPr>
          <w:sz w:val="18"/>
          <w:szCs w:val="18"/>
          <w:lang w:val="en-GB"/>
        </w:rPr>
      </w:pPr>
      <w:r w:rsidRPr="00610088">
        <w:rPr>
          <w:sz w:val="18"/>
          <w:szCs w:val="18"/>
          <w:lang w:val="en-GB"/>
        </w:rPr>
        <w:t>Risk factors for CVD include tobacco use, unhealthy diet, obesity, physical inactivity, harmful use of alcohol, hypertension, diabetes and hyperlipidaemia.</w:t>
      </w:r>
      <w:r w:rsidRPr="00610088">
        <w:rPr>
          <w:rStyle w:val="EndnoteReference"/>
          <w:sz w:val="18"/>
          <w:szCs w:val="18"/>
          <w:lang w:val="en-GB"/>
        </w:rPr>
        <w:endnoteReference w:id="131"/>
      </w:r>
      <w:r w:rsidRPr="00610088">
        <w:rPr>
          <w:sz w:val="18"/>
          <w:szCs w:val="18"/>
          <w:lang w:val="en-GB"/>
        </w:rPr>
        <w:t xml:space="preserve"> In rheumatic heart disease the heart muscle and valves are damaged by rheumatic fever, caused by an infection with streptococcal bacteria. These bacteria are a common cause of throat infections during childhood. The other risk factors will be discussed in the respective disease and risk factor sections below.</w:t>
      </w:r>
    </w:p>
    <w:p w14:paraId="1893CCE0" w14:textId="77777777" w:rsidR="00FF70EA" w:rsidRPr="00610088" w:rsidRDefault="00FF70EA" w:rsidP="00FF70EA">
      <w:pPr>
        <w:ind w:left="720" w:hanging="720"/>
        <w:rPr>
          <w:sz w:val="18"/>
          <w:szCs w:val="18"/>
          <w:lang w:val="en-GB"/>
        </w:rPr>
      </w:pPr>
    </w:p>
    <w:p w14:paraId="79275DC7" w14:textId="77777777" w:rsidR="00FF70EA" w:rsidRPr="00610088" w:rsidRDefault="00FF70EA" w:rsidP="007A5E46">
      <w:pPr>
        <w:pStyle w:val="Subtitle"/>
        <w:rPr>
          <w:b/>
          <w:bCs/>
          <w:sz w:val="18"/>
          <w:szCs w:val="18"/>
          <w:u w:val="single"/>
          <w:lang w:val="en-GB"/>
        </w:rPr>
      </w:pPr>
      <w:r w:rsidRPr="00610088">
        <w:rPr>
          <w:b/>
          <w:bCs/>
          <w:sz w:val="18"/>
          <w:szCs w:val="18"/>
          <w:u w:val="single"/>
          <w:lang w:val="en-GB"/>
        </w:rPr>
        <w:t xml:space="preserve">Cancers </w:t>
      </w:r>
    </w:p>
    <w:p w14:paraId="639F9498" w14:textId="3BCD3858" w:rsidR="00FF70EA" w:rsidRPr="00610088" w:rsidRDefault="00FF70EA" w:rsidP="00FF70EA">
      <w:pPr>
        <w:rPr>
          <w:sz w:val="18"/>
          <w:szCs w:val="18"/>
          <w:lang w:val="en-GB"/>
        </w:rPr>
      </w:pPr>
      <w:r w:rsidRPr="00610088">
        <w:rPr>
          <w:sz w:val="18"/>
          <w:szCs w:val="18"/>
          <w:lang w:val="en-GB"/>
        </w:rPr>
        <w:t>As mentioned above, cancers are responsible for 3% of the deaths in Sierra Leone.</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lang w:val="en-GB"/>
        </w:rPr>
        <w:t xml:space="preserve"> Cancer incidence and prevalence information is limited, the cancer registry is collecting information from 18 health facilities in the Western Area, most of them located in the urban part. The Global Cancer Observatory estimated that there were 4,125 new cases of cancer in Sierra Leone in 2018 (M 1,625; F 2,500). In 2018 there were an estimated 5,984 (M 2,123; F 3,861) people alive who were diagnosed with cancer in the last 5 years (5-year prevalence). The estimated number cancer deaths in 2018 was 3,002 (M 1,265; F 1,737). The risk of developing and dying of cancer before the age of 75 years is respectively 10.6% (M 9.6%; F 11.5%) and 8.4% (M 7.8%; F 8.9%). The most frequent cancers in Sierra Leone are breast, liver, prostate, cervix and colorectum cancers. For women the most frequent cancers are breast, cervix, liver, colorectum and stomach cancers. For men the most frequent cancers are prostate, liver, stomach, colorectum and Non-Hodgkin lymphoma cancer. </w:t>
      </w:r>
      <w:bookmarkStart w:id="153" w:name="_Ref32402016"/>
      <w:r w:rsidRPr="00610088">
        <w:rPr>
          <w:rStyle w:val="EndnoteReference"/>
          <w:sz w:val="18"/>
          <w:szCs w:val="18"/>
          <w:lang w:val="en-GB"/>
        </w:rPr>
        <w:endnoteReference w:id="132"/>
      </w:r>
      <w:bookmarkEnd w:id="153"/>
      <w:r w:rsidRPr="00610088">
        <w:rPr>
          <w:sz w:val="18"/>
          <w:szCs w:val="18"/>
          <w:lang w:val="en-GB"/>
        </w:rPr>
        <w:t xml:space="preserve"> Whilst cancers in children are generally rarer there remain significant numbers of cases with key identifiable tumours including Burkitt’s Lymphoma, Retinoblastoma and Wilms’ (nephroblastoma). </w:t>
      </w:r>
      <w:bookmarkStart w:id="154" w:name="_Ref32574577"/>
      <w:r w:rsidRPr="00610088">
        <w:rPr>
          <w:rStyle w:val="EndnoteReference"/>
          <w:sz w:val="18"/>
          <w:szCs w:val="18"/>
          <w:lang w:val="en-GB"/>
        </w:rPr>
        <w:endnoteReference w:id="133"/>
      </w:r>
      <w:bookmarkEnd w:id="154"/>
    </w:p>
    <w:p w14:paraId="7C14777D" w14:textId="7CCFC412" w:rsidR="00FF70EA" w:rsidRPr="00610088" w:rsidRDefault="00FF70EA" w:rsidP="00FF70EA">
      <w:pPr>
        <w:rPr>
          <w:sz w:val="18"/>
          <w:szCs w:val="18"/>
          <w:lang w:val="en-GB"/>
        </w:rPr>
      </w:pPr>
      <w:r w:rsidRPr="00610088">
        <w:rPr>
          <w:sz w:val="18"/>
          <w:szCs w:val="18"/>
          <w:lang w:val="en-GB"/>
        </w:rPr>
        <w:lastRenderedPageBreak/>
        <w:t>The Connaught Palliative Care</w:t>
      </w:r>
      <w:r w:rsidR="003761CC" w:rsidRPr="00610088">
        <w:rPr>
          <w:sz w:val="18"/>
          <w:szCs w:val="18"/>
          <w:lang w:val="en-GB"/>
        </w:rPr>
        <w:t xml:space="preserve"> Unit</w:t>
      </w:r>
      <w:r w:rsidRPr="00610088">
        <w:rPr>
          <w:sz w:val="18"/>
          <w:szCs w:val="18"/>
          <w:lang w:val="en-GB"/>
        </w:rPr>
        <w:t xml:space="preserve"> (CPC</w:t>
      </w:r>
      <w:r w:rsidR="003761CC" w:rsidRPr="00610088">
        <w:rPr>
          <w:sz w:val="18"/>
          <w:szCs w:val="18"/>
          <w:lang w:val="en-GB"/>
        </w:rPr>
        <w:t>U</w:t>
      </w:r>
      <w:r w:rsidRPr="00610088">
        <w:rPr>
          <w:sz w:val="18"/>
          <w:szCs w:val="18"/>
          <w:lang w:val="en-GB"/>
        </w:rPr>
        <w:t>) saw 168 patients in its first 15 months of action, 95% for cancer.</w:t>
      </w:r>
      <w:r w:rsidRPr="00610088">
        <w:rPr>
          <w:rStyle w:val="EndnoteReference"/>
          <w:sz w:val="18"/>
          <w:szCs w:val="18"/>
          <w:lang w:val="en-GB"/>
        </w:rPr>
        <w:t xml:space="preserve"> </w:t>
      </w:r>
      <w:bookmarkStart w:id="155" w:name="_Ref32242606"/>
      <w:r w:rsidRPr="00610088">
        <w:rPr>
          <w:rStyle w:val="EndnoteReference"/>
          <w:sz w:val="18"/>
          <w:szCs w:val="18"/>
          <w:lang w:val="en-GB"/>
        </w:rPr>
        <w:endnoteReference w:id="134"/>
      </w:r>
      <w:bookmarkEnd w:id="155"/>
      <w:r w:rsidRPr="00610088">
        <w:rPr>
          <w:sz w:val="18"/>
          <w:szCs w:val="18"/>
          <w:lang w:val="en-GB"/>
        </w:rPr>
        <w:t xml:space="preserve"> The most common conditions among adult (&gt;18 years) palliative patients were breast cancer and hepatocellular cancer, followed by abdominal (including ovarian) and cervical cancer. The most common conditions among paediatric palliative patients were Burkitt’s lymphoma and retinoblastoma, followed by Wilm</w:t>
      </w:r>
      <w:r w:rsidR="00826E74">
        <w:rPr>
          <w:sz w:val="18"/>
          <w:szCs w:val="18"/>
          <w:lang w:val="en-GB"/>
        </w:rPr>
        <w:t>s</w:t>
      </w:r>
      <w:r w:rsidRPr="00610088">
        <w:rPr>
          <w:sz w:val="18"/>
          <w:szCs w:val="18"/>
          <w:lang w:val="en-GB"/>
        </w:rPr>
        <w:t>’</w:t>
      </w:r>
      <w:r w:rsidR="00826E74">
        <w:rPr>
          <w:sz w:val="18"/>
          <w:szCs w:val="18"/>
          <w:lang w:val="en-GB"/>
        </w:rPr>
        <w:t xml:space="preserve"> </w:t>
      </w:r>
      <w:r w:rsidRPr="00610088">
        <w:rPr>
          <w:sz w:val="18"/>
          <w:szCs w:val="18"/>
          <w:lang w:val="en-GB"/>
        </w:rPr>
        <w:t xml:space="preserve">nephroblastoma and rhabdomyosarcoma. </w:t>
      </w:r>
    </w:p>
    <w:p w14:paraId="3838E24F" w14:textId="77777777" w:rsidR="00FF70EA" w:rsidRPr="00610088" w:rsidRDefault="00FF70EA" w:rsidP="00FF70EA">
      <w:pPr>
        <w:rPr>
          <w:sz w:val="18"/>
          <w:szCs w:val="18"/>
          <w:lang w:val="en-GB"/>
        </w:rPr>
      </w:pPr>
    </w:p>
    <w:p w14:paraId="5C38FEC6" w14:textId="10AF2585" w:rsidR="00FF70EA" w:rsidRPr="00610088" w:rsidRDefault="00FF70EA" w:rsidP="00FF70EA">
      <w:pPr>
        <w:rPr>
          <w:sz w:val="18"/>
          <w:szCs w:val="18"/>
          <w:lang w:val="en-GB"/>
        </w:rPr>
      </w:pPr>
      <w:r w:rsidRPr="00610088">
        <w:rPr>
          <w:sz w:val="18"/>
          <w:szCs w:val="18"/>
          <w:lang w:val="en-GB"/>
        </w:rPr>
        <w:t xml:space="preserve">920 visits and admissions of patients with tumours or cancers were reported to the DHIS 2.0 in 2018 of which 41% in the Western Area (urban + rural), with an average of 66 per district (range 1-209). </w:t>
      </w:r>
      <w:r w:rsidRPr="00610088">
        <w:rPr>
          <w:sz w:val="18"/>
          <w:szCs w:val="18"/>
          <w:vertAlign w:val="superscript"/>
          <w:lang w:val="en-GB"/>
        </w:rPr>
        <w:fldChar w:fldCharType="begin"/>
      </w:r>
      <w:r w:rsidRPr="00610088">
        <w:rPr>
          <w:sz w:val="18"/>
          <w:szCs w:val="18"/>
          <w:vertAlign w:val="superscript"/>
          <w:lang w:val="en-GB"/>
        </w:rPr>
        <w:instrText xml:space="preserve"> NOTEREF _Ref16718151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153</w:t>
      </w:r>
      <w:r w:rsidRPr="00610088">
        <w:rPr>
          <w:sz w:val="18"/>
          <w:szCs w:val="18"/>
          <w:vertAlign w:val="superscript"/>
          <w:lang w:val="en-GB"/>
        </w:rPr>
        <w:fldChar w:fldCharType="end"/>
      </w:r>
    </w:p>
    <w:p w14:paraId="1192CDDF" w14:textId="77777777" w:rsidR="00FF70EA" w:rsidRPr="00610088" w:rsidRDefault="00FF70EA" w:rsidP="00FF70EA">
      <w:pPr>
        <w:rPr>
          <w:sz w:val="18"/>
          <w:szCs w:val="18"/>
          <w:lang w:val="en-GB"/>
        </w:rPr>
      </w:pPr>
    </w:p>
    <w:p w14:paraId="47F0929E" w14:textId="77777777" w:rsidR="00FF70EA" w:rsidRPr="00610088" w:rsidRDefault="00FF70EA" w:rsidP="00FF70EA">
      <w:pPr>
        <w:rPr>
          <w:sz w:val="18"/>
          <w:szCs w:val="18"/>
          <w:lang w:val="en-GB"/>
        </w:rPr>
      </w:pPr>
      <w:r w:rsidRPr="00610088">
        <w:rPr>
          <w:sz w:val="18"/>
          <w:szCs w:val="18"/>
          <w:lang w:val="en-GB"/>
        </w:rPr>
        <w:t>The Western Area cancer registry data</w:t>
      </w:r>
      <w:r w:rsidRPr="00610088">
        <w:rPr>
          <w:rStyle w:val="EndnoteReference"/>
          <w:sz w:val="18"/>
          <w:szCs w:val="18"/>
          <w:lang w:val="en-GB"/>
        </w:rPr>
        <w:endnoteReference w:id="135"/>
      </w:r>
      <w:r w:rsidRPr="00610088">
        <w:rPr>
          <w:sz w:val="18"/>
          <w:szCs w:val="18"/>
          <w:lang w:val="en-GB"/>
        </w:rPr>
        <w:t xml:space="preserve"> show a gradual annual increase of cases from 2015 to 2017 (267, 330, 442) with an annual average of 346, which is less than 10% of the estimated annual cases.  94% of the 2015-2017 cases are reported from urban health facilities. More than 80% of the annual cases for 2016 and 2017 for males are due to liver and prostate cancer and for women are due to breast and cervix cancer. </w:t>
      </w:r>
    </w:p>
    <w:p w14:paraId="7335907C" w14:textId="25466C20" w:rsidR="00FF70EA" w:rsidRPr="00610088" w:rsidRDefault="00FF70EA" w:rsidP="00FF70EA">
      <w:pPr>
        <w:rPr>
          <w:sz w:val="18"/>
          <w:szCs w:val="18"/>
          <w:lang w:val="en-GB"/>
        </w:rPr>
      </w:pPr>
      <w:r w:rsidRPr="00610088">
        <w:rPr>
          <w:sz w:val="18"/>
          <w:szCs w:val="18"/>
          <w:lang w:val="en-GB"/>
        </w:rPr>
        <w:t xml:space="preserve">The preliminary analysis for 2018 shows a similar picture, although with a higher annual figure (1,529) due to an increase of the reporting facilities from 12 to 18, with for women most common are breast (75.6%) and cervix (22.0%) cancer and for men prostate (56%), </w:t>
      </w:r>
      <w:r w:rsidR="00607B2D">
        <w:rPr>
          <w:sz w:val="18"/>
          <w:szCs w:val="18"/>
          <w:lang w:val="en-GB"/>
        </w:rPr>
        <w:t>l</w:t>
      </w:r>
      <w:r w:rsidRPr="00610088">
        <w:rPr>
          <w:sz w:val="18"/>
          <w:szCs w:val="18"/>
          <w:lang w:val="en-GB"/>
        </w:rPr>
        <w:t>iver (15%) and eye (14%) cancer.  Total cases for 2015-2018 are 2,568 of which 1,510 female</w:t>
      </w:r>
      <w:r w:rsidR="003761CC" w:rsidRPr="00610088">
        <w:rPr>
          <w:sz w:val="18"/>
          <w:szCs w:val="18"/>
          <w:lang w:val="en-GB"/>
        </w:rPr>
        <w:t>s</w:t>
      </w:r>
      <w:r w:rsidRPr="00610088">
        <w:rPr>
          <w:sz w:val="18"/>
          <w:szCs w:val="18"/>
          <w:lang w:val="en-GB"/>
        </w:rPr>
        <w:t xml:space="preserve"> and 1,058 male</w:t>
      </w:r>
      <w:r w:rsidR="003761CC" w:rsidRPr="00610088">
        <w:rPr>
          <w:sz w:val="18"/>
          <w:szCs w:val="18"/>
          <w:lang w:val="en-GB"/>
        </w:rPr>
        <w:t>s</w:t>
      </w:r>
      <w:r w:rsidRPr="00610088">
        <w:rPr>
          <w:sz w:val="18"/>
          <w:szCs w:val="18"/>
          <w:lang w:val="en-GB"/>
        </w:rPr>
        <w:t xml:space="preserve">. The 2018 figure is still only a bit more than one third of the annual new cases. </w:t>
      </w:r>
    </w:p>
    <w:p w14:paraId="68F4E420" w14:textId="77777777" w:rsidR="00FF70EA" w:rsidRPr="00610088" w:rsidRDefault="00FF70EA" w:rsidP="00FF70EA">
      <w:pPr>
        <w:rPr>
          <w:sz w:val="18"/>
          <w:szCs w:val="18"/>
          <w:lang w:val="en-GB"/>
        </w:rPr>
      </w:pPr>
    </w:p>
    <w:p w14:paraId="15E07BDD" w14:textId="77777777" w:rsidR="00FF70EA" w:rsidRPr="00610088" w:rsidRDefault="00FF70EA" w:rsidP="00FF70EA">
      <w:pPr>
        <w:rPr>
          <w:sz w:val="18"/>
          <w:szCs w:val="18"/>
          <w:lang w:val="en-GB"/>
        </w:rPr>
      </w:pPr>
      <w:r w:rsidRPr="00610088">
        <w:rPr>
          <w:sz w:val="18"/>
          <w:szCs w:val="18"/>
          <w:lang w:val="en-GB"/>
        </w:rPr>
        <w:t>Two historical studies report 0.08% (20 out of 22,543) admission cases with ‘malignant new growths’ from 1870-1900 and 30 cases for 1900-1910 with 10 in the last year (1910).</w:t>
      </w:r>
      <w:r w:rsidRPr="00610088">
        <w:rPr>
          <w:rStyle w:val="EndnoteReference"/>
          <w:sz w:val="18"/>
          <w:szCs w:val="18"/>
          <w:lang w:val="en-GB"/>
        </w:rPr>
        <w:endnoteReference w:id="136"/>
      </w:r>
      <w:r w:rsidRPr="00610088">
        <w:rPr>
          <w:sz w:val="18"/>
          <w:szCs w:val="18"/>
          <w:vertAlign w:val="superscript"/>
          <w:lang w:val="en-GB"/>
        </w:rPr>
        <w:t xml:space="preserve">, </w:t>
      </w:r>
      <w:r w:rsidRPr="00610088">
        <w:rPr>
          <w:rStyle w:val="EndnoteReference"/>
          <w:sz w:val="18"/>
          <w:szCs w:val="18"/>
          <w:lang w:val="en-GB"/>
        </w:rPr>
        <w:endnoteReference w:id="137"/>
      </w:r>
      <w:r w:rsidRPr="00610088">
        <w:rPr>
          <w:sz w:val="18"/>
          <w:szCs w:val="18"/>
          <w:vertAlign w:val="superscript"/>
          <w:lang w:val="en-GB"/>
        </w:rPr>
        <w:t xml:space="preserve">  </w:t>
      </w:r>
      <w:r w:rsidRPr="00610088">
        <w:rPr>
          <w:sz w:val="18"/>
          <w:szCs w:val="18"/>
          <w:lang w:val="en-GB"/>
        </w:rPr>
        <w:t xml:space="preserve">One surgical survey </w:t>
      </w:r>
      <w:r w:rsidRPr="00610088">
        <w:rPr>
          <w:rStyle w:val="EndnoteReference"/>
          <w:sz w:val="18"/>
          <w:szCs w:val="18"/>
          <w:lang w:val="en-GB"/>
        </w:rPr>
        <w:endnoteReference w:id="138"/>
      </w:r>
      <w:r w:rsidRPr="00610088">
        <w:rPr>
          <w:sz w:val="18"/>
          <w:szCs w:val="18"/>
          <w:lang w:val="en-GB"/>
        </w:rPr>
        <w:t xml:space="preserve"> found a breast mass prevalence of 3.3% among 3,645 persons from 1,843 households in Sierra Leone in 2012, mostly in women, with 49.1% in women over 30 years. </w:t>
      </w:r>
    </w:p>
    <w:p w14:paraId="5FFC97C3" w14:textId="77777777" w:rsidR="00FF70EA" w:rsidRPr="00610088" w:rsidRDefault="00FF70EA" w:rsidP="00FF70EA">
      <w:pPr>
        <w:rPr>
          <w:sz w:val="18"/>
          <w:szCs w:val="18"/>
          <w:lang w:val="en-GB"/>
        </w:rPr>
      </w:pPr>
    </w:p>
    <w:p w14:paraId="785702CE" w14:textId="77777777" w:rsidR="00FF70EA" w:rsidRPr="00610088" w:rsidRDefault="00FF70EA" w:rsidP="00FF70EA">
      <w:pPr>
        <w:rPr>
          <w:sz w:val="18"/>
          <w:szCs w:val="18"/>
          <w:lang w:val="en-GB"/>
        </w:rPr>
      </w:pPr>
      <w:r w:rsidRPr="00610088">
        <w:rPr>
          <w:sz w:val="18"/>
          <w:szCs w:val="18"/>
          <w:lang w:val="en-GB"/>
        </w:rPr>
        <w:t xml:space="preserve">A recent NCD study </w:t>
      </w:r>
      <w:r w:rsidRPr="00610088">
        <w:rPr>
          <w:rStyle w:val="EndnoteReference"/>
          <w:sz w:val="18"/>
          <w:szCs w:val="18"/>
          <w:lang w:val="en-GB"/>
        </w:rPr>
        <w:endnoteReference w:id="139"/>
      </w:r>
      <w:r w:rsidRPr="00610088">
        <w:rPr>
          <w:sz w:val="18"/>
          <w:szCs w:val="18"/>
          <w:lang w:val="en-GB"/>
        </w:rPr>
        <w:t xml:space="preserve"> in selected health facilities in the Western Area (in 27 PHUs, 5 secondary hospitals and 1 tertiary hospital for internal medicine) using the DHIS 2.0 found 82 (44% female) tumour/cancer cases in the pre-Ebola period (Jun13-Apr14) and 45 cases (87% female) during the Ebola outbreak (Jun14-Apr15). The majority were reported from tertiary health care level (91%). </w:t>
      </w:r>
    </w:p>
    <w:p w14:paraId="3D13996A" w14:textId="77777777" w:rsidR="00FF70EA" w:rsidRPr="00610088" w:rsidRDefault="00FF70EA" w:rsidP="00FF70EA">
      <w:pPr>
        <w:rPr>
          <w:sz w:val="18"/>
          <w:szCs w:val="18"/>
          <w:lang w:val="en-GB"/>
        </w:rPr>
      </w:pPr>
    </w:p>
    <w:p w14:paraId="33F145A9" w14:textId="77777777" w:rsidR="00FF70EA" w:rsidRPr="00610088" w:rsidRDefault="00FF70EA" w:rsidP="00FF70EA">
      <w:pPr>
        <w:rPr>
          <w:sz w:val="18"/>
          <w:szCs w:val="18"/>
          <w:lang w:val="en-GB"/>
        </w:rPr>
      </w:pPr>
      <w:r w:rsidRPr="00610088">
        <w:rPr>
          <w:sz w:val="18"/>
          <w:szCs w:val="18"/>
          <w:lang w:val="en-GB"/>
        </w:rPr>
        <w:t xml:space="preserve">Cancer risk factors include tobacco, physical inactivity, dietary factors, obesity and overweight, alcohol use, infections, environmental pollution, occupational carcinogens and radiation. </w:t>
      </w:r>
    </w:p>
    <w:p w14:paraId="4A0A292E" w14:textId="77777777" w:rsidR="00FF70EA" w:rsidRPr="00610088" w:rsidRDefault="00FF70EA" w:rsidP="00FF70EA">
      <w:pPr>
        <w:rPr>
          <w:sz w:val="18"/>
          <w:szCs w:val="18"/>
          <w:lang w:val="en-GB"/>
        </w:rPr>
      </w:pPr>
    </w:p>
    <w:p w14:paraId="02DA99D0" w14:textId="77777777" w:rsidR="00FF70EA" w:rsidRPr="00610088" w:rsidRDefault="00FF70EA" w:rsidP="00FF70EA">
      <w:pPr>
        <w:rPr>
          <w:sz w:val="18"/>
          <w:szCs w:val="18"/>
          <w:lang w:val="en-GB"/>
        </w:rPr>
      </w:pPr>
      <w:r w:rsidRPr="00610088">
        <w:rPr>
          <w:sz w:val="18"/>
          <w:szCs w:val="18"/>
          <w:lang w:val="en-GB"/>
        </w:rPr>
        <w:t>Infectious agents such as helicobacter pylori, human papilloma virus (HPV), hepatitis B and C and Epstein-Barr virus are related to almost all of the most frequent cancers in Sierra Leone: stomach cancer, cervix cancer, liver cancer and Non-Hodgkin lymphoma.</w:t>
      </w:r>
      <w:r w:rsidRPr="00610088">
        <w:rPr>
          <w:rStyle w:val="EndnoteReference"/>
          <w:sz w:val="18"/>
          <w:szCs w:val="18"/>
          <w:lang w:val="en-GB"/>
        </w:rPr>
        <w:endnoteReference w:id="140"/>
      </w:r>
      <w:r w:rsidRPr="00610088">
        <w:rPr>
          <w:sz w:val="18"/>
          <w:szCs w:val="18"/>
          <w:lang w:val="en-GB"/>
        </w:rPr>
        <w:t xml:space="preserve"> There is no national prevalence information on these infectious agents, however several scientific studies of sub-populations show that there is a considerable prevalence of at least Hepatitis B and C in Sierra Leone, contributing to the cancer case load. No prevalence information was found on helicobacter pylori and HPV prevalence, while only one study reported on Epstein-Barr virus.</w:t>
      </w:r>
    </w:p>
    <w:p w14:paraId="174B7AB6" w14:textId="77777777" w:rsidR="00FF70EA" w:rsidRPr="00610088" w:rsidRDefault="00FF70EA" w:rsidP="00FF70EA">
      <w:pPr>
        <w:rPr>
          <w:sz w:val="18"/>
          <w:szCs w:val="18"/>
          <w:lang w:val="en-GB"/>
        </w:rPr>
      </w:pPr>
    </w:p>
    <w:p w14:paraId="45AF49CC" w14:textId="77777777" w:rsidR="00FF70EA" w:rsidRPr="00610088" w:rsidRDefault="00FF70EA" w:rsidP="00FF70EA">
      <w:pPr>
        <w:rPr>
          <w:sz w:val="18"/>
          <w:szCs w:val="18"/>
          <w:lang w:val="en-GB"/>
        </w:rPr>
      </w:pPr>
      <w:r w:rsidRPr="00610088">
        <w:rPr>
          <w:sz w:val="18"/>
          <w:szCs w:val="18"/>
          <w:lang w:val="en-GB"/>
        </w:rPr>
        <w:t xml:space="preserve">A study of 16,807 blood samples (80% male) from 5 blood bank laboratories across the country in the year 2016 showed 9.7% Hepatis B and 1.0% hepatitis C prevalence. There was a higher prevalence among samples from rural blood banks, especially for Hepatitis C. Family replacement donors had a higher prevalence of Hepatitis B and C than voluntary donors. </w:t>
      </w:r>
      <w:r w:rsidRPr="00610088">
        <w:rPr>
          <w:rStyle w:val="EndnoteReference"/>
          <w:sz w:val="18"/>
          <w:szCs w:val="18"/>
          <w:lang w:val="en-GB"/>
        </w:rPr>
        <w:endnoteReference w:id="141"/>
      </w:r>
      <w:r w:rsidRPr="00610088">
        <w:rPr>
          <w:sz w:val="18"/>
          <w:szCs w:val="18"/>
          <w:lang w:val="en-GB"/>
        </w:rPr>
        <w:t xml:space="preserve"> Similar results were found in a 2016 blood donor study in up-country </w:t>
      </w:r>
      <w:proofErr w:type="spellStart"/>
      <w:r w:rsidRPr="00610088">
        <w:rPr>
          <w:sz w:val="18"/>
          <w:szCs w:val="18"/>
          <w:lang w:val="en-GB"/>
        </w:rPr>
        <w:t>Masanga</w:t>
      </w:r>
      <w:proofErr w:type="spellEnd"/>
      <w:r w:rsidRPr="00610088">
        <w:rPr>
          <w:sz w:val="18"/>
          <w:szCs w:val="18"/>
          <w:lang w:val="en-GB"/>
        </w:rPr>
        <w:t xml:space="preserve"> hospital: Hepatitis B 15% in men and 13% in women and Hepatitis C in 8% of men and 7% of women.</w:t>
      </w:r>
      <w:r w:rsidRPr="00610088">
        <w:rPr>
          <w:rStyle w:val="EndnoteReference"/>
          <w:sz w:val="18"/>
          <w:szCs w:val="18"/>
          <w:lang w:val="en-GB"/>
        </w:rPr>
        <w:endnoteReference w:id="142"/>
      </w:r>
      <w:r w:rsidRPr="00610088">
        <w:rPr>
          <w:sz w:val="18"/>
          <w:szCs w:val="18"/>
          <w:lang w:val="en-GB"/>
        </w:rPr>
        <w:t xml:space="preserve"> Chronic Hepatitis B (HBsAg positive) prevalence was 8.7% and 10.0% among 447 and 221 health care workers respectively in 2017.</w:t>
      </w:r>
      <w:r w:rsidRPr="00610088">
        <w:rPr>
          <w:rStyle w:val="EndnoteReference"/>
          <w:sz w:val="18"/>
          <w:szCs w:val="18"/>
          <w:lang w:val="en-GB"/>
        </w:rPr>
        <w:endnoteReference w:id="143"/>
      </w:r>
      <w:r w:rsidRPr="00610088">
        <w:rPr>
          <w:sz w:val="18"/>
          <w:szCs w:val="18"/>
          <w:lang w:val="en-GB"/>
        </w:rPr>
        <w:t xml:space="preserve">  A recent study of 96 patients with an unexplained yellow-fever negative febrile jaundice found Hepatitis B virus, Hepatitis C virus and Epstein-Barr virus in respectively 1.04%, 34.38% and 55.21% of the cases. </w:t>
      </w:r>
      <w:r w:rsidRPr="00610088">
        <w:rPr>
          <w:rStyle w:val="EndnoteReference"/>
          <w:sz w:val="18"/>
          <w:szCs w:val="18"/>
          <w:lang w:val="en-GB"/>
        </w:rPr>
        <w:endnoteReference w:id="144"/>
      </w:r>
      <w:r w:rsidRPr="00610088">
        <w:rPr>
          <w:sz w:val="18"/>
          <w:szCs w:val="18"/>
          <w:lang w:val="en-GB"/>
        </w:rPr>
        <w:t xml:space="preserve">  A study of 211 HIV-positive patients aged ≥ 18 years in Freetown in 2017 found 21.7% hepatitis B surface antigen (HBsAg) and 4.3% anti-HCV.</w:t>
      </w:r>
      <w:r w:rsidRPr="00610088">
        <w:rPr>
          <w:rStyle w:val="EndnoteReference"/>
          <w:sz w:val="18"/>
          <w:szCs w:val="18"/>
          <w:lang w:val="en-GB"/>
        </w:rPr>
        <w:endnoteReference w:id="145"/>
      </w:r>
      <w:r w:rsidRPr="00610088">
        <w:rPr>
          <w:sz w:val="18"/>
          <w:szCs w:val="18"/>
          <w:lang w:val="en-GB"/>
        </w:rPr>
        <w:t xml:space="preserve">  </w:t>
      </w:r>
    </w:p>
    <w:p w14:paraId="70AEF1FF" w14:textId="77777777" w:rsidR="00FF70EA" w:rsidRPr="00610088" w:rsidRDefault="00FF70EA" w:rsidP="00FF70EA">
      <w:pPr>
        <w:rPr>
          <w:sz w:val="18"/>
          <w:szCs w:val="18"/>
          <w:lang w:val="en-GB"/>
        </w:rPr>
      </w:pPr>
    </w:p>
    <w:p w14:paraId="0286AA25" w14:textId="77777777" w:rsidR="00FF70EA" w:rsidRPr="00610088" w:rsidRDefault="00FF70EA" w:rsidP="00FF70EA">
      <w:pPr>
        <w:rPr>
          <w:sz w:val="18"/>
          <w:szCs w:val="18"/>
          <w:lang w:val="en-GB"/>
        </w:rPr>
      </w:pPr>
      <w:r w:rsidRPr="00610088">
        <w:rPr>
          <w:sz w:val="18"/>
          <w:szCs w:val="18"/>
          <w:lang w:val="en-GB"/>
        </w:rPr>
        <w:t>Earlier studies showed a seroprevalence of HBsAg of 13.7% (2012-2013, Bo, 860 febrile patients)</w:t>
      </w:r>
      <w:r w:rsidRPr="00610088">
        <w:rPr>
          <w:rStyle w:val="EndnoteReference"/>
          <w:sz w:val="18"/>
          <w:szCs w:val="18"/>
          <w:lang w:val="en-GB"/>
        </w:rPr>
        <w:endnoteReference w:id="146"/>
      </w:r>
      <w:r w:rsidRPr="00610088">
        <w:rPr>
          <w:sz w:val="18"/>
          <w:szCs w:val="18"/>
          <w:lang w:val="en-GB"/>
        </w:rPr>
        <w:t xml:space="preserve">, 6.2% (2005, </w:t>
      </w:r>
      <w:proofErr w:type="gramStart"/>
      <w:r w:rsidRPr="00610088">
        <w:rPr>
          <w:sz w:val="18"/>
          <w:szCs w:val="18"/>
          <w:lang w:val="en-GB"/>
        </w:rPr>
        <w:t>Freetown,  302</w:t>
      </w:r>
      <w:proofErr w:type="gramEnd"/>
      <w:r w:rsidRPr="00610088">
        <w:rPr>
          <w:sz w:val="18"/>
          <w:szCs w:val="18"/>
          <w:lang w:val="en-GB"/>
        </w:rPr>
        <w:t xml:space="preserve"> middle/high socio-economic class pregnant women attending antenatal care, Freetown)</w:t>
      </w:r>
      <w:r w:rsidRPr="00610088">
        <w:rPr>
          <w:rStyle w:val="EndnoteReference"/>
          <w:sz w:val="18"/>
          <w:szCs w:val="18"/>
          <w:lang w:val="en-GB"/>
        </w:rPr>
        <w:endnoteReference w:id="147"/>
      </w:r>
      <w:r w:rsidRPr="00610088">
        <w:rPr>
          <w:sz w:val="18"/>
          <w:szCs w:val="18"/>
          <w:lang w:val="en-GB"/>
        </w:rPr>
        <w:t>, 16.7% (1998, Freetown, 66 primary school children)</w:t>
      </w:r>
      <w:r w:rsidRPr="00610088">
        <w:rPr>
          <w:rStyle w:val="EndnoteReference"/>
          <w:sz w:val="18"/>
          <w:szCs w:val="18"/>
          <w:lang w:val="en-GB"/>
        </w:rPr>
        <w:endnoteReference w:id="148"/>
      </w:r>
      <w:r w:rsidRPr="00610088">
        <w:rPr>
          <w:sz w:val="18"/>
          <w:szCs w:val="18"/>
          <w:lang w:val="en-GB"/>
        </w:rPr>
        <w:t xml:space="preserve"> and 11.3% (1997, rural/semi-urban, 179 pregnant women attending antenatal care)</w:t>
      </w:r>
      <w:r w:rsidRPr="00610088">
        <w:rPr>
          <w:rStyle w:val="EndnoteReference"/>
          <w:sz w:val="18"/>
          <w:szCs w:val="18"/>
          <w:lang w:val="en-GB"/>
        </w:rPr>
        <w:endnoteReference w:id="149"/>
      </w:r>
      <w:r w:rsidRPr="00610088">
        <w:rPr>
          <w:sz w:val="18"/>
          <w:szCs w:val="18"/>
          <w:lang w:val="en-GB"/>
        </w:rPr>
        <w:t xml:space="preserve">. The primary school children survey also found 2% Hepatitis C virus antibody prevalence. </w:t>
      </w:r>
    </w:p>
    <w:p w14:paraId="0339ED24" w14:textId="77777777" w:rsidR="00FF70EA" w:rsidRPr="00610088" w:rsidRDefault="00FF70EA" w:rsidP="00FF70EA">
      <w:pPr>
        <w:rPr>
          <w:sz w:val="18"/>
          <w:szCs w:val="18"/>
          <w:lang w:val="en-GB"/>
        </w:rPr>
      </w:pPr>
    </w:p>
    <w:p w14:paraId="604B2B30" w14:textId="77777777" w:rsidR="00FF70EA" w:rsidRPr="00610088" w:rsidRDefault="00FF70EA" w:rsidP="007A5E46">
      <w:pPr>
        <w:pStyle w:val="Subtitle"/>
        <w:rPr>
          <w:b/>
          <w:bCs/>
          <w:sz w:val="18"/>
          <w:szCs w:val="18"/>
          <w:u w:val="single"/>
          <w:lang w:val="en-GB"/>
        </w:rPr>
      </w:pPr>
      <w:r w:rsidRPr="00610088">
        <w:rPr>
          <w:b/>
          <w:bCs/>
          <w:sz w:val="18"/>
          <w:szCs w:val="18"/>
          <w:u w:val="single"/>
          <w:lang w:val="en-GB"/>
        </w:rPr>
        <w:t>Chronic respiratory diseases (CRD)</w:t>
      </w:r>
    </w:p>
    <w:p w14:paraId="19776CF4" w14:textId="511FA326" w:rsidR="00FF70EA" w:rsidRPr="00610088" w:rsidRDefault="00FF70EA" w:rsidP="00FF70EA">
      <w:pPr>
        <w:rPr>
          <w:sz w:val="18"/>
          <w:szCs w:val="18"/>
          <w:lang w:val="en-GB"/>
        </w:rPr>
      </w:pPr>
      <w:r w:rsidRPr="00610088">
        <w:rPr>
          <w:sz w:val="18"/>
          <w:szCs w:val="18"/>
          <w:lang w:val="en-GB"/>
        </w:rPr>
        <w:t>The most common chronic respiratory diseases (CRD) are chronic obstructive pulmonary disease (COPD), asthma, respiratory allergies, occupational lung diseases and pulmonary hypertension. CRD are responsible for 2% of the deaths in Sierra Leone.</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 xml:space="preserve"> No incidence or prevalence information was found for asthma, COPD or other CRD in Sierra Leone, likely also due to the absence of any form of CRD in the DHIS 2.0 PHU and hospital forms.</w:t>
      </w:r>
      <w:bookmarkStart w:id="156" w:name="_Ref16705235"/>
      <w:r w:rsidRPr="00610088">
        <w:rPr>
          <w:rStyle w:val="EndnoteReference"/>
          <w:sz w:val="18"/>
          <w:szCs w:val="18"/>
          <w:lang w:val="en-GB"/>
        </w:rPr>
        <w:endnoteReference w:id="150"/>
      </w:r>
      <w:bookmarkEnd w:id="156"/>
      <w:r w:rsidRPr="00610088">
        <w:rPr>
          <w:sz w:val="18"/>
          <w:szCs w:val="18"/>
          <w:lang w:val="en-GB"/>
        </w:rPr>
        <w:t xml:space="preserve">  </w:t>
      </w:r>
    </w:p>
    <w:p w14:paraId="159B8DFB" w14:textId="77777777" w:rsidR="00FF70EA" w:rsidRPr="00610088" w:rsidRDefault="00FF70EA" w:rsidP="00FF70EA">
      <w:pPr>
        <w:rPr>
          <w:sz w:val="18"/>
          <w:szCs w:val="18"/>
          <w:lang w:val="en-GB"/>
        </w:rPr>
      </w:pPr>
    </w:p>
    <w:p w14:paraId="0BA298A6" w14:textId="77777777" w:rsidR="00FF70EA" w:rsidRPr="00610088" w:rsidRDefault="00FF70EA" w:rsidP="00FF70EA">
      <w:pPr>
        <w:rPr>
          <w:sz w:val="18"/>
          <w:szCs w:val="18"/>
          <w:lang w:val="en-GB"/>
        </w:rPr>
      </w:pPr>
      <w:r w:rsidRPr="00610088">
        <w:rPr>
          <w:sz w:val="18"/>
          <w:szCs w:val="18"/>
          <w:lang w:val="en-GB"/>
        </w:rPr>
        <w:t>The 2017 Global Burden of Disease (GBD) study estimates 383,200 existing CRD cases in Sierra Leone, with 65,100 new cases every year. The vast majority are either COPD (140,800 existing, 9,100 new) or asthma (253,100 existing, 55,800 new) cases. More than 97% of the COPD cases are not combined with heart failure. About 63% of the existing and new asthma cases are estimated to be symptomatic.</w:t>
      </w:r>
      <w:bookmarkStart w:id="157" w:name="_Ref16711794"/>
      <w:r w:rsidRPr="00610088">
        <w:rPr>
          <w:sz w:val="18"/>
          <w:szCs w:val="18"/>
          <w:lang w:val="en-GB"/>
        </w:rPr>
        <w:t xml:space="preserve"> </w:t>
      </w:r>
      <w:bookmarkStart w:id="158" w:name="_Ref17398307"/>
      <w:r w:rsidRPr="00610088">
        <w:rPr>
          <w:rStyle w:val="EndnoteReference"/>
          <w:sz w:val="18"/>
          <w:szCs w:val="18"/>
          <w:lang w:val="en-GB"/>
        </w:rPr>
        <w:endnoteReference w:id="151"/>
      </w:r>
      <w:bookmarkEnd w:id="157"/>
      <w:bookmarkEnd w:id="158"/>
      <w:r w:rsidRPr="00610088">
        <w:rPr>
          <w:sz w:val="18"/>
          <w:szCs w:val="18"/>
          <w:lang w:val="en-GB"/>
        </w:rPr>
        <w:t xml:space="preserve"> </w:t>
      </w:r>
    </w:p>
    <w:p w14:paraId="77C6D033" w14:textId="77777777" w:rsidR="00FF70EA" w:rsidRPr="00610088" w:rsidRDefault="00FF70EA" w:rsidP="00FF70EA">
      <w:pPr>
        <w:rPr>
          <w:sz w:val="18"/>
          <w:szCs w:val="18"/>
          <w:lang w:val="en-GB"/>
        </w:rPr>
      </w:pPr>
    </w:p>
    <w:p w14:paraId="212E21B3" w14:textId="5E3E8841" w:rsidR="00FF70EA" w:rsidRPr="00610088" w:rsidRDefault="00FF70EA" w:rsidP="00FF70EA">
      <w:pPr>
        <w:rPr>
          <w:sz w:val="18"/>
          <w:szCs w:val="18"/>
          <w:lang w:val="en-GB"/>
        </w:rPr>
      </w:pPr>
      <w:r w:rsidRPr="00610088">
        <w:rPr>
          <w:sz w:val="18"/>
          <w:szCs w:val="18"/>
          <w:lang w:val="en-GB"/>
        </w:rPr>
        <w:t>Main risk factors for CRD include tobacco smoking, indoor air pollution, outdoor pollution, allergens, occupational risks and vulnerability and frequent lower respiratory tract infections during childhood.</w:t>
      </w:r>
      <w:r w:rsidRPr="00610088">
        <w:rPr>
          <w:sz w:val="18"/>
          <w:szCs w:val="18"/>
          <w:vertAlign w:val="superscript"/>
          <w:lang w:val="en-GB"/>
        </w:rPr>
        <w:fldChar w:fldCharType="begin"/>
      </w:r>
      <w:r w:rsidRPr="00610088">
        <w:rPr>
          <w:sz w:val="18"/>
          <w:szCs w:val="18"/>
          <w:vertAlign w:val="superscript"/>
          <w:lang w:val="en-GB"/>
        </w:rPr>
        <w:instrText xml:space="preserve"> NOTEREF _Ref16705235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150</w:t>
      </w:r>
      <w:r w:rsidRPr="00610088">
        <w:rPr>
          <w:sz w:val="18"/>
          <w:szCs w:val="18"/>
          <w:vertAlign w:val="superscript"/>
          <w:lang w:val="en-GB"/>
        </w:rPr>
        <w:fldChar w:fldCharType="end"/>
      </w:r>
      <w:r w:rsidRPr="00610088">
        <w:rPr>
          <w:sz w:val="18"/>
          <w:szCs w:val="18"/>
          <w:vertAlign w:val="superscript"/>
          <w:lang w:val="en-GB"/>
        </w:rPr>
        <w:t xml:space="preserve">, </w:t>
      </w:r>
      <w:r w:rsidRPr="00610088">
        <w:rPr>
          <w:rStyle w:val="EndnoteReference"/>
          <w:sz w:val="18"/>
          <w:szCs w:val="18"/>
          <w:lang w:val="en-GB"/>
        </w:rPr>
        <w:endnoteReference w:id="152"/>
      </w:r>
      <w:r w:rsidRPr="00610088">
        <w:rPr>
          <w:sz w:val="18"/>
          <w:szCs w:val="18"/>
          <w:vertAlign w:val="superscript"/>
          <w:lang w:val="en-GB"/>
        </w:rPr>
        <w:t xml:space="preserve">  </w:t>
      </w:r>
      <w:r w:rsidRPr="00610088">
        <w:rPr>
          <w:sz w:val="18"/>
          <w:szCs w:val="18"/>
          <w:lang w:val="en-GB"/>
        </w:rPr>
        <w:t xml:space="preserve">Most risk factors are discussed in further detail below. </w:t>
      </w:r>
    </w:p>
    <w:p w14:paraId="01CF9C89" w14:textId="77777777" w:rsidR="00FF70EA" w:rsidRPr="00610088" w:rsidRDefault="00FF70EA" w:rsidP="00FF70EA">
      <w:pPr>
        <w:rPr>
          <w:sz w:val="18"/>
          <w:szCs w:val="18"/>
          <w:lang w:val="en-GB"/>
        </w:rPr>
      </w:pPr>
    </w:p>
    <w:p w14:paraId="14B4D258" w14:textId="77777777" w:rsidR="00FF70EA" w:rsidRPr="00610088" w:rsidRDefault="00FF70EA" w:rsidP="007A5E46">
      <w:pPr>
        <w:pStyle w:val="Subtitle"/>
        <w:rPr>
          <w:b/>
          <w:bCs/>
          <w:sz w:val="18"/>
          <w:szCs w:val="18"/>
          <w:u w:val="single"/>
          <w:lang w:val="en-GB"/>
        </w:rPr>
      </w:pPr>
      <w:bookmarkStart w:id="159" w:name="_Ref17312141"/>
      <w:r w:rsidRPr="00610088">
        <w:rPr>
          <w:b/>
          <w:bCs/>
          <w:sz w:val="18"/>
          <w:szCs w:val="18"/>
          <w:u w:val="single"/>
          <w:lang w:val="en-GB"/>
        </w:rPr>
        <w:t>Diabetes</w:t>
      </w:r>
      <w:bookmarkEnd w:id="159"/>
    </w:p>
    <w:p w14:paraId="77F631A4" w14:textId="71B60ED9" w:rsidR="00FF70EA" w:rsidRPr="00610088" w:rsidRDefault="00FF70EA" w:rsidP="00FF70EA">
      <w:pPr>
        <w:rPr>
          <w:sz w:val="18"/>
          <w:szCs w:val="18"/>
          <w:lang w:val="en-GB"/>
        </w:rPr>
      </w:pPr>
      <w:r w:rsidRPr="00610088">
        <w:rPr>
          <w:sz w:val="18"/>
          <w:szCs w:val="18"/>
          <w:lang w:val="en-GB"/>
        </w:rPr>
        <w:t>Diabetes is responsible for 2% of the deaths in Sierra Leone.</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lang w:val="en-GB"/>
        </w:rPr>
        <w:t xml:space="preserve"> The DHIS 2.0 - which counts morbidities at each visit so not unique patients - captured for 2018 in total 1,929 visits and admissions of people with diabetes out of in total 5,003,031 morbidities (0.04%), of which 399 from primary health care and 1025 and 505 from hospital out- and inpatient departments respectively.</w:t>
      </w:r>
      <w:bookmarkStart w:id="160" w:name="_Ref16718151"/>
      <w:r w:rsidRPr="00610088">
        <w:rPr>
          <w:rStyle w:val="EndnoteReference"/>
          <w:sz w:val="18"/>
          <w:szCs w:val="18"/>
          <w:lang w:val="en-GB"/>
        </w:rPr>
        <w:endnoteReference w:id="153"/>
      </w:r>
      <w:bookmarkEnd w:id="160"/>
      <w:r w:rsidRPr="00610088">
        <w:rPr>
          <w:sz w:val="18"/>
          <w:szCs w:val="18"/>
          <w:lang w:val="en-GB"/>
        </w:rPr>
        <w:t xml:space="preserve"> Differentiation between main and additional diagnosis or differentiation between diabetes type 1 and 2 is not possible in the DHIS 2.0. </w:t>
      </w:r>
    </w:p>
    <w:p w14:paraId="3ADB4FD9" w14:textId="77777777" w:rsidR="00FF70EA" w:rsidRPr="00610088" w:rsidRDefault="00FF70EA" w:rsidP="00FF70EA">
      <w:pPr>
        <w:rPr>
          <w:sz w:val="18"/>
          <w:szCs w:val="18"/>
          <w:lang w:val="en-GB"/>
        </w:rPr>
      </w:pPr>
    </w:p>
    <w:p w14:paraId="0A9307A2" w14:textId="5D6EA7AB" w:rsidR="00FF70EA" w:rsidRPr="00610088" w:rsidRDefault="00FF70EA" w:rsidP="00FF70EA">
      <w:pPr>
        <w:rPr>
          <w:sz w:val="18"/>
          <w:szCs w:val="18"/>
          <w:lang w:val="en-GB"/>
        </w:rPr>
      </w:pPr>
      <w:r w:rsidRPr="00610088">
        <w:rPr>
          <w:sz w:val="18"/>
          <w:szCs w:val="18"/>
          <w:lang w:val="en-GB"/>
        </w:rPr>
        <w:t>The 2017 Global Burden of Disease (GBD) study estimates that there are 249,800 existing diabetes cases in Sierra Leone – a population prevalence of 3.3%; with 15,000 new cases every year, of which &gt; 95% type 2.</w:t>
      </w:r>
      <w:r w:rsidRPr="00610088">
        <w:rPr>
          <w:sz w:val="18"/>
          <w:szCs w:val="18"/>
          <w:vertAlign w:val="superscript"/>
          <w:lang w:val="en-GB"/>
        </w:rPr>
        <w:fldChar w:fldCharType="begin"/>
      </w:r>
      <w:r w:rsidRPr="00610088">
        <w:rPr>
          <w:sz w:val="18"/>
          <w:szCs w:val="18"/>
          <w:vertAlign w:val="superscript"/>
          <w:lang w:val="en-GB"/>
        </w:rPr>
        <w:instrText xml:space="preserve"> NOTEREF _Ref16711794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bookmarkStart w:id="161" w:name="_Ref16718675"/>
      <w:r w:rsidRPr="00610088">
        <w:rPr>
          <w:sz w:val="18"/>
          <w:szCs w:val="18"/>
          <w:vertAlign w:val="superscript"/>
          <w:lang w:val="en-GB"/>
        </w:rPr>
        <w:t>,</w:t>
      </w:r>
      <w:bookmarkStart w:id="162" w:name="_Ref16838134"/>
      <w:r w:rsidRPr="00610088">
        <w:rPr>
          <w:rStyle w:val="EndnoteReference"/>
          <w:sz w:val="18"/>
          <w:szCs w:val="18"/>
          <w:lang w:val="en-GB"/>
        </w:rPr>
        <w:endnoteReference w:id="154"/>
      </w:r>
      <w:bookmarkEnd w:id="161"/>
      <w:bookmarkEnd w:id="162"/>
      <w:r w:rsidRPr="00610088">
        <w:rPr>
          <w:sz w:val="18"/>
          <w:szCs w:val="18"/>
          <w:lang w:val="en-GB"/>
        </w:rPr>
        <w:t xml:space="preserve"> </w:t>
      </w:r>
    </w:p>
    <w:p w14:paraId="4598967C" w14:textId="77777777" w:rsidR="00FF70EA" w:rsidRPr="00610088" w:rsidRDefault="00FF70EA" w:rsidP="00FF70EA">
      <w:pPr>
        <w:rPr>
          <w:sz w:val="18"/>
          <w:szCs w:val="18"/>
          <w:lang w:val="en-GB"/>
        </w:rPr>
      </w:pPr>
    </w:p>
    <w:p w14:paraId="45EC414C" w14:textId="77777777" w:rsidR="004617C8" w:rsidRPr="00610088" w:rsidRDefault="00FF70EA" w:rsidP="00FF70EA">
      <w:pPr>
        <w:rPr>
          <w:sz w:val="18"/>
          <w:szCs w:val="18"/>
          <w:lang w:val="en-GB"/>
        </w:rPr>
      </w:pPr>
      <w:r w:rsidRPr="00610088">
        <w:rPr>
          <w:sz w:val="18"/>
          <w:szCs w:val="18"/>
          <w:lang w:val="en-GB"/>
        </w:rPr>
        <w:t xml:space="preserve">The earliest diabetes prevalence study, published in 1997, found a prevalence of 0.0% among 256 rural and of 2.4% among 245 urban adults in Bo District using random blood glucose concentration. </w:t>
      </w:r>
      <w:bookmarkStart w:id="163" w:name="_Ref17204703"/>
      <w:r w:rsidRPr="00610088">
        <w:rPr>
          <w:rStyle w:val="EndnoteReference"/>
          <w:sz w:val="18"/>
          <w:szCs w:val="18"/>
          <w:lang w:val="en-GB"/>
        </w:rPr>
        <w:endnoteReference w:id="155"/>
      </w:r>
      <w:bookmarkEnd w:id="163"/>
      <w:r w:rsidRPr="00610088">
        <w:rPr>
          <w:sz w:val="18"/>
          <w:szCs w:val="18"/>
          <w:lang w:val="en-GB"/>
        </w:rPr>
        <w:t xml:space="preserve"> </w:t>
      </w:r>
    </w:p>
    <w:p w14:paraId="09D1FB93" w14:textId="06034149" w:rsidR="00FF70EA" w:rsidRPr="00610088" w:rsidRDefault="00FF70EA" w:rsidP="00FF70EA">
      <w:pPr>
        <w:rPr>
          <w:sz w:val="18"/>
          <w:szCs w:val="18"/>
          <w:lang w:val="en-GB"/>
        </w:rPr>
      </w:pPr>
      <w:r w:rsidRPr="00610088">
        <w:rPr>
          <w:sz w:val="18"/>
          <w:szCs w:val="18"/>
          <w:lang w:val="en-GB"/>
        </w:rPr>
        <w:t xml:space="preserve">A study in Bo Government Hospital from 2012-2014 among 694 adult outpatients using fasting blood glucose level found a prevalence of 6.2% (M 5.2%, F 7.4%). Prevalence increased with age up to 25% for ages 60 and older. The standardized prevalence of diabetes was 7.0% after adjustment to the age and sex distribution of the national population. </w:t>
      </w:r>
      <w:bookmarkStart w:id="164" w:name="_Ref32800528"/>
      <w:r w:rsidRPr="00610088">
        <w:rPr>
          <w:rStyle w:val="EndnoteReference"/>
          <w:sz w:val="18"/>
          <w:szCs w:val="18"/>
          <w:lang w:val="en-GB"/>
        </w:rPr>
        <w:endnoteReference w:id="156"/>
      </w:r>
      <w:bookmarkEnd w:id="164"/>
    </w:p>
    <w:p w14:paraId="57ACF8CA" w14:textId="77777777" w:rsidR="00FF70EA" w:rsidRPr="00610088" w:rsidRDefault="00FF70EA" w:rsidP="00FF70EA">
      <w:pPr>
        <w:rPr>
          <w:sz w:val="18"/>
          <w:szCs w:val="18"/>
          <w:lang w:val="en-GB"/>
        </w:rPr>
      </w:pPr>
      <w:r w:rsidRPr="00610088">
        <w:rPr>
          <w:sz w:val="18"/>
          <w:szCs w:val="18"/>
          <w:lang w:val="en-GB"/>
        </w:rPr>
        <w:t xml:space="preserve">Analysis of a recent CVD risk factor study in Bo District </w:t>
      </w:r>
      <w:bookmarkStart w:id="165" w:name="_Ref17030981"/>
      <w:r w:rsidRPr="00610088">
        <w:rPr>
          <w:rStyle w:val="EndnoteReference"/>
          <w:sz w:val="18"/>
          <w:szCs w:val="18"/>
          <w:lang w:val="en-GB"/>
        </w:rPr>
        <w:endnoteReference w:id="157"/>
      </w:r>
      <w:bookmarkEnd w:id="165"/>
      <w:r w:rsidRPr="00610088">
        <w:rPr>
          <w:i/>
          <w:iCs/>
          <w:sz w:val="18"/>
          <w:szCs w:val="18"/>
          <w:vertAlign w:val="superscript"/>
          <w:lang w:val="en-GB"/>
        </w:rPr>
        <w:t xml:space="preserve"> </w:t>
      </w:r>
      <w:r w:rsidRPr="00610088">
        <w:rPr>
          <w:sz w:val="18"/>
          <w:szCs w:val="18"/>
          <w:lang w:val="en-GB"/>
        </w:rPr>
        <w:t xml:space="preserve">in 2071 adults aged over 40 years found a prevalence rate of 3.5, with more diabetes in urban respondents and respondents from higher wealth quintiles, especially in the wealthiest quintile. There was significantly more diabetes in females and an increasing risk with increasing age in the multivariate analysis using population weights. </w:t>
      </w:r>
    </w:p>
    <w:p w14:paraId="21D134AD" w14:textId="77777777" w:rsidR="00FF70EA" w:rsidRPr="00610088" w:rsidRDefault="00FF70EA" w:rsidP="00FF70EA">
      <w:pPr>
        <w:rPr>
          <w:sz w:val="18"/>
          <w:szCs w:val="18"/>
          <w:lang w:val="en-GB"/>
        </w:rPr>
      </w:pPr>
    </w:p>
    <w:p w14:paraId="71DE9BC6" w14:textId="77777777" w:rsidR="00FF70EA" w:rsidRPr="00610088" w:rsidRDefault="00FF70EA" w:rsidP="00FF70EA">
      <w:pPr>
        <w:rPr>
          <w:sz w:val="18"/>
          <w:szCs w:val="18"/>
          <w:lang w:val="en-GB"/>
        </w:rPr>
      </w:pPr>
      <w:r w:rsidRPr="00610088">
        <w:rPr>
          <w:sz w:val="18"/>
          <w:szCs w:val="18"/>
          <w:lang w:val="en-GB"/>
        </w:rPr>
        <w:t>Risk factors for diabetes include unhealthy diet (sugars, unsaturated fats), physical activity and being overweight/obese.</w:t>
      </w:r>
      <w:r w:rsidRPr="00610088">
        <w:rPr>
          <w:rStyle w:val="EndnoteReference"/>
          <w:sz w:val="18"/>
          <w:szCs w:val="18"/>
          <w:lang w:val="en-GB"/>
        </w:rPr>
        <w:endnoteReference w:id="158"/>
      </w:r>
      <w:r w:rsidRPr="00610088">
        <w:rPr>
          <w:sz w:val="18"/>
          <w:szCs w:val="18"/>
          <w:lang w:val="en-GB"/>
        </w:rPr>
        <w:t xml:space="preserve"> They will be discussed under risk factors below.  </w:t>
      </w:r>
    </w:p>
    <w:p w14:paraId="040AED59" w14:textId="77777777" w:rsidR="00FF70EA" w:rsidRPr="00610088" w:rsidRDefault="00FF70EA" w:rsidP="00FF70EA">
      <w:pPr>
        <w:rPr>
          <w:sz w:val="18"/>
          <w:szCs w:val="18"/>
          <w:lang w:val="en-GB"/>
        </w:rPr>
      </w:pPr>
    </w:p>
    <w:p w14:paraId="63A0988E" w14:textId="77777777" w:rsidR="00FF70EA" w:rsidRPr="00610088" w:rsidRDefault="00FF70EA" w:rsidP="007A5E46">
      <w:pPr>
        <w:pStyle w:val="Subtitle"/>
        <w:rPr>
          <w:b/>
          <w:bCs/>
          <w:sz w:val="18"/>
          <w:szCs w:val="18"/>
          <w:u w:val="single"/>
          <w:lang w:val="en-GB"/>
        </w:rPr>
      </w:pPr>
      <w:r w:rsidRPr="00610088">
        <w:rPr>
          <w:b/>
          <w:bCs/>
          <w:sz w:val="18"/>
          <w:szCs w:val="18"/>
          <w:u w:val="single"/>
          <w:lang w:val="en-GB"/>
        </w:rPr>
        <w:t>Mental and substance use disorders</w:t>
      </w:r>
    </w:p>
    <w:p w14:paraId="230977D9" w14:textId="57F11923" w:rsidR="00FF70EA" w:rsidRPr="00610088" w:rsidRDefault="00FF70EA" w:rsidP="00FF70EA">
      <w:pPr>
        <w:rPr>
          <w:sz w:val="18"/>
          <w:szCs w:val="18"/>
          <w:lang w:val="en-GB"/>
        </w:rPr>
      </w:pPr>
      <w:r w:rsidRPr="00610088">
        <w:rPr>
          <w:sz w:val="18"/>
          <w:szCs w:val="18"/>
          <w:lang w:val="en-GB"/>
        </w:rPr>
        <w:t>The DHIS 2.0 - which counts morbidities at each visit so not unique patients - captured for 2018 in total 1,940 visits and admissions of people with mental disorder out of in total 5,003,031 morbidities (0.04%), of which 326 from primary health care and 1195 and 419 from hospital out- and inpatient departments respectively.</w:t>
      </w:r>
      <w:r w:rsidRPr="00610088">
        <w:rPr>
          <w:sz w:val="18"/>
          <w:szCs w:val="18"/>
          <w:vertAlign w:val="superscript"/>
          <w:lang w:val="en-GB"/>
        </w:rPr>
        <w:fldChar w:fldCharType="begin"/>
      </w:r>
      <w:r w:rsidRPr="00610088">
        <w:rPr>
          <w:sz w:val="18"/>
          <w:szCs w:val="18"/>
          <w:vertAlign w:val="superscript"/>
          <w:lang w:val="en-GB"/>
        </w:rPr>
        <w:instrText xml:space="preserve"> NOTEREF _Ref16718151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153</w:t>
      </w:r>
      <w:r w:rsidRPr="00610088">
        <w:rPr>
          <w:sz w:val="18"/>
          <w:szCs w:val="18"/>
          <w:vertAlign w:val="superscript"/>
          <w:lang w:val="en-GB"/>
        </w:rPr>
        <w:fldChar w:fldCharType="end"/>
      </w:r>
      <w:r w:rsidRPr="00610088">
        <w:rPr>
          <w:sz w:val="18"/>
          <w:szCs w:val="18"/>
          <w:lang w:val="en-GB"/>
        </w:rPr>
        <w:t xml:space="preserve"> Differentiation between main and additional diagnosis or differentiation between mental disorder types is not possible in the DHIS 2.0. The DHIS 2.0 does not have a separate category for substance-use disorders at the moment. </w:t>
      </w:r>
    </w:p>
    <w:p w14:paraId="3D4787C4" w14:textId="77777777" w:rsidR="00FF70EA" w:rsidRPr="00610088" w:rsidRDefault="00FF70EA" w:rsidP="00FF70EA">
      <w:pPr>
        <w:rPr>
          <w:sz w:val="18"/>
          <w:szCs w:val="18"/>
          <w:lang w:val="en-GB"/>
        </w:rPr>
      </w:pPr>
    </w:p>
    <w:p w14:paraId="7C302C10" w14:textId="4FEA5B3C" w:rsidR="00FF70EA" w:rsidRPr="00610088" w:rsidRDefault="00FF70EA" w:rsidP="00FF70EA">
      <w:pPr>
        <w:rPr>
          <w:sz w:val="18"/>
          <w:szCs w:val="18"/>
          <w:lang w:val="en-GB"/>
        </w:rPr>
      </w:pPr>
      <w:r w:rsidRPr="00610088">
        <w:rPr>
          <w:sz w:val="18"/>
          <w:szCs w:val="18"/>
          <w:lang w:val="en-GB"/>
        </w:rPr>
        <w:t xml:space="preserve">A 2002 </w:t>
      </w:r>
      <w:proofErr w:type="spellStart"/>
      <w:r w:rsidR="00156C15">
        <w:rPr>
          <w:sz w:val="18"/>
          <w:szCs w:val="18"/>
          <w:lang w:val="en-GB"/>
        </w:rPr>
        <w:t>MoHS</w:t>
      </w:r>
      <w:proofErr w:type="spellEnd"/>
      <w:r w:rsidRPr="00610088">
        <w:rPr>
          <w:sz w:val="18"/>
          <w:szCs w:val="18"/>
          <w:lang w:val="en-GB"/>
        </w:rPr>
        <w:t xml:space="preserve"> needs assessment at the end of the civil war reported prevalence rates of 2 percent for psychosis, 4 percent for severe depression, 4 percent for severe substance abuse, 1 percent for mental disability and 1 percent for epilepsy.</w:t>
      </w:r>
      <w:bookmarkStart w:id="166" w:name="_Ref32800625"/>
      <w:r w:rsidRPr="00610088">
        <w:rPr>
          <w:rStyle w:val="EndnoteReference"/>
          <w:sz w:val="18"/>
          <w:szCs w:val="18"/>
          <w:lang w:val="en-GB"/>
        </w:rPr>
        <w:endnoteReference w:id="159"/>
      </w:r>
      <w:bookmarkEnd w:id="166"/>
    </w:p>
    <w:p w14:paraId="5F17550D" w14:textId="77777777" w:rsidR="00FF70EA" w:rsidRPr="00610088" w:rsidRDefault="00FF70EA" w:rsidP="00FF70EA">
      <w:pPr>
        <w:rPr>
          <w:sz w:val="18"/>
          <w:szCs w:val="18"/>
          <w:lang w:val="en-GB"/>
        </w:rPr>
      </w:pPr>
    </w:p>
    <w:p w14:paraId="1D26BBA7" w14:textId="541A65D7" w:rsidR="00FF70EA" w:rsidRPr="00610088" w:rsidRDefault="00FF70EA" w:rsidP="00FF70EA">
      <w:pPr>
        <w:rPr>
          <w:sz w:val="18"/>
          <w:szCs w:val="18"/>
          <w:lang w:val="en-GB"/>
        </w:rPr>
      </w:pPr>
      <w:r w:rsidRPr="00610088">
        <w:rPr>
          <w:sz w:val="18"/>
          <w:szCs w:val="18"/>
          <w:lang w:val="en-GB"/>
        </w:rPr>
        <w:t>The 2016 WHO NCD country profile for Sierra Leone estimates a suicide mortality rate of 9.7 per 100,000.</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lang w:val="en-GB"/>
        </w:rPr>
        <w:t xml:space="preserve"> </w:t>
      </w:r>
    </w:p>
    <w:p w14:paraId="71F9A6AB" w14:textId="77777777" w:rsidR="00FF70EA" w:rsidRPr="00610088" w:rsidRDefault="00FF70EA" w:rsidP="00FF70EA">
      <w:pPr>
        <w:rPr>
          <w:sz w:val="18"/>
          <w:szCs w:val="18"/>
          <w:lang w:val="en-GB"/>
        </w:rPr>
      </w:pPr>
    </w:p>
    <w:p w14:paraId="117BE662" w14:textId="77777777" w:rsidR="00FF70EA" w:rsidRPr="00610088" w:rsidRDefault="00FF70EA" w:rsidP="00FF70EA">
      <w:pPr>
        <w:rPr>
          <w:sz w:val="18"/>
          <w:szCs w:val="18"/>
          <w:vertAlign w:val="superscript"/>
          <w:lang w:val="en-GB"/>
        </w:rPr>
      </w:pPr>
      <w:r w:rsidRPr="00610088">
        <w:rPr>
          <w:sz w:val="18"/>
          <w:szCs w:val="18"/>
          <w:lang w:val="en-GB"/>
        </w:rPr>
        <w:t>The 2017 Global Burden of Disease (GBD) study estimates that there are 832,000 people with an existing mental disorder in Sierra Leone (prevalence 11.1%), with 319,300 new disorders every year. The most common mental disorders are depressive disorders and anxiety disorders.</w:t>
      </w:r>
      <w:r w:rsidRPr="00610088">
        <w:rPr>
          <w:sz w:val="18"/>
          <w:szCs w:val="18"/>
          <w:vertAlign w:val="superscript"/>
          <w:lang w:val="en-GB"/>
        </w:rPr>
        <w:t xml:space="preserve"> </w:t>
      </w:r>
    </w:p>
    <w:p w14:paraId="5942059B" w14:textId="77777777" w:rsidR="00FF70EA" w:rsidRPr="00610088" w:rsidRDefault="00FF70EA" w:rsidP="00FF70EA">
      <w:pPr>
        <w:rPr>
          <w:sz w:val="18"/>
          <w:szCs w:val="18"/>
          <w:vertAlign w:val="superscript"/>
          <w:lang w:val="en-GB"/>
        </w:rPr>
      </w:pPr>
    </w:p>
    <w:p w14:paraId="54DDFA80" w14:textId="13DD807D" w:rsidR="00FF70EA" w:rsidRPr="00610088" w:rsidRDefault="00FF70EA" w:rsidP="00FF70EA">
      <w:pPr>
        <w:rPr>
          <w:sz w:val="18"/>
          <w:szCs w:val="18"/>
          <w:lang w:val="en-GB"/>
        </w:rPr>
      </w:pPr>
      <w:r w:rsidRPr="00610088">
        <w:rPr>
          <w:sz w:val="18"/>
          <w:szCs w:val="18"/>
          <w:lang w:val="en-GB"/>
        </w:rPr>
        <w:t xml:space="preserve">The GBD study estimates 97,000 people (prevalence 1.3%) with an existing substance-us disorder, with 39,900 new disorders every year – mostly due to alcohol, opioid or cannabis use. </w:t>
      </w:r>
      <w:r w:rsidRPr="00610088">
        <w:rPr>
          <w:sz w:val="18"/>
          <w:szCs w:val="18"/>
          <w:vertAlign w:val="superscript"/>
          <w:lang w:val="en-GB"/>
        </w:rPr>
        <w:fldChar w:fldCharType="begin"/>
      </w:r>
      <w:r w:rsidRPr="00610088">
        <w:rPr>
          <w:sz w:val="18"/>
          <w:szCs w:val="18"/>
          <w:vertAlign w:val="superscript"/>
          <w:lang w:val="en-GB"/>
        </w:rPr>
        <w:instrText xml:space="preserve"> NOTEREF _Ref16711794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_Ref16838134 \h </w:instrText>
      </w:r>
      <w:r w:rsidR="00241E47" w:rsidRPr="00610088">
        <w:rPr>
          <w:sz w:val="18"/>
          <w:szCs w:val="18"/>
          <w:vertAlign w:val="superscript"/>
          <w:lang w:val="en-GB"/>
        </w:rPr>
        <w:instrText xml:space="preserve">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154</w:t>
      </w:r>
      <w:r w:rsidRPr="00610088">
        <w:rPr>
          <w:sz w:val="18"/>
          <w:szCs w:val="18"/>
          <w:vertAlign w:val="superscript"/>
          <w:lang w:val="en-GB"/>
        </w:rPr>
        <w:fldChar w:fldCharType="end"/>
      </w:r>
      <w:r w:rsidRPr="00610088">
        <w:rPr>
          <w:sz w:val="18"/>
          <w:szCs w:val="18"/>
          <w:lang w:val="en-GB"/>
        </w:rPr>
        <w:t xml:space="preserve"> </w:t>
      </w:r>
    </w:p>
    <w:p w14:paraId="62DFEF9E" w14:textId="77777777" w:rsidR="00FF70EA" w:rsidRPr="00610088" w:rsidRDefault="00FF70EA" w:rsidP="00FF70EA">
      <w:pPr>
        <w:rPr>
          <w:sz w:val="18"/>
          <w:szCs w:val="18"/>
          <w:vertAlign w:val="superscript"/>
          <w:lang w:val="en-GB"/>
        </w:rPr>
      </w:pPr>
    </w:p>
    <w:p w14:paraId="43F8688D" w14:textId="42055A1B" w:rsidR="00FF70EA" w:rsidRPr="00610088" w:rsidRDefault="00FF70EA" w:rsidP="007A5E46">
      <w:pPr>
        <w:pStyle w:val="Subtitle"/>
        <w:rPr>
          <w:b/>
          <w:bCs/>
          <w:sz w:val="18"/>
          <w:szCs w:val="18"/>
          <w:u w:val="single"/>
          <w:lang w:val="en-GB"/>
        </w:rPr>
      </w:pPr>
      <w:r w:rsidRPr="00610088">
        <w:rPr>
          <w:b/>
          <w:bCs/>
          <w:sz w:val="18"/>
          <w:szCs w:val="18"/>
          <w:u w:val="single"/>
          <w:lang w:val="en-GB"/>
        </w:rPr>
        <w:t>Injuries</w:t>
      </w:r>
    </w:p>
    <w:p w14:paraId="597E70E2" w14:textId="59F03A89" w:rsidR="00FF70EA" w:rsidRPr="00610088" w:rsidRDefault="00FF70EA" w:rsidP="00FF70EA">
      <w:pPr>
        <w:rPr>
          <w:sz w:val="18"/>
          <w:szCs w:val="18"/>
          <w:lang w:val="en-GB"/>
        </w:rPr>
      </w:pPr>
      <w:r w:rsidRPr="00610088">
        <w:rPr>
          <w:sz w:val="18"/>
          <w:szCs w:val="18"/>
          <w:lang w:val="en-GB"/>
        </w:rPr>
        <w:t>Injuries are responsible for 9% of the deaths in Sierra Leone.</w:t>
      </w:r>
      <w:r w:rsidRPr="00610088">
        <w:rPr>
          <w:sz w:val="18"/>
          <w:szCs w:val="18"/>
          <w:vertAlign w:val="superscript"/>
          <w:lang w:val="en-GB"/>
        </w:rPr>
        <w:fldChar w:fldCharType="begin"/>
      </w:r>
      <w:r w:rsidRPr="00610088">
        <w:rPr>
          <w:sz w:val="18"/>
          <w:szCs w:val="18"/>
          <w:vertAlign w:val="superscript"/>
          <w:lang w:val="en-GB"/>
        </w:rPr>
        <w:instrText xml:space="preserve"> NOTEREF _Ref16692559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127</w:t>
      </w:r>
      <w:r w:rsidRPr="00610088">
        <w:rPr>
          <w:sz w:val="18"/>
          <w:szCs w:val="18"/>
          <w:vertAlign w:val="superscript"/>
          <w:lang w:val="en-GB"/>
        </w:rPr>
        <w:fldChar w:fldCharType="end"/>
      </w:r>
      <w:r w:rsidRPr="00610088">
        <w:rPr>
          <w:sz w:val="18"/>
          <w:szCs w:val="18"/>
          <w:lang w:val="en-GB"/>
        </w:rPr>
        <w:t xml:space="preserve">  The 2017 Global Burden of Disease (GBD) study </w:t>
      </w:r>
      <w:r w:rsidRPr="00610088">
        <w:rPr>
          <w:sz w:val="18"/>
          <w:szCs w:val="18"/>
          <w:vertAlign w:val="superscript"/>
          <w:lang w:val="en-GB"/>
        </w:rPr>
        <w:fldChar w:fldCharType="begin"/>
      </w:r>
      <w:r w:rsidRPr="00610088">
        <w:rPr>
          <w:sz w:val="18"/>
          <w:szCs w:val="18"/>
          <w:vertAlign w:val="superscript"/>
          <w:lang w:val="en-GB"/>
        </w:rPr>
        <w:instrText xml:space="preserve"> NOTEREF _Ref17398307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r w:rsidRPr="00610088">
        <w:rPr>
          <w:sz w:val="18"/>
          <w:szCs w:val="18"/>
          <w:lang w:val="en-GB"/>
        </w:rPr>
        <w:t xml:space="preserve"> estimates that there are 972,600 people with an existing injury in Sierra Leone (prevalence 13.0% </w:t>
      </w:r>
      <w:r w:rsidRPr="00610088">
        <w:rPr>
          <w:sz w:val="18"/>
          <w:szCs w:val="18"/>
          <w:vertAlign w:val="superscript"/>
          <w:lang w:val="en-GB"/>
        </w:rPr>
        <w:fldChar w:fldCharType="begin"/>
      </w:r>
      <w:r w:rsidRPr="00610088">
        <w:rPr>
          <w:sz w:val="18"/>
          <w:szCs w:val="18"/>
          <w:vertAlign w:val="superscript"/>
          <w:lang w:val="en-GB"/>
        </w:rPr>
        <w:instrText xml:space="preserve"> NOTEREF _Ref16838134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154</w:t>
      </w:r>
      <w:r w:rsidRPr="00610088">
        <w:rPr>
          <w:sz w:val="18"/>
          <w:szCs w:val="18"/>
          <w:vertAlign w:val="superscript"/>
          <w:lang w:val="en-GB"/>
        </w:rPr>
        <w:fldChar w:fldCharType="end"/>
      </w:r>
      <w:r w:rsidRPr="00610088">
        <w:rPr>
          <w:sz w:val="18"/>
          <w:szCs w:val="18"/>
          <w:lang w:val="en-GB"/>
        </w:rPr>
        <w:t>), with 370,700 new injuries every year. The most frequent injury categories are unintentional injuries, like falls and self-harm and interpersonal violence, each about 45 %. Transport injuries are estimated to contribute about 10%.</w:t>
      </w:r>
      <w:r w:rsidRPr="00610088">
        <w:rPr>
          <w:sz w:val="18"/>
          <w:szCs w:val="18"/>
          <w:vertAlign w:val="superscript"/>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_Ref16711794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r w:rsidR="00D146B7" w:rsidRPr="00610088">
        <w:rPr>
          <w:sz w:val="18"/>
          <w:szCs w:val="18"/>
          <w:vertAlign w:val="superscript"/>
          <w:lang w:val="en-GB"/>
        </w:rPr>
        <w:t xml:space="preserve"> </w:t>
      </w:r>
    </w:p>
    <w:p w14:paraId="62BD7D85" w14:textId="77777777" w:rsidR="00FF70EA" w:rsidRPr="00610088" w:rsidRDefault="00FF70EA" w:rsidP="00FF70EA">
      <w:pPr>
        <w:rPr>
          <w:sz w:val="18"/>
          <w:szCs w:val="18"/>
          <w:vertAlign w:val="superscript"/>
          <w:lang w:val="en-GB"/>
        </w:rPr>
      </w:pPr>
    </w:p>
    <w:p w14:paraId="65CEFF33" w14:textId="136BE540" w:rsidR="00BC4243" w:rsidRPr="00610088" w:rsidRDefault="00FF70EA" w:rsidP="00BC4243">
      <w:pPr>
        <w:rPr>
          <w:sz w:val="18"/>
          <w:szCs w:val="18"/>
          <w:vertAlign w:val="superscript"/>
          <w:lang w:val="en-GB"/>
        </w:rPr>
      </w:pPr>
      <w:r w:rsidRPr="00610088">
        <w:rPr>
          <w:sz w:val="18"/>
          <w:szCs w:val="18"/>
          <w:lang w:val="en-GB"/>
        </w:rPr>
        <w:t xml:space="preserve">In 2013, 51% and 33% of ever-married </w:t>
      </w:r>
      <w:proofErr w:type="gramStart"/>
      <w:r w:rsidRPr="00610088">
        <w:rPr>
          <w:sz w:val="18"/>
          <w:szCs w:val="18"/>
          <w:lang w:val="en-GB"/>
        </w:rPr>
        <w:t>15-49 year</w:t>
      </w:r>
      <w:proofErr w:type="gramEnd"/>
      <w:r w:rsidRPr="00610088">
        <w:rPr>
          <w:sz w:val="18"/>
          <w:szCs w:val="18"/>
          <w:lang w:val="en-GB"/>
        </w:rPr>
        <w:t xml:space="preserve"> women and men had experienced any form (emotional, physical, sexual) of intimate partner violence, with 33.9% of women and 26.0% in the experiencing it in the previous 12 months. Physical violence by intimate partners occurred among 27.2% of the women and 15.1% of the men. </w:t>
      </w:r>
      <w:r w:rsidRPr="00610088">
        <w:rPr>
          <w:sz w:val="18"/>
          <w:szCs w:val="18"/>
          <w:lang w:val="en-GB"/>
        </w:rPr>
        <w:fldChar w:fldCharType="begin"/>
      </w:r>
      <w:r w:rsidRPr="00610088">
        <w:rPr>
          <w:sz w:val="18"/>
          <w:szCs w:val="18"/>
          <w:lang w:val="en-GB"/>
        </w:rPr>
        <w:instrText xml:space="preserve"> NOTEREF _Ref17298289 \f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8</w:t>
      </w:r>
      <w:r w:rsidRPr="00610088">
        <w:rPr>
          <w:sz w:val="18"/>
          <w:szCs w:val="18"/>
          <w:lang w:val="en-GB"/>
        </w:rPr>
        <w:fldChar w:fldCharType="end"/>
      </w:r>
      <w:r w:rsidRPr="00610088">
        <w:rPr>
          <w:sz w:val="18"/>
          <w:szCs w:val="18"/>
          <w:lang w:val="en-GB"/>
        </w:rPr>
        <w:t xml:space="preserve"> Violent discipline is common in Sierra Leone, with 86.5% of children age 1-14 years experiencing any physical punishment and/or psychological aggression by caregivers in the past one month. </w:t>
      </w:r>
      <w:r w:rsidRPr="00610088">
        <w:rPr>
          <w:sz w:val="18"/>
          <w:szCs w:val="18"/>
          <w:lang w:val="en-GB"/>
        </w:rPr>
        <w:fldChar w:fldCharType="begin"/>
      </w:r>
      <w:r w:rsidRPr="00610088">
        <w:rPr>
          <w:sz w:val="18"/>
          <w:szCs w:val="18"/>
          <w:lang w:val="en-GB"/>
        </w:rPr>
        <w:instrText xml:space="preserve"> NOTEREF _Ref17613464 \f \h </w:instrText>
      </w:r>
      <w:r w:rsidR="00241E47"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7</w:t>
      </w:r>
      <w:r w:rsidRPr="00610088">
        <w:rPr>
          <w:sz w:val="18"/>
          <w:szCs w:val="18"/>
          <w:lang w:val="en-GB"/>
        </w:rPr>
        <w:fldChar w:fldCharType="end"/>
      </w:r>
      <w:r w:rsidRPr="00610088">
        <w:rPr>
          <w:sz w:val="18"/>
          <w:szCs w:val="18"/>
          <w:lang w:val="en-GB"/>
        </w:rPr>
        <w:t xml:space="preserve">  </w:t>
      </w:r>
      <w:r w:rsidR="003C4A5C" w:rsidRPr="00610088">
        <w:rPr>
          <w:sz w:val="18"/>
          <w:szCs w:val="18"/>
          <w:lang w:val="en-GB"/>
        </w:rPr>
        <w:t xml:space="preserve">The DHS 2013 showed that women whose husbands are often drunk were more likely to experience </w:t>
      </w:r>
      <w:r w:rsidR="00BC4243" w:rsidRPr="00610088">
        <w:rPr>
          <w:sz w:val="18"/>
          <w:szCs w:val="18"/>
          <w:lang w:val="en-GB"/>
        </w:rPr>
        <w:t>emotional, physical, or sexual violence</w:t>
      </w:r>
      <w:r w:rsidR="003C4A5C" w:rsidRPr="00610088">
        <w:rPr>
          <w:sz w:val="18"/>
          <w:szCs w:val="18"/>
          <w:lang w:val="en-GB"/>
        </w:rPr>
        <w:t xml:space="preserve"> (67%) as</w:t>
      </w:r>
      <w:r w:rsidR="00BC4243" w:rsidRPr="00610088">
        <w:rPr>
          <w:sz w:val="18"/>
          <w:szCs w:val="18"/>
          <w:lang w:val="en-GB"/>
        </w:rPr>
        <w:t xml:space="preserve"> compared </w:t>
      </w:r>
      <w:r w:rsidR="003C4A5C" w:rsidRPr="00610088">
        <w:rPr>
          <w:sz w:val="18"/>
          <w:szCs w:val="18"/>
          <w:lang w:val="en-GB"/>
        </w:rPr>
        <w:t>to</w:t>
      </w:r>
      <w:r w:rsidR="00BC4243" w:rsidRPr="00610088">
        <w:rPr>
          <w:sz w:val="18"/>
          <w:szCs w:val="18"/>
          <w:lang w:val="en-GB"/>
        </w:rPr>
        <w:t xml:space="preserve"> women whose husbands do not drink alcohol (</w:t>
      </w:r>
      <w:r w:rsidR="003C4A5C" w:rsidRPr="00610088">
        <w:rPr>
          <w:sz w:val="18"/>
          <w:szCs w:val="18"/>
          <w:lang w:val="en-GB"/>
        </w:rPr>
        <w:t>4</w:t>
      </w:r>
      <w:r w:rsidR="00BC4243" w:rsidRPr="00610088">
        <w:rPr>
          <w:sz w:val="18"/>
          <w:szCs w:val="18"/>
          <w:lang w:val="en-GB"/>
        </w:rPr>
        <w:t>8</w:t>
      </w:r>
      <w:r w:rsidR="003C4A5C" w:rsidRPr="00610088">
        <w:rPr>
          <w:sz w:val="18"/>
          <w:szCs w:val="18"/>
          <w:lang w:val="en-GB"/>
        </w:rPr>
        <w:t>%</w:t>
      </w:r>
      <w:r w:rsidR="00BC4243" w:rsidRPr="00610088">
        <w:rPr>
          <w:sz w:val="18"/>
          <w:szCs w:val="18"/>
          <w:lang w:val="en-GB"/>
        </w:rPr>
        <w:t>).</w:t>
      </w:r>
      <w:r w:rsidR="003C4A5C" w:rsidRPr="00610088">
        <w:rPr>
          <w:sz w:val="18"/>
          <w:szCs w:val="18"/>
          <w:vertAlign w:val="superscript"/>
          <w:lang w:val="en-GB"/>
        </w:rPr>
        <w:fldChar w:fldCharType="begin"/>
      </w:r>
      <w:r w:rsidR="003C4A5C" w:rsidRPr="00610088">
        <w:rPr>
          <w:sz w:val="18"/>
          <w:szCs w:val="18"/>
          <w:vertAlign w:val="superscript"/>
          <w:lang w:val="en-GB"/>
        </w:rPr>
        <w:instrText xml:space="preserve"> NOTEREF _Ref17298289 \h  \* MERGEFORMAT </w:instrText>
      </w:r>
      <w:r w:rsidR="003C4A5C" w:rsidRPr="00610088">
        <w:rPr>
          <w:sz w:val="18"/>
          <w:szCs w:val="18"/>
          <w:vertAlign w:val="superscript"/>
          <w:lang w:val="en-GB"/>
        </w:rPr>
      </w:r>
      <w:r w:rsidR="003C4A5C" w:rsidRPr="00610088">
        <w:rPr>
          <w:sz w:val="18"/>
          <w:szCs w:val="18"/>
          <w:vertAlign w:val="superscript"/>
          <w:lang w:val="en-GB"/>
        </w:rPr>
        <w:fldChar w:fldCharType="separate"/>
      </w:r>
      <w:r w:rsidR="00CB360C">
        <w:rPr>
          <w:sz w:val="18"/>
          <w:szCs w:val="18"/>
          <w:vertAlign w:val="superscript"/>
          <w:lang w:val="en-GB"/>
        </w:rPr>
        <w:t>8</w:t>
      </w:r>
      <w:r w:rsidR="003C4A5C" w:rsidRPr="00610088">
        <w:rPr>
          <w:sz w:val="18"/>
          <w:szCs w:val="18"/>
          <w:vertAlign w:val="superscript"/>
          <w:lang w:val="en-GB"/>
        </w:rPr>
        <w:fldChar w:fldCharType="end"/>
      </w:r>
    </w:p>
    <w:p w14:paraId="034E369D" w14:textId="77777777" w:rsidR="00FF70EA" w:rsidRPr="00610088" w:rsidRDefault="00FF70EA" w:rsidP="00FF70EA">
      <w:pPr>
        <w:rPr>
          <w:sz w:val="18"/>
          <w:szCs w:val="18"/>
          <w:vertAlign w:val="superscript"/>
          <w:lang w:val="en-GB"/>
        </w:rPr>
      </w:pPr>
    </w:p>
    <w:p w14:paraId="6A91C5B4" w14:textId="77777777" w:rsidR="00FF70EA" w:rsidRPr="00610088" w:rsidRDefault="00FF70EA" w:rsidP="00FF70EA">
      <w:pPr>
        <w:rPr>
          <w:sz w:val="18"/>
          <w:szCs w:val="18"/>
          <w:lang w:val="en-GB"/>
        </w:rPr>
      </w:pPr>
      <w:r w:rsidRPr="00610088">
        <w:rPr>
          <w:sz w:val="18"/>
          <w:szCs w:val="18"/>
          <w:lang w:val="en-GB"/>
        </w:rPr>
        <w:lastRenderedPageBreak/>
        <w:t xml:space="preserve">The DHIS 2.0 - which counts morbidities at each visit so not unique patients - captured for 2018 in total 65,664 visits and admissions of people with injuries (including Stings/Bites, Burns, Wounds/Trauma) out of in total 5,003,031 morbidities (1.31%), of which 59,784 from primary health care and 4,063 and 1,817 from hospital out- and inpatient departments respectively. Differentiation between main and additional diagnosis is not possible in the DHIS 2.0. </w:t>
      </w:r>
    </w:p>
    <w:p w14:paraId="755A6BB9" w14:textId="77777777" w:rsidR="00FF70EA" w:rsidRPr="00610088" w:rsidRDefault="00FF70EA" w:rsidP="00FF70EA">
      <w:pPr>
        <w:rPr>
          <w:sz w:val="18"/>
          <w:szCs w:val="18"/>
          <w:vertAlign w:val="superscript"/>
          <w:lang w:val="en-GB"/>
        </w:rPr>
      </w:pPr>
    </w:p>
    <w:p w14:paraId="28E3872D" w14:textId="77777777" w:rsidR="00FF70EA" w:rsidRPr="00610088" w:rsidRDefault="00FF70EA" w:rsidP="00FF70EA">
      <w:pPr>
        <w:rPr>
          <w:sz w:val="18"/>
          <w:szCs w:val="18"/>
          <w:lang w:val="en-GB"/>
        </w:rPr>
      </w:pPr>
      <w:r w:rsidRPr="00610088">
        <w:rPr>
          <w:sz w:val="18"/>
          <w:szCs w:val="18"/>
          <w:lang w:val="en-GB"/>
        </w:rPr>
        <w:t>A 2012 nationwide survey</w:t>
      </w:r>
      <w:bookmarkStart w:id="167" w:name="_Ref32574726"/>
      <w:r w:rsidRPr="00610088">
        <w:rPr>
          <w:rStyle w:val="EndnoteReference"/>
          <w:sz w:val="18"/>
          <w:szCs w:val="18"/>
          <w:lang w:val="en-GB"/>
        </w:rPr>
        <w:endnoteReference w:id="160"/>
      </w:r>
      <w:bookmarkEnd w:id="167"/>
      <w:r w:rsidRPr="00610088">
        <w:rPr>
          <w:sz w:val="18"/>
          <w:szCs w:val="18"/>
          <w:lang w:val="en-GB"/>
        </w:rPr>
        <w:t xml:space="preserve"> among 1,843 households showed that 23.95% 3,645 respondents had at least one lifetime traumatic injury, while 12.4% had at least one traumatic injury in the preceding year. There were significantly more injuries in the preceding year among men, and among children (as compared to elderly). There were no significant differences by residency, occupation or education level. The most common lifetime injuries were falls (urban 41%, rural 44%), stab/slash/cut/crush (urban 27%, rural 31%) and burns (urban 15%, rural 10%). Traffic injuries contributed 13% of urban and 9% of rural injuries. The least common injury causes were bite or animal attack (urban 2%, rural 3%) and gunshot wounds (urban 1%, rural 2%). The most commonly affected body regions were the extremities (55%) and head and neck (16%).  The leading cause of injury related deaths were transport injuries, although they are only the 4</w:t>
      </w:r>
      <w:r w:rsidRPr="00610088">
        <w:rPr>
          <w:sz w:val="18"/>
          <w:szCs w:val="18"/>
          <w:vertAlign w:val="superscript"/>
          <w:lang w:val="en-GB"/>
        </w:rPr>
        <w:t>th</w:t>
      </w:r>
      <w:r w:rsidRPr="00610088">
        <w:rPr>
          <w:sz w:val="18"/>
          <w:szCs w:val="18"/>
          <w:lang w:val="en-GB"/>
        </w:rPr>
        <w:t xml:space="preserve"> most common cause of injuries. 3.98% had at least one burn injury, with higher frequency especially among younger children (0-4 years 5.4%, 5-14 years 4.17%). 89% of burns were due to a hot liquid or object.</w:t>
      </w:r>
      <w:bookmarkStart w:id="168" w:name="_Ref16752211"/>
      <w:r w:rsidRPr="00610088">
        <w:rPr>
          <w:sz w:val="18"/>
          <w:szCs w:val="18"/>
          <w:lang w:val="en-GB"/>
        </w:rPr>
        <w:t xml:space="preserve"> </w:t>
      </w:r>
      <w:r w:rsidRPr="00610088">
        <w:rPr>
          <w:rStyle w:val="EndnoteReference"/>
          <w:sz w:val="18"/>
          <w:szCs w:val="18"/>
          <w:lang w:val="en-GB"/>
        </w:rPr>
        <w:endnoteReference w:id="161"/>
      </w:r>
      <w:bookmarkEnd w:id="168"/>
    </w:p>
    <w:p w14:paraId="3BC5A3A3" w14:textId="77777777" w:rsidR="00FF70EA" w:rsidRPr="00610088" w:rsidRDefault="00FF70EA" w:rsidP="00FF70EA">
      <w:pPr>
        <w:rPr>
          <w:sz w:val="18"/>
          <w:szCs w:val="18"/>
          <w:lang w:val="en-GB"/>
        </w:rPr>
      </w:pPr>
    </w:p>
    <w:p w14:paraId="28237956" w14:textId="07B715B3" w:rsidR="00FF70EA" w:rsidRPr="00610088" w:rsidRDefault="00FF70EA" w:rsidP="00FF70EA">
      <w:pPr>
        <w:rPr>
          <w:sz w:val="18"/>
          <w:szCs w:val="18"/>
          <w:lang w:val="en-GB"/>
        </w:rPr>
      </w:pPr>
      <w:r w:rsidRPr="00610088">
        <w:rPr>
          <w:sz w:val="18"/>
          <w:szCs w:val="18"/>
          <w:lang w:val="en-GB"/>
        </w:rPr>
        <w:t>A total of 340 injury patients presented during a 3-month observational study to the Emergency Centre of the tertiary Connaught hospital in Freetown in 2016.</w:t>
      </w:r>
      <w:r w:rsidR="00241E47" w:rsidRPr="00610088">
        <w:rPr>
          <w:rStyle w:val="EndnoteReference"/>
          <w:sz w:val="18"/>
          <w:szCs w:val="18"/>
          <w:lang w:val="en-GB"/>
        </w:rPr>
        <w:endnoteReference w:id="162"/>
      </w:r>
      <w:r w:rsidRPr="00610088">
        <w:rPr>
          <w:sz w:val="18"/>
          <w:szCs w:val="18"/>
          <w:lang w:val="en-GB"/>
        </w:rPr>
        <w:t xml:space="preserve"> These patients are 11.6% of the total emergency centre attendees and account for 68% of the adult surgical admissions. The mean age of the injury patients was 26 years, and 66% of them were male. The most common conditions were road traffic accidents (55%), falls (17%) and assaults (14%). Burns were more common in children (16%). Head (39%) and lower extremities (21%) were most commonly injured body areas – similar to the 2012 study.</w:t>
      </w:r>
      <w:r w:rsidR="00B67EF2" w:rsidRPr="00610088">
        <w:rPr>
          <w:sz w:val="18"/>
          <w:szCs w:val="18"/>
          <w:vertAlign w:val="superscript"/>
          <w:lang w:val="en-GB"/>
        </w:rPr>
        <w:fldChar w:fldCharType="begin"/>
      </w:r>
      <w:r w:rsidR="00B67EF2" w:rsidRPr="00610088">
        <w:rPr>
          <w:sz w:val="18"/>
          <w:szCs w:val="18"/>
          <w:vertAlign w:val="superscript"/>
          <w:lang w:val="en-GB"/>
        </w:rPr>
        <w:instrText xml:space="preserve"> NOTEREF _Ref32574726 \h  \* MERGEFORMAT </w:instrText>
      </w:r>
      <w:r w:rsidR="00B67EF2" w:rsidRPr="00610088">
        <w:rPr>
          <w:sz w:val="18"/>
          <w:szCs w:val="18"/>
          <w:vertAlign w:val="superscript"/>
          <w:lang w:val="en-GB"/>
        </w:rPr>
      </w:r>
      <w:r w:rsidR="00B67EF2" w:rsidRPr="00610088">
        <w:rPr>
          <w:sz w:val="18"/>
          <w:szCs w:val="18"/>
          <w:vertAlign w:val="superscript"/>
          <w:lang w:val="en-GB"/>
        </w:rPr>
        <w:fldChar w:fldCharType="separate"/>
      </w:r>
      <w:r w:rsidR="00CB360C">
        <w:rPr>
          <w:sz w:val="18"/>
          <w:szCs w:val="18"/>
          <w:vertAlign w:val="superscript"/>
          <w:lang w:val="en-GB"/>
        </w:rPr>
        <w:t>160</w:t>
      </w:r>
      <w:r w:rsidR="00B67EF2" w:rsidRPr="00610088">
        <w:rPr>
          <w:sz w:val="18"/>
          <w:szCs w:val="18"/>
          <w:vertAlign w:val="superscript"/>
          <w:lang w:val="en-GB"/>
        </w:rPr>
        <w:fldChar w:fldCharType="end"/>
      </w:r>
    </w:p>
    <w:p w14:paraId="73F298E7" w14:textId="77777777" w:rsidR="00FF70EA" w:rsidRPr="00610088" w:rsidRDefault="00FF70EA" w:rsidP="00FF70EA">
      <w:pPr>
        <w:rPr>
          <w:sz w:val="18"/>
          <w:szCs w:val="18"/>
          <w:lang w:val="en-GB"/>
        </w:rPr>
      </w:pPr>
    </w:p>
    <w:p w14:paraId="3CE0CCC1" w14:textId="77777777" w:rsidR="00FF70EA" w:rsidRPr="00610088" w:rsidRDefault="00FF70EA" w:rsidP="007A5E46">
      <w:pPr>
        <w:pStyle w:val="Subtitle"/>
        <w:rPr>
          <w:b/>
          <w:bCs/>
          <w:sz w:val="18"/>
          <w:szCs w:val="18"/>
          <w:u w:val="single"/>
          <w:lang w:val="en-GB"/>
        </w:rPr>
      </w:pPr>
      <w:r w:rsidRPr="00610088">
        <w:rPr>
          <w:b/>
          <w:bCs/>
          <w:sz w:val="18"/>
          <w:szCs w:val="18"/>
          <w:u w:val="single"/>
          <w:lang w:val="en-GB"/>
        </w:rPr>
        <w:t>Other NCD conditions</w:t>
      </w:r>
    </w:p>
    <w:p w14:paraId="243699A0" w14:textId="5A31A49D" w:rsidR="00FF70EA" w:rsidRPr="00610088" w:rsidRDefault="00FF70EA" w:rsidP="00FF70EA">
      <w:pPr>
        <w:rPr>
          <w:sz w:val="18"/>
          <w:szCs w:val="18"/>
          <w:highlight w:val="yellow"/>
          <w:lang w:val="en-GB"/>
        </w:rPr>
      </w:pPr>
      <w:r w:rsidRPr="00610088">
        <w:rPr>
          <w:sz w:val="18"/>
          <w:szCs w:val="18"/>
          <w:lang w:val="en-GB"/>
        </w:rPr>
        <w:t xml:space="preserve">Beyond the 5 conditions of the 5x5 agenda and injuries there are several other NCD conditions of relevance for Sierra Leone. They are summarized in </w:t>
      </w:r>
      <w:r w:rsidRPr="00610088">
        <w:rPr>
          <w:sz w:val="18"/>
          <w:szCs w:val="18"/>
          <w:lang w:val="en-GB"/>
        </w:rPr>
        <w:fldChar w:fldCharType="begin"/>
      </w:r>
      <w:r w:rsidRPr="00610088">
        <w:rPr>
          <w:sz w:val="18"/>
          <w:szCs w:val="18"/>
          <w:lang w:val="en-GB"/>
        </w:rPr>
        <w:instrText xml:space="preserve"> REF _Ref16780342 \h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 xml:space="preserve">Table </w:t>
      </w:r>
      <w:r w:rsidR="00CB360C" w:rsidRPr="00CB360C">
        <w:rPr>
          <w:noProof/>
          <w:sz w:val="18"/>
          <w:szCs w:val="18"/>
          <w:lang w:val="en-GB"/>
        </w:rPr>
        <w:t>5</w:t>
      </w:r>
      <w:r w:rsidRPr="00610088">
        <w:rPr>
          <w:sz w:val="18"/>
          <w:szCs w:val="18"/>
          <w:lang w:val="en-GB"/>
        </w:rPr>
        <w:fldChar w:fldCharType="end"/>
      </w:r>
      <w:r w:rsidRPr="00610088">
        <w:rPr>
          <w:sz w:val="18"/>
          <w:szCs w:val="18"/>
          <w:lang w:val="en-GB"/>
        </w:rPr>
        <w:t xml:space="preserve"> below, with detail on subcategories in the last column. </w:t>
      </w:r>
      <w:r w:rsidR="007A5E46" w:rsidRPr="00610088">
        <w:rPr>
          <w:sz w:val="18"/>
          <w:szCs w:val="18"/>
          <w:lang w:val="en-GB"/>
        </w:rPr>
        <w:t xml:space="preserve"> </w:t>
      </w:r>
      <w:r w:rsidRPr="00610088">
        <w:rPr>
          <w:sz w:val="18"/>
          <w:szCs w:val="18"/>
          <w:lang w:val="en-GB"/>
        </w:rPr>
        <w:t xml:space="preserve">There are an estimated 3,510,000 existing cases of hemoglobinopathies and haemolytic anaemias in Sierra Leone in 2017 – a prevalence of 46.8%; with 145,000 new cases every year.  The majority has either sickle cell trait (2,103,400 existing, 72,300 new), G6PD (Glucose-6-phosphate dehydrogenase) deficiency trait (1,231,200 existing, 41,100 new) or G6PD deficiency (556,900 existing, 19,400 new). Less common are Sickle cell disorders (47,700 existing, 8,000 new) and thalassaemia trait (120,700 existing, 4,200 new). </w:t>
      </w:r>
    </w:p>
    <w:p w14:paraId="5DB04CA4" w14:textId="77777777" w:rsidR="00FF70EA" w:rsidRPr="00610088" w:rsidRDefault="00FF70EA" w:rsidP="00FF70EA">
      <w:pPr>
        <w:rPr>
          <w:sz w:val="18"/>
          <w:szCs w:val="18"/>
          <w:lang w:val="en-GB"/>
        </w:rPr>
      </w:pPr>
    </w:p>
    <w:p w14:paraId="4F790E49" w14:textId="6851146B" w:rsidR="00FF70EA" w:rsidRPr="00F0634E" w:rsidRDefault="00FF70EA" w:rsidP="00FF70EA">
      <w:pPr>
        <w:pStyle w:val="Caption"/>
        <w:keepNext/>
        <w:rPr>
          <w:i w:val="0"/>
          <w:iCs w:val="0"/>
          <w:color w:val="4472C4" w:themeColor="accent1"/>
          <w:lang w:val="en-GB"/>
        </w:rPr>
      </w:pPr>
      <w:bookmarkStart w:id="169" w:name="_Ref16780342"/>
      <w:bookmarkStart w:id="170" w:name="_Toc34804983"/>
      <w:r w:rsidRPr="00F0634E">
        <w:rPr>
          <w:i w:val="0"/>
          <w:iCs w:val="0"/>
          <w:color w:val="4472C4" w:themeColor="accent1"/>
          <w:lang w:val="en-GB"/>
        </w:rPr>
        <w:t xml:space="preserve">Table </w:t>
      </w:r>
      <w:r w:rsidRPr="00F0634E">
        <w:rPr>
          <w:i w:val="0"/>
          <w:iCs w:val="0"/>
          <w:color w:val="4472C4" w:themeColor="accent1"/>
          <w:lang w:val="en-GB"/>
        </w:rPr>
        <w:fldChar w:fldCharType="begin"/>
      </w:r>
      <w:r w:rsidRPr="00F0634E">
        <w:rPr>
          <w:i w:val="0"/>
          <w:iCs w:val="0"/>
          <w:color w:val="4472C4" w:themeColor="accent1"/>
          <w:lang w:val="en-GB"/>
        </w:rPr>
        <w:instrText xml:space="preserve"> SEQ Table \* ARABIC </w:instrText>
      </w:r>
      <w:r w:rsidRPr="00F0634E">
        <w:rPr>
          <w:i w:val="0"/>
          <w:iCs w:val="0"/>
          <w:color w:val="4472C4" w:themeColor="accent1"/>
          <w:lang w:val="en-GB"/>
        </w:rPr>
        <w:fldChar w:fldCharType="separate"/>
      </w:r>
      <w:r w:rsidR="00CB360C">
        <w:rPr>
          <w:i w:val="0"/>
          <w:iCs w:val="0"/>
          <w:noProof/>
          <w:color w:val="4472C4" w:themeColor="accent1"/>
          <w:lang w:val="en-GB"/>
        </w:rPr>
        <w:t>5</w:t>
      </w:r>
      <w:r w:rsidRPr="00F0634E">
        <w:rPr>
          <w:i w:val="0"/>
          <w:iCs w:val="0"/>
          <w:color w:val="4472C4" w:themeColor="accent1"/>
          <w:lang w:val="en-GB"/>
        </w:rPr>
        <w:fldChar w:fldCharType="end"/>
      </w:r>
      <w:bookmarkEnd w:id="169"/>
      <w:r w:rsidRPr="00F0634E">
        <w:rPr>
          <w:i w:val="0"/>
          <w:iCs w:val="0"/>
          <w:color w:val="4472C4" w:themeColor="accent1"/>
          <w:lang w:val="en-GB"/>
        </w:rPr>
        <w:t>: Other NCD conditions: prevalence and incidence, 2017, Sierra Leone</w:t>
      </w:r>
      <w:bookmarkEnd w:id="170"/>
    </w:p>
    <w:tbl>
      <w:tblPr>
        <w:tblStyle w:val="GridTable4-Accent1"/>
        <w:tblW w:w="0" w:type="auto"/>
        <w:tblLayout w:type="fixed"/>
        <w:tblLook w:val="04A0" w:firstRow="1" w:lastRow="0" w:firstColumn="1" w:lastColumn="0" w:noHBand="0" w:noVBand="1"/>
      </w:tblPr>
      <w:tblGrid>
        <w:gridCol w:w="1685"/>
        <w:gridCol w:w="1155"/>
        <w:gridCol w:w="1176"/>
        <w:gridCol w:w="1224"/>
        <w:gridCol w:w="3770"/>
      </w:tblGrid>
      <w:tr w:rsidR="00FF70EA" w:rsidRPr="00610088" w14:paraId="35A0E122" w14:textId="77777777" w:rsidTr="00FF70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225F722" w14:textId="77777777" w:rsidR="00FF70EA" w:rsidRPr="00610088" w:rsidRDefault="00FF70EA" w:rsidP="00FF70EA">
            <w:pPr>
              <w:rPr>
                <w:sz w:val="18"/>
                <w:szCs w:val="18"/>
                <w:lang w:val="en-GB"/>
              </w:rPr>
            </w:pPr>
            <w:r w:rsidRPr="00610088">
              <w:rPr>
                <w:sz w:val="18"/>
                <w:szCs w:val="18"/>
                <w:lang w:val="en-GB"/>
              </w:rPr>
              <w:t>Other NCD condition categories</w:t>
            </w:r>
          </w:p>
        </w:tc>
        <w:tc>
          <w:tcPr>
            <w:tcW w:w="1155" w:type="dxa"/>
          </w:tcPr>
          <w:p w14:paraId="3586D3C8"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610088">
              <w:rPr>
                <w:sz w:val="18"/>
                <w:szCs w:val="18"/>
                <w:lang w:val="en-GB"/>
              </w:rPr>
              <w:t xml:space="preserve">2017 Prevalence </w:t>
            </w:r>
          </w:p>
          <w:p w14:paraId="10776006"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 -  existing cases</w:t>
            </w:r>
          </w:p>
        </w:tc>
        <w:tc>
          <w:tcPr>
            <w:tcW w:w="1176" w:type="dxa"/>
          </w:tcPr>
          <w:p w14:paraId="4EAB7AC7"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2017 Incidence – new cases per year</w:t>
            </w:r>
          </w:p>
        </w:tc>
        <w:tc>
          <w:tcPr>
            <w:tcW w:w="1224" w:type="dxa"/>
          </w:tcPr>
          <w:p w14:paraId="239211C4"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610088">
              <w:rPr>
                <w:sz w:val="18"/>
                <w:szCs w:val="18"/>
                <w:lang w:val="en-GB"/>
              </w:rPr>
              <w:t>Prevalence % *</w:t>
            </w:r>
          </w:p>
          <w:p w14:paraId="35C04E24"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sz w:val="18"/>
                <w:szCs w:val="18"/>
                <w:lang w:val="en-GB"/>
              </w:rPr>
            </w:pPr>
          </w:p>
        </w:tc>
        <w:tc>
          <w:tcPr>
            <w:tcW w:w="3770" w:type="dxa"/>
          </w:tcPr>
          <w:p w14:paraId="2D828EED"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b w:val="0"/>
                <w:bCs w:val="0"/>
                <w:sz w:val="18"/>
                <w:szCs w:val="18"/>
                <w:lang w:val="en-GB"/>
              </w:rPr>
            </w:pPr>
            <w:r w:rsidRPr="00610088">
              <w:rPr>
                <w:sz w:val="18"/>
                <w:szCs w:val="18"/>
                <w:lang w:val="en-GB"/>
              </w:rPr>
              <w:t xml:space="preserve">Details on existing cases </w:t>
            </w:r>
          </w:p>
          <w:p w14:paraId="04B1D765" w14:textId="77777777" w:rsidR="00FF70EA" w:rsidRPr="00610088" w:rsidRDefault="00FF70EA" w:rsidP="00FF70EA">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(as % of the total category) **</w:t>
            </w:r>
          </w:p>
        </w:tc>
      </w:tr>
      <w:tr w:rsidR="00FF70EA" w:rsidRPr="00610088" w14:paraId="5BC83498"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7E9ABF7" w14:textId="77777777" w:rsidR="00FF70EA" w:rsidRPr="00610088" w:rsidRDefault="00FF70EA" w:rsidP="00FF70EA">
            <w:pPr>
              <w:rPr>
                <w:b w:val="0"/>
                <w:bCs w:val="0"/>
                <w:sz w:val="18"/>
                <w:szCs w:val="18"/>
                <w:lang w:val="en-GB"/>
              </w:rPr>
            </w:pPr>
            <w:r w:rsidRPr="00610088">
              <w:rPr>
                <w:b w:val="0"/>
                <w:bCs w:val="0"/>
                <w:sz w:val="18"/>
                <w:szCs w:val="18"/>
                <w:lang w:val="en-GB"/>
              </w:rPr>
              <w:t>Neurological disorders</w:t>
            </w:r>
          </w:p>
        </w:tc>
        <w:tc>
          <w:tcPr>
            <w:tcW w:w="1155" w:type="dxa"/>
          </w:tcPr>
          <w:p w14:paraId="5A772208"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3,049,800</w:t>
            </w:r>
          </w:p>
        </w:tc>
        <w:tc>
          <w:tcPr>
            <w:tcW w:w="1176" w:type="dxa"/>
          </w:tcPr>
          <w:p w14:paraId="27617E20"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1,030,700</w:t>
            </w:r>
          </w:p>
        </w:tc>
        <w:tc>
          <w:tcPr>
            <w:tcW w:w="1224" w:type="dxa"/>
          </w:tcPr>
          <w:p w14:paraId="623056B5"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40.7%</w:t>
            </w:r>
          </w:p>
        </w:tc>
        <w:tc>
          <w:tcPr>
            <w:tcW w:w="3770" w:type="dxa"/>
          </w:tcPr>
          <w:p w14:paraId="737B49B9"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99% headache disorders</w:t>
            </w:r>
          </w:p>
        </w:tc>
      </w:tr>
      <w:tr w:rsidR="00FF70EA" w:rsidRPr="00610088" w14:paraId="604B8628" w14:textId="77777777" w:rsidTr="00FF70EA">
        <w:tc>
          <w:tcPr>
            <w:cnfStyle w:val="001000000000" w:firstRow="0" w:lastRow="0" w:firstColumn="1" w:lastColumn="0" w:oddVBand="0" w:evenVBand="0" w:oddHBand="0" w:evenHBand="0" w:firstRowFirstColumn="0" w:firstRowLastColumn="0" w:lastRowFirstColumn="0" w:lastRowLastColumn="0"/>
            <w:tcW w:w="1685" w:type="dxa"/>
          </w:tcPr>
          <w:p w14:paraId="2A9684C2" w14:textId="77777777" w:rsidR="00FF70EA" w:rsidRPr="00610088" w:rsidRDefault="00FF70EA" w:rsidP="00FF70EA">
            <w:pPr>
              <w:rPr>
                <w:b w:val="0"/>
                <w:bCs w:val="0"/>
                <w:sz w:val="18"/>
                <w:szCs w:val="18"/>
                <w:lang w:val="en-GB"/>
              </w:rPr>
            </w:pPr>
            <w:r w:rsidRPr="00610088">
              <w:rPr>
                <w:b w:val="0"/>
                <w:bCs w:val="0"/>
                <w:sz w:val="18"/>
                <w:szCs w:val="18"/>
                <w:lang w:val="en-GB"/>
              </w:rPr>
              <w:t>Digestive diseases</w:t>
            </w:r>
          </w:p>
        </w:tc>
        <w:tc>
          <w:tcPr>
            <w:tcW w:w="1155" w:type="dxa"/>
          </w:tcPr>
          <w:p w14:paraId="6B6FE2A3"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2,207,700</w:t>
            </w:r>
          </w:p>
        </w:tc>
        <w:tc>
          <w:tcPr>
            <w:tcW w:w="1176" w:type="dxa"/>
          </w:tcPr>
          <w:p w14:paraId="3E567117"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404,500</w:t>
            </w:r>
          </w:p>
        </w:tc>
        <w:tc>
          <w:tcPr>
            <w:tcW w:w="1224" w:type="dxa"/>
          </w:tcPr>
          <w:p w14:paraId="153D4C29"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29.4%</w:t>
            </w:r>
          </w:p>
        </w:tc>
        <w:tc>
          <w:tcPr>
            <w:tcW w:w="3770" w:type="dxa"/>
          </w:tcPr>
          <w:p w14:paraId="6B9F7B56"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85% cirrhosis and other chronic liver diseases</w:t>
            </w:r>
          </w:p>
        </w:tc>
      </w:tr>
      <w:tr w:rsidR="00FF70EA" w:rsidRPr="00610088" w14:paraId="56861EF4"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C66865F" w14:textId="77777777" w:rsidR="00FF70EA" w:rsidRPr="00610088" w:rsidRDefault="00FF70EA" w:rsidP="00FF70EA">
            <w:pPr>
              <w:rPr>
                <w:b w:val="0"/>
                <w:bCs w:val="0"/>
                <w:sz w:val="18"/>
                <w:szCs w:val="18"/>
                <w:lang w:val="en-GB"/>
              </w:rPr>
            </w:pPr>
            <w:r w:rsidRPr="00610088">
              <w:rPr>
                <w:b w:val="0"/>
                <w:bCs w:val="0"/>
                <w:sz w:val="18"/>
                <w:szCs w:val="18"/>
                <w:lang w:val="en-GB"/>
              </w:rPr>
              <w:t>Skin and subcutaneous diseases</w:t>
            </w:r>
          </w:p>
        </w:tc>
        <w:tc>
          <w:tcPr>
            <w:tcW w:w="1155" w:type="dxa"/>
          </w:tcPr>
          <w:p w14:paraId="143DBC30"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2,089,000</w:t>
            </w:r>
          </w:p>
        </w:tc>
        <w:tc>
          <w:tcPr>
            <w:tcW w:w="1176" w:type="dxa"/>
          </w:tcPr>
          <w:p w14:paraId="1F693077"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4,765,000</w:t>
            </w:r>
          </w:p>
        </w:tc>
        <w:tc>
          <w:tcPr>
            <w:tcW w:w="1224" w:type="dxa"/>
          </w:tcPr>
          <w:p w14:paraId="21751375"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27.9%</w:t>
            </w:r>
          </w:p>
        </w:tc>
        <w:tc>
          <w:tcPr>
            <w:tcW w:w="3770" w:type="dxa"/>
          </w:tcPr>
          <w:p w14:paraId="23783B42"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16% dermatitis, 53% fungal skin diseases, 7% viral skin diseases</w:t>
            </w:r>
          </w:p>
        </w:tc>
      </w:tr>
      <w:tr w:rsidR="00FF70EA" w:rsidRPr="00610088" w14:paraId="05ED5C16" w14:textId="77777777" w:rsidTr="00FF70EA">
        <w:tc>
          <w:tcPr>
            <w:cnfStyle w:val="001000000000" w:firstRow="0" w:lastRow="0" w:firstColumn="1" w:lastColumn="0" w:oddVBand="0" w:evenVBand="0" w:oddHBand="0" w:evenHBand="0" w:firstRowFirstColumn="0" w:firstRowLastColumn="0" w:lastRowFirstColumn="0" w:lastRowLastColumn="0"/>
            <w:tcW w:w="1685" w:type="dxa"/>
          </w:tcPr>
          <w:p w14:paraId="725E5785" w14:textId="77777777" w:rsidR="00FF70EA" w:rsidRPr="00610088" w:rsidRDefault="00FF70EA" w:rsidP="00FF70EA">
            <w:pPr>
              <w:rPr>
                <w:b w:val="0"/>
                <w:bCs w:val="0"/>
                <w:sz w:val="18"/>
                <w:szCs w:val="18"/>
                <w:lang w:val="en-GB"/>
              </w:rPr>
            </w:pPr>
            <w:r w:rsidRPr="00610088">
              <w:rPr>
                <w:b w:val="0"/>
                <w:bCs w:val="0"/>
                <w:sz w:val="18"/>
                <w:szCs w:val="18"/>
                <w:lang w:val="en-GB"/>
              </w:rPr>
              <w:t>Sense organ diseases</w:t>
            </w:r>
          </w:p>
        </w:tc>
        <w:tc>
          <w:tcPr>
            <w:tcW w:w="1155" w:type="dxa"/>
          </w:tcPr>
          <w:p w14:paraId="28508433"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1,413,800</w:t>
            </w:r>
          </w:p>
        </w:tc>
        <w:tc>
          <w:tcPr>
            <w:tcW w:w="1176" w:type="dxa"/>
          </w:tcPr>
          <w:p w14:paraId="33EC6E2C"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Not available</w:t>
            </w:r>
          </w:p>
        </w:tc>
        <w:tc>
          <w:tcPr>
            <w:tcW w:w="1224" w:type="dxa"/>
          </w:tcPr>
          <w:p w14:paraId="104B5911"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18.9%</w:t>
            </w:r>
          </w:p>
        </w:tc>
        <w:tc>
          <w:tcPr>
            <w:tcW w:w="3770" w:type="dxa"/>
          </w:tcPr>
          <w:p w14:paraId="35A494CD"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63% Blindness and 53% vision impairment &amp; age related and other hearing</w:t>
            </w:r>
          </w:p>
        </w:tc>
      </w:tr>
      <w:tr w:rsidR="00FF70EA" w:rsidRPr="00610088" w14:paraId="3987E25C"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7DF262C6" w14:textId="77777777" w:rsidR="00FF70EA" w:rsidRPr="00610088" w:rsidRDefault="00FF70EA" w:rsidP="00FF70EA">
            <w:pPr>
              <w:rPr>
                <w:b w:val="0"/>
                <w:bCs w:val="0"/>
                <w:sz w:val="18"/>
                <w:szCs w:val="18"/>
                <w:lang w:val="en-GB"/>
              </w:rPr>
            </w:pPr>
            <w:r w:rsidRPr="00610088">
              <w:rPr>
                <w:b w:val="0"/>
                <w:bCs w:val="0"/>
                <w:sz w:val="18"/>
                <w:szCs w:val="18"/>
                <w:lang w:val="en-GB"/>
              </w:rPr>
              <w:t>Musculoskeletal disorders</w:t>
            </w:r>
          </w:p>
        </w:tc>
        <w:tc>
          <w:tcPr>
            <w:tcW w:w="1155" w:type="dxa"/>
          </w:tcPr>
          <w:p w14:paraId="56C43B44"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724,500</w:t>
            </w:r>
          </w:p>
        </w:tc>
        <w:tc>
          <w:tcPr>
            <w:tcW w:w="1176" w:type="dxa"/>
          </w:tcPr>
          <w:p w14:paraId="41228AED"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250,600</w:t>
            </w:r>
          </w:p>
        </w:tc>
        <w:tc>
          <w:tcPr>
            <w:tcW w:w="1224" w:type="dxa"/>
          </w:tcPr>
          <w:p w14:paraId="65387D2A"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9.7%</w:t>
            </w:r>
          </w:p>
        </w:tc>
        <w:tc>
          <w:tcPr>
            <w:tcW w:w="3770" w:type="dxa"/>
          </w:tcPr>
          <w:p w14:paraId="432690A5"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62 % low back pain and 22% neck pain</w:t>
            </w:r>
          </w:p>
        </w:tc>
      </w:tr>
      <w:tr w:rsidR="00FF70EA" w:rsidRPr="00610088" w14:paraId="35D1CD9B" w14:textId="77777777" w:rsidTr="00FF70EA">
        <w:tc>
          <w:tcPr>
            <w:cnfStyle w:val="001000000000" w:firstRow="0" w:lastRow="0" w:firstColumn="1" w:lastColumn="0" w:oddVBand="0" w:evenVBand="0" w:oddHBand="0" w:evenHBand="0" w:firstRowFirstColumn="0" w:firstRowLastColumn="0" w:lastRowFirstColumn="0" w:lastRowLastColumn="0"/>
            <w:tcW w:w="1685" w:type="dxa"/>
          </w:tcPr>
          <w:p w14:paraId="2D03A3C9" w14:textId="77777777" w:rsidR="00FF70EA" w:rsidRPr="00610088" w:rsidRDefault="00FF70EA" w:rsidP="00FF70EA">
            <w:pPr>
              <w:rPr>
                <w:b w:val="0"/>
                <w:bCs w:val="0"/>
                <w:sz w:val="18"/>
                <w:szCs w:val="18"/>
                <w:lang w:val="en-GB"/>
              </w:rPr>
            </w:pPr>
            <w:r w:rsidRPr="00610088">
              <w:rPr>
                <w:b w:val="0"/>
                <w:bCs w:val="0"/>
                <w:sz w:val="18"/>
                <w:szCs w:val="18"/>
                <w:lang w:val="en-GB"/>
              </w:rPr>
              <w:t>Kidney diseases</w:t>
            </w:r>
          </w:p>
        </w:tc>
        <w:tc>
          <w:tcPr>
            <w:tcW w:w="1155" w:type="dxa"/>
          </w:tcPr>
          <w:p w14:paraId="7FAF30FB"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510,400</w:t>
            </w:r>
          </w:p>
        </w:tc>
        <w:tc>
          <w:tcPr>
            <w:tcW w:w="1176" w:type="dxa"/>
          </w:tcPr>
          <w:p w14:paraId="7EF6FAA6"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19,900</w:t>
            </w:r>
          </w:p>
        </w:tc>
        <w:tc>
          <w:tcPr>
            <w:tcW w:w="1224" w:type="dxa"/>
          </w:tcPr>
          <w:p w14:paraId="63FAC10B"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6.8%</w:t>
            </w:r>
          </w:p>
        </w:tc>
        <w:tc>
          <w:tcPr>
            <w:tcW w:w="3770" w:type="dxa"/>
          </w:tcPr>
          <w:p w14:paraId="25CC9DE3" w14:textId="77777777" w:rsidR="00FF70EA" w:rsidRPr="00610088" w:rsidRDefault="00FF70EA" w:rsidP="00FF70EA">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Mainly chronic kidney diseases, only 0.02% for acute glomerulonephritis</w:t>
            </w:r>
          </w:p>
        </w:tc>
      </w:tr>
      <w:tr w:rsidR="00FF70EA" w:rsidRPr="00610088" w14:paraId="19DD27D4" w14:textId="77777777" w:rsidTr="00FF7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5" w:type="dxa"/>
          </w:tcPr>
          <w:p w14:paraId="4CC9795E" w14:textId="77777777" w:rsidR="00FF70EA" w:rsidRPr="00610088" w:rsidRDefault="00FF70EA" w:rsidP="00FF70EA">
            <w:pPr>
              <w:rPr>
                <w:b w:val="0"/>
                <w:bCs w:val="0"/>
                <w:sz w:val="18"/>
                <w:szCs w:val="18"/>
                <w:lang w:val="en-GB"/>
              </w:rPr>
            </w:pPr>
            <w:r w:rsidRPr="00610088">
              <w:rPr>
                <w:b w:val="0"/>
                <w:bCs w:val="0"/>
                <w:sz w:val="18"/>
                <w:szCs w:val="18"/>
                <w:lang w:val="en-GB"/>
              </w:rPr>
              <w:t xml:space="preserve">Other NCDs </w:t>
            </w:r>
          </w:p>
        </w:tc>
        <w:tc>
          <w:tcPr>
            <w:tcW w:w="1155" w:type="dxa"/>
          </w:tcPr>
          <w:p w14:paraId="6841DE9E"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5,942,300</w:t>
            </w:r>
          </w:p>
        </w:tc>
        <w:tc>
          <w:tcPr>
            <w:tcW w:w="1176" w:type="dxa"/>
          </w:tcPr>
          <w:p w14:paraId="42063A93"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4,297,000</w:t>
            </w:r>
          </w:p>
        </w:tc>
        <w:tc>
          <w:tcPr>
            <w:tcW w:w="1224" w:type="dxa"/>
          </w:tcPr>
          <w:p w14:paraId="0401F7D1"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79.2%</w:t>
            </w:r>
          </w:p>
          <w:p w14:paraId="5A8CBB4E"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sz w:val="18"/>
                <w:szCs w:val="18"/>
                <w:lang w:val="en-GB"/>
              </w:rPr>
            </w:pPr>
          </w:p>
          <w:p w14:paraId="63FA89E2"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i/>
                <w:iCs/>
                <w:sz w:val="18"/>
                <w:szCs w:val="18"/>
                <w:lang w:val="en-GB"/>
              </w:rPr>
            </w:pPr>
            <w:r w:rsidRPr="00610088">
              <w:rPr>
                <w:i/>
                <w:iCs/>
                <w:sz w:val="18"/>
                <w:szCs w:val="18"/>
                <w:lang w:val="en-GB"/>
              </w:rPr>
              <w:t>Hemoglobinopathies and haemolytic anaemias: 46.8%</w:t>
            </w:r>
          </w:p>
        </w:tc>
        <w:tc>
          <w:tcPr>
            <w:tcW w:w="3770" w:type="dxa"/>
          </w:tcPr>
          <w:p w14:paraId="1D88882F" w14:textId="77777777" w:rsidR="00FF70EA" w:rsidRPr="00610088" w:rsidRDefault="00FF70EA" w:rsidP="00FF70EA">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 xml:space="preserve">2% congenital anomalies, 2% urinary diseases and male infertility, 11% gynaecological diseases, 59% hemoglobinopathies and haemolytic anaemias, 2% endocrine, metabolic, blood and immune disorders and 68% oral disorders </w:t>
            </w:r>
          </w:p>
        </w:tc>
      </w:tr>
      <w:tr w:rsidR="00FF70EA" w:rsidRPr="00610088" w14:paraId="37E577CD" w14:textId="77777777" w:rsidTr="00FF70EA">
        <w:tc>
          <w:tcPr>
            <w:cnfStyle w:val="001000000000" w:firstRow="0" w:lastRow="0" w:firstColumn="1" w:lastColumn="0" w:oddVBand="0" w:evenVBand="0" w:oddHBand="0" w:evenHBand="0" w:firstRowFirstColumn="0" w:firstRowLastColumn="0" w:lastRowFirstColumn="0" w:lastRowLastColumn="0"/>
            <w:tcW w:w="9010" w:type="dxa"/>
            <w:gridSpan w:val="5"/>
          </w:tcPr>
          <w:p w14:paraId="544D9EB2" w14:textId="476EBBEC" w:rsidR="00FF70EA" w:rsidRPr="00610088" w:rsidRDefault="00FF70EA" w:rsidP="00FF70EA">
            <w:pPr>
              <w:rPr>
                <w:i/>
                <w:iCs/>
                <w:sz w:val="18"/>
                <w:szCs w:val="18"/>
                <w:lang w:val="en-GB"/>
              </w:rPr>
            </w:pPr>
            <w:r w:rsidRPr="00610088">
              <w:rPr>
                <w:b w:val="0"/>
                <w:bCs w:val="0"/>
                <w:i/>
                <w:iCs/>
                <w:sz w:val="18"/>
                <w:szCs w:val="18"/>
                <w:lang w:val="en-GB"/>
              </w:rPr>
              <w:t>*based on projected population for 2017 - using the medium variant option of 7,499,486</w:t>
            </w:r>
            <w:r w:rsidRPr="00610088">
              <w:rPr>
                <w:i/>
                <w:iCs/>
                <w:sz w:val="18"/>
                <w:szCs w:val="18"/>
                <w:vertAlign w:val="superscript"/>
                <w:lang w:val="en-GB"/>
              </w:rPr>
              <w:fldChar w:fldCharType="begin"/>
            </w:r>
            <w:r w:rsidRPr="00610088">
              <w:rPr>
                <w:b w:val="0"/>
                <w:bCs w:val="0"/>
                <w:i/>
                <w:iCs/>
                <w:sz w:val="18"/>
                <w:szCs w:val="18"/>
                <w:vertAlign w:val="superscript"/>
                <w:lang w:val="en-GB"/>
              </w:rPr>
              <w:instrText xml:space="preserve"> NOTEREF _Ref16772678 \h  \* MERGEFORMAT </w:instrText>
            </w:r>
            <w:r w:rsidRPr="00610088">
              <w:rPr>
                <w:i/>
                <w:iCs/>
                <w:sz w:val="18"/>
                <w:szCs w:val="18"/>
                <w:vertAlign w:val="superscript"/>
                <w:lang w:val="en-GB"/>
              </w:rPr>
            </w:r>
            <w:r w:rsidRPr="00610088">
              <w:rPr>
                <w:i/>
                <w:iCs/>
                <w:sz w:val="18"/>
                <w:szCs w:val="18"/>
                <w:vertAlign w:val="superscript"/>
                <w:lang w:val="en-GB"/>
              </w:rPr>
              <w:fldChar w:fldCharType="separate"/>
            </w:r>
            <w:r w:rsidR="00CB360C">
              <w:rPr>
                <w:b w:val="0"/>
                <w:bCs w:val="0"/>
                <w:i/>
                <w:iCs/>
                <w:sz w:val="18"/>
                <w:szCs w:val="18"/>
                <w:vertAlign w:val="superscript"/>
                <w:lang w:val="en-GB"/>
              </w:rPr>
              <w:t>1</w:t>
            </w:r>
            <w:r w:rsidRPr="00610088">
              <w:rPr>
                <w:i/>
                <w:iCs/>
                <w:sz w:val="18"/>
                <w:szCs w:val="18"/>
                <w:vertAlign w:val="superscript"/>
                <w:lang w:val="en-GB"/>
              </w:rPr>
              <w:fldChar w:fldCharType="end"/>
            </w:r>
            <w:r w:rsidRPr="00610088">
              <w:rPr>
                <w:b w:val="0"/>
                <w:bCs w:val="0"/>
                <w:i/>
                <w:iCs/>
                <w:sz w:val="18"/>
                <w:szCs w:val="18"/>
                <w:vertAlign w:val="superscript"/>
                <w:lang w:val="en-GB"/>
              </w:rPr>
              <w:t>,</w:t>
            </w:r>
            <w:r w:rsidRPr="00610088">
              <w:rPr>
                <w:i/>
                <w:iCs/>
                <w:sz w:val="18"/>
                <w:szCs w:val="18"/>
                <w:vertAlign w:val="superscript"/>
                <w:lang w:val="en-GB"/>
              </w:rPr>
              <w:fldChar w:fldCharType="begin"/>
            </w:r>
            <w:r w:rsidRPr="00610088">
              <w:rPr>
                <w:b w:val="0"/>
                <w:bCs w:val="0"/>
                <w:i/>
                <w:iCs/>
                <w:sz w:val="18"/>
                <w:szCs w:val="18"/>
                <w:vertAlign w:val="superscript"/>
                <w:lang w:val="en-GB"/>
              </w:rPr>
              <w:instrText xml:space="preserve"> NOTEREF _Ref16838134 \h </w:instrText>
            </w:r>
            <w:r w:rsidR="00241E47" w:rsidRPr="00610088">
              <w:rPr>
                <w:i/>
                <w:iCs/>
                <w:sz w:val="18"/>
                <w:szCs w:val="18"/>
                <w:vertAlign w:val="superscript"/>
                <w:lang w:val="en-GB"/>
              </w:rPr>
              <w:instrText xml:space="preserve"> \* MERGEFORMAT </w:instrText>
            </w:r>
            <w:r w:rsidRPr="00610088">
              <w:rPr>
                <w:i/>
                <w:iCs/>
                <w:sz w:val="18"/>
                <w:szCs w:val="18"/>
                <w:vertAlign w:val="superscript"/>
                <w:lang w:val="en-GB"/>
              </w:rPr>
            </w:r>
            <w:r w:rsidRPr="00610088">
              <w:rPr>
                <w:i/>
                <w:iCs/>
                <w:sz w:val="18"/>
                <w:szCs w:val="18"/>
                <w:vertAlign w:val="superscript"/>
                <w:lang w:val="en-GB"/>
              </w:rPr>
              <w:fldChar w:fldCharType="separate"/>
            </w:r>
            <w:r w:rsidR="00CB360C">
              <w:rPr>
                <w:b w:val="0"/>
                <w:bCs w:val="0"/>
                <w:i/>
                <w:iCs/>
                <w:sz w:val="18"/>
                <w:szCs w:val="18"/>
                <w:vertAlign w:val="superscript"/>
                <w:lang w:val="en-GB"/>
              </w:rPr>
              <w:t>154</w:t>
            </w:r>
            <w:r w:rsidRPr="00610088">
              <w:rPr>
                <w:i/>
                <w:iCs/>
                <w:sz w:val="18"/>
                <w:szCs w:val="18"/>
                <w:vertAlign w:val="superscript"/>
                <w:lang w:val="en-GB"/>
              </w:rPr>
              <w:fldChar w:fldCharType="end"/>
            </w:r>
          </w:p>
          <w:p w14:paraId="40CDF2B9" w14:textId="77777777" w:rsidR="00FF70EA" w:rsidRPr="00610088" w:rsidRDefault="00FF70EA" w:rsidP="00FF70EA">
            <w:pPr>
              <w:rPr>
                <w:b w:val="0"/>
                <w:bCs w:val="0"/>
                <w:i/>
                <w:iCs/>
                <w:sz w:val="18"/>
                <w:szCs w:val="18"/>
                <w:lang w:val="en-GB"/>
              </w:rPr>
            </w:pPr>
            <w:r w:rsidRPr="00610088">
              <w:rPr>
                <w:b w:val="0"/>
                <w:bCs w:val="0"/>
                <w:i/>
                <w:iCs/>
                <w:sz w:val="18"/>
                <w:szCs w:val="18"/>
                <w:lang w:val="en-GB"/>
              </w:rPr>
              <w:t>**percentages do not tally to 100% because people can have more than 1 NCD condition</w:t>
            </w:r>
          </w:p>
        </w:tc>
      </w:tr>
    </w:tbl>
    <w:p w14:paraId="7931D015" w14:textId="77777777" w:rsidR="00FF70EA" w:rsidRPr="00610088" w:rsidRDefault="00FF70EA" w:rsidP="00FF70EA">
      <w:pPr>
        <w:rPr>
          <w:sz w:val="18"/>
          <w:szCs w:val="18"/>
          <w:highlight w:val="yellow"/>
          <w:lang w:val="en-GB"/>
        </w:rPr>
      </w:pPr>
    </w:p>
    <w:p w14:paraId="0708A2F4" w14:textId="77777777" w:rsidR="00FF70EA" w:rsidRPr="00610088" w:rsidRDefault="00FF70EA" w:rsidP="00FF70EA">
      <w:pPr>
        <w:rPr>
          <w:sz w:val="18"/>
          <w:szCs w:val="18"/>
          <w:lang w:val="en-GB"/>
        </w:rPr>
      </w:pPr>
      <w:r w:rsidRPr="00610088">
        <w:rPr>
          <w:sz w:val="18"/>
          <w:szCs w:val="18"/>
          <w:lang w:val="en-GB"/>
        </w:rPr>
        <w:t xml:space="preserve">The NGO Sierra Leone Sickle Cell Society (SLSCS) </w:t>
      </w:r>
      <w:bookmarkStart w:id="171" w:name="_Ref17388151"/>
      <w:r w:rsidRPr="00610088">
        <w:rPr>
          <w:rStyle w:val="EndnoteReference"/>
          <w:sz w:val="18"/>
          <w:szCs w:val="18"/>
          <w:lang w:val="en-GB"/>
        </w:rPr>
        <w:endnoteReference w:id="163"/>
      </w:r>
      <w:bookmarkEnd w:id="171"/>
      <w:r w:rsidRPr="00610088">
        <w:rPr>
          <w:sz w:val="18"/>
          <w:szCs w:val="18"/>
          <w:lang w:val="en-GB"/>
        </w:rPr>
        <w:t xml:space="preserve"> estimates the frequency of the sickle gen in Sierra Leone at about 20-25%. It is estimated that approximately 1.5% of births have a clinically significant sickle cell disorder (Sickle cell types SS or </w:t>
      </w:r>
      <w:r w:rsidRPr="00610088">
        <w:rPr>
          <w:sz w:val="18"/>
          <w:szCs w:val="18"/>
          <w:lang w:val="en-GB"/>
        </w:rPr>
        <w:lastRenderedPageBreak/>
        <w:t xml:space="preserve">SC, or S-Beta thalassemia).  The SLSCS has over 2500 sickle cell disease patients on its register, with more than 4500 attendances to their services in 2018. </w:t>
      </w:r>
    </w:p>
    <w:p w14:paraId="2A352AC8" w14:textId="77777777" w:rsidR="00136C5E" w:rsidRPr="00610088" w:rsidRDefault="00136C5E" w:rsidP="00136C5E">
      <w:pPr>
        <w:rPr>
          <w:lang w:val="en-GB"/>
        </w:rPr>
      </w:pPr>
    </w:p>
    <w:p w14:paraId="29405B0F" w14:textId="77777777" w:rsidR="0003380A" w:rsidRPr="00610088" w:rsidRDefault="0003380A" w:rsidP="0003380A">
      <w:pPr>
        <w:pStyle w:val="Subtitle"/>
        <w:rPr>
          <w:b/>
          <w:bCs/>
          <w:sz w:val="18"/>
          <w:szCs w:val="18"/>
          <w:u w:val="single"/>
          <w:lang w:val="en-GB"/>
        </w:rPr>
      </w:pPr>
      <w:r w:rsidRPr="00610088">
        <w:rPr>
          <w:b/>
          <w:bCs/>
          <w:sz w:val="18"/>
          <w:szCs w:val="18"/>
          <w:u w:val="single"/>
          <w:lang w:val="en-GB"/>
        </w:rPr>
        <w:t>People living with Disabilities (PWD)</w:t>
      </w:r>
    </w:p>
    <w:p w14:paraId="24F204A0" w14:textId="35904CBC" w:rsidR="0003380A" w:rsidRPr="00610088" w:rsidRDefault="0003380A" w:rsidP="0003380A">
      <w:pPr>
        <w:rPr>
          <w:sz w:val="18"/>
          <w:szCs w:val="18"/>
          <w:highlight w:val="yellow"/>
          <w:lang w:val="en-GB"/>
        </w:rPr>
      </w:pPr>
      <w:r w:rsidRPr="00610088">
        <w:rPr>
          <w:sz w:val="18"/>
          <w:szCs w:val="18"/>
          <w:lang w:val="en-GB"/>
        </w:rPr>
        <w:t>Disability prevalence ranges from 1.3% (Census 2015</w:t>
      </w:r>
      <w:bookmarkStart w:id="172" w:name="_Ref32569205"/>
      <w:r w:rsidRPr="00610088">
        <w:rPr>
          <w:rStyle w:val="EndnoteReference"/>
          <w:sz w:val="18"/>
          <w:szCs w:val="18"/>
          <w:lang w:val="en-GB"/>
        </w:rPr>
        <w:endnoteReference w:id="164"/>
      </w:r>
      <w:bookmarkEnd w:id="172"/>
      <w:r w:rsidRPr="00610088">
        <w:rPr>
          <w:sz w:val="18"/>
          <w:szCs w:val="18"/>
          <w:lang w:val="en-GB"/>
        </w:rPr>
        <w:t>) and 2.4% (Census 2004</w:t>
      </w:r>
      <w:bookmarkStart w:id="173" w:name="_Ref32800838"/>
      <w:r w:rsidRPr="00610088">
        <w:rPr>
          <w:rStyle w:val="EndnoteReference"/>
          <w:sz w:val="18"/>
          <w:szCs w:val="18"/>
          <w:lang w:val="en-GB"/>
        </w:rPr>
        <w:endnoteReference w:id="165"/>
      </w:r>
      <w:bookmarkEnd w:id="173"/>
      <w:r w:rsidRPr="00610088">
        <w:rPr>
          <w:sz w:val="18"/>
          <w:szCs w:val="18"/>
          <w:lang w:val="en-GB"/>
        </w:rPr>
        <w:t>) to 9.2% (MICS 2017)</w:t>
      </w:r>
      <w:r w:rsidRPr="00610088">
        <w:rPr>
          <w:sz w:val="18"/>
          <w:szCs w:val="18"/>
          <w:vertAlign w:val="superscript"/>
          <w:lang w:val="en-GB"/>
        </w:rPr>
        <w:fldChar w:fldCharType="begin"/>
      </w:r>
      <w:r w:rsidRPr="00610088">
        <w:rPr>
          <w:sz w:val="18"/>
          <w:szCs w:val="18"/>
          <w:vertAlign w:val="superscript"/>
          <w:lang w:val="en-GB"/>
        </w:rPr>
        <w:instrText xml:space="preserve"> NOTEREF _Ref17613464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lang w:val="en-GB"/>
        </w:rPr>
        <w:t xml:space="preserve">, with differences possibly due to different measurement methods. Other estimates based on limited evidence suggest prevalence rates of 7-10% with some as high as 24% </w:t>
      </w:r>
      <w:bookmarkStart w:id="174" w:name="_Ref32800924"/>
      <w:r w:rsidRPr="00610088">
        <w:rPr>
          <w:rStyle w:val="EndnoteReference"/>
          <w:sz w:val="18"/>
          <w:szCs w:val="18"/>
          <w:lang w:val="en-GB"/>
        </w:rPr>
        <w:endnoteReference w:id="166"/>
      </w:r>
      <w:bookmarkEnd w:id="174"/>
      <w:r w:rsidRPr="00610088">
        <w:rPr>
          <w:sz w:val="18"/>
          <w:szCs w:val="18"/>
          <w:vertAlign w:val="superscript"/>
          <w:lang w:val="en-GB"/>
        </w:rPr>
        <w:t xml:space="preserve">, </w:t>
      </w:r>
      <w:bookmarkStart w:id="175" w:name="_Ref32800926"/>
      <w:r w:rsidRPr="00610088">
        <w:rPr>
          <w:rStyle w:val="EndnoteReference"/>
          <w:sz w:val="18"/>
          <w:szCs w:val="18"/>
          <w:lang w:val="en-GB"/>
        </w:rPr>
        <w:endnoteReference w:id="167"/>
      </w:r>
      <w:bookmarkEnd w:id="175"/>
      <w:r w:rsidRPr="00610088">
        <w:rPr>
          <w:sz w:val="18"/>
          <w:szCs w:val="18"/>
          <w:vertAlign w:val="superscript"/>
          <w:lang w:val="en-GB"/>
        </w:rPr>
        <w:t xml:space="preserve">, </w:t>
      </w:r>
      <w:bookmarkStart w:id="176" w:name="_Ref32800928"/>
      <w:r w:rsidRPr="00610088">
        <w:rPr>
          <w:rStyle w:val="EndnoteReference"/>
          <w:sz w:val="18"/>
          <w:szCs w:val="18"/>
          <w:lang w:val="en-GB"/>
        </w:rPr>
        <w:endnoteReference w:id="168"/>
      </w:r>
      <w:bookmarkEnd w:id="176"/>
      <w:r w:rsidRPr="00610088">
        <w:rPr>
          <w:sz w:val="18"/>
          <w:szCs w:val="18"/>
          <w:vertAlign w:val="superscript"/>
          <w:lang w:val="en-GB"/>
        </w:rPr>
        <w:t xml:space="preserve">, </w:t>
      </w:r>
      <w:bookmarkStart w:id="177" w:name="_Ref32800931"/>
      <w:r w:rsidRPr="00610088">
        <w:rPr>
          <w:rStyle w:val="EndnoteReference"/>
          <w:sz w:val="18"/>
          <w:szCs w:val="18"/>
          <w:lang w:val="en-GB"/>
        </w:rPr>
        <w:endnoteReference w:id="169"/>
      </w:r>
      <w:bookmarkEnd w:id="177"/>
      <w:r w:rsidRPr="00610088">
        <w:rPr>
          <w:sz w:val="18"/>
          <w:szCs w:val="18"/>
          <w:vertAlign w:val="superscript"/>
          <w:lang w:val="en-GB"/>
        </w:rPr>
        <w:t>.</w:t>
      </w:r>
      <w:r w:rsidRPr="00610088">
        <w:rPr>
          <w:sz w:val="18"/>
          <w:szCs w:val="18"/>
          <w:lang w:val="en-GB"/>
        </w:rPr>
        <w:t xml:space="preserve"> The Census 2015 found more disability in Northern and Eastern Regions. 67% of PWD live in rural area.</w:t>
      </w:r>
      <w:r w:rsidRPr="00610088">
        <w:rPr>
          <w:sz w:val="18"/>
          <w:szCs w:val="18"/>
          <w:vertAlign w:val="superscript"/>
          <w:lang w:val="en-GB"/>
        </w:rPr>
        <w:fldChar w:fldCharType="begin"/>
      </w:r>
      <w:r w:rsidRPr="00610088">
        <w:rPr>
          <w:sz w:val="18"/>
          <w:szCs w:val="18"/>
          <w:vertAlign w:val="superscript"/>
          <w:lang w:val="en-GB"/>
        </w:rPr>
        <w:instrText xml:space="preserve"> NOTEREF _Ref32569205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164</w:t>
      </w:r>
      <w:r w:rsidRPr="00610088">
        <w:rPr>
          <w:sz w:val="18"/>
          <w:szCs w:val="18"/>
          <w:vertAlign w:val="superscript"/>
          <w:lang w:val="en-GB"/>
        </w:rPr>
        <w:fldChar w:fldCharType="end"/>
      </w:r>
      <w:r w:rsidRPr="00610088">
        <w:rPr>
          <w:sz w:val="18"/>
          <w:szCs w:val="18"/>
          <w:lang w:val="en-GB"/>
        </w:rPr>
        <w:t xml:space="preserve">  The MICS 2017 found the highest disability proportions in young adolescents. 19% of children age 2-17 years had a functional difficulty in at least one domain.</w:t>
      </w:r>
      <w:r w:rsidRPr="00610088">
        <w:rPr>
          <w:sz w:val="18"/>
          <w:szCs w:val="18"/>
          <w:vertAlign w:val="superscript"/>
          <w:lang w:val="en-GB"/>
        </w:rPr>
        <w:fldChar w:fldCharType="begin"/>
      </w:r>
      <w:r w:rsidRPr="00610088">
        <w:rPr>
          <w:sz w:val="18"/>
          <w:szCs w:val="18"/>
          <w:vertAlign w:val="superscript"/>
          <w:lang w:val="en-GB"/>
        </w:rPr>
        <w:instrText xml:space="preserve"> NOTEREF _Ref17613464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lang w:val="en-GB"/>
        </w:rPr>
        <w:t xml:space="preserve">  The most common types of disability in 2015 were physical disability caused by polio (21.8%) and partial sightedness (15.2%).</w:t>
      </w:r>
      <w:r w:rsidRPr="00610088">
        <w:rPr>
          <w:sz w:val="18"/>
          <w:szCs w:val="18"/>
          <w:vertAlign w:val="superscript"/>
          <w:lang w:val="en-GB"/>
        </w:rPr>
        <w:fldChar w:fldCharType="begin"/>
      </w:r>
      <w:r w:rsidRPr="00610088">
        <w:rPr>
          <w:sz w:val="18"/>
          <w:szCs w:val="18"/>
          <w:vertAlign w:val="superscript"/>
          <w:lang w:val="en-GB"/>
        </w:rPr>
        <w:instrText xml:space="preserve"> NOTEREF _Ref32569205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164</w:t>
      </w:r>
      <w:r w:rsidRPr="00610088">
        <w:rPr>
          <w:sz w:val="18"/>
          <w:szCs w:val="18"/>
          <w:vertAlign w:val="superscript"/>
          <w:lang w:val="en-GB"/>
        </w:rPr>
        <w:fldChar w:fldCharType="end"/>
      </w:r>
      <w:r w:rsidRPr="00610088">
        <w:rPr>
          <w:sz w:val="18"/>
          <w:szCs w:val="18"/>
          <w:lang w:val="en-GB"/>
        </w:rPr>
        <w:t xml:space="preserve"> The most common causes of disability in the 2015 census were diseases or illnesses (40.5%) or congenital (16.2%).</w:t>
      </w:r>
      <w:r w:rsidRPr="00610088">
        <w:rPr>
          <w:sz w:val="18"/>
          <w:szCs w:val="18"/>
          <w:vertAlign w:val="superscript"/>
          <w:lang w:val="en-GB"/>
        </w:rPr>
        <w:fldChar w:fldCharType="begin"/>
      </w:r>
      <w:r w:rsidRPr="00610088">
        <w:rPr>
          <w:sz w:val="18"/>
          <w:szCs w:val="18"/>
          <w:vertAlign w:val="superscript"/>
          <w:lang w:val="en-GB"/>
        </w:rPr>
        <w:instrText xml:space="preserve"> NOTEREF _Ref32569205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164</w:t>
      </w:r>
      <w:r w:rsidRPr="00610088">
        <w:rPr>
          <w:sz w:val="18"/>
          <w:szCs w:val="18"/>
          <w:vertAlign w:val="superscript"/>
          <w:lang w:val="en-GB"/>
        </w:rPr>
        <w:fldChar w:fldCharType="end"/>
      </w:r>
    </w:p>
    <w:p w14:paraId="73A82E1C" w14:textId="77777777" w:rsidR="0003380A" w:rsidRPr="00610088" w:rsidRDefault="0003380A" w:rsidP="0003380A">
      <w:pPr>
        <w:rPr>
          <w:sz w:val="18"/>
          <w:szCs w:val="18"/>
          <w:highlight w:val="yellow"/>
          <w:lang w:val="en-GB"/>
        </w:rPr>
      </w:pPr>
    </w:p>
    <w:p w14:paraId="15FDED06" w14:textId="77777777" w:rsidR="0003380A" w:rsidRPr="00610088" w:rsidRDefault="0003380A" w:rsidP="0003380A">
      <w:pPr>
        <w:rPr>
          <w:sz w:val="18"/>
          <w:szCs w:val="18"/>
          <w:lang w:val="en-GB"/>
        </w:rPr>
      </w:pPr>
      <w:r w:rsidRPr="00610088">
        <w:rPr>
          <w:sz w:val="18"/>
          <w:szCs w:val="18"/>
          <w:lang w:val="en-GB"/>
        </w:rPr>
        <w:t>The estimated main causes of years lived with disability (YLD) in Sierra Leone for 2017 were dietary iron deficiency, headache disorders, low back pain, depressive disorders and onchocerciasis.</w:t>
      </w:r>
      <w:bookmarkStart w:id="178" w:name="_Ref32801038"/>
      <w:r w:rsidRPr="00610088">
        <w:rPr>
          <w:rStyle w:val="EndnoteReference"/>
          <w:sz w:val="18"/>
          <w:szCs w:val="18"/>
          <w:lang w:val="en-GB"/>
        </w:rPr>
        <w:endnoteReference w:id="170"/>
      </w:r>
      <w:bookmarkEnd w:id="178"/>
      <w:r w:rsidRPr="00610088">
        <w:rPr>
          <w:sz w:val="18"/>
          <w:szCs w:val="18"/>
          <w:lang w:val="en-GB"/>
        </w:rPr>
        <w:t xml:space="preserve"> 60% of disability-adjusted life years (DALYs) in Sierra Leone is a result of communicable disease.</w:t>
      </w:r>
      <w:r w:rsidRPr="00610088">
        <w:rPr>
          <w:rStyle w:val="EndnoteReference"/>
          <w:sz w:val="18"/>
          <w:szCs w:val="18"/>
          <w:lang w:val="en-GB"/>
        </w:rPr>
        <w:endnoteReference w:id="171"/>
      </w:r>
      <w:r w:rsidRPr="00610088">
        <w:rPr>
          <w:sz w:val="18"/>
          <w:szCs w:val="18"/>
          <w:vertAlign w:val="superscript"/>
          <w:lang w:val="en-GB"/>
        </w:rPr>
        <w:t xml:space="preserve">, </w:t>
      </w:r>
      <w:r w:rsidRPr="00610088">
        <w:rPr>
          <w:rStyle w:val="EndnoteReference"/>
          <w:sz w:val="18"/>
          <w:szCs w:val="18"/>
          <w:lang w:val="en-GB"/>
        </w:rPr>
        <w:endnoteReference w:id="172"/>
      </w:r>
      <w:r w:rsidRPr="00610088">
        <w:rPr>
          <w:sz w:val="18"/>
          <w:szCs w:val="18"/>
          <w:lang w:val="en-GB"/>
        </w:rPr>
        <w:t xml:space="preserve">  It has been estimated that 30% of disability in Sierra Leone is related to mental illness.</w:t>
      </w:r>
      <w:r w:rsidRPr="00610088">
        <w:rPr>
          <w:rStyle w:val="EndnoteReference"/>
          <w:sz w:val="18"/>
          <w:szCs w:val="18"/>
          <w:lang w:val="en-GB"/>
        </w:rPr>
        <w:endnoteReference w:id="173"/>
      </w:r>
    </w:p>
    <w:p w14:paraId="497AB49A" w14:textId="77777777" w:rsidR="0003380A" w:rsidRPr="00610088" w:rsidRDefault="0003380A" w:rsidP="0003380A">
      <w:pPr>
        <w:rPr>
          <w:sz w:val="18"/>
          <w:szCs w:val="18"/>
          <w:highlight w:val="yellow"/>
          <w:lang w:val="en-GB"/>
        </w:rPr>
      </w:pPr>
    </w:p>
    <w:p w14:paraId="036F6558" w14:textId="4A165F7A" w:rsidR="0003380A" w:rsidRPr="00610088" w:rsidRDefault="0003380A" w:rsidP="0003380A">
      <w:pPr>
        <w:rPr>
          <w:sz w:val="18"/>
          <w:szCs w:val="18"/>
          <w:lang w:val="en-GB"/>
        </w:rPr>
      </w:pPr>
      <w:r w:rsidRPr="00610088">
        <w:rPr>
          <w:sz w:val="18"/>
          <w:szCs w:val="18"/>
          <w:lang w:val="en-GB"/>
        </w:rPr>
        <w:t xml:space="preserve">Six NCD conditions are in the top 10 of disability causes, with several of them showing considerable estimated increases from 2007, see </w:t>
      </w:r>
      <w:r w:rsidRPr="00610088">
        <w:rPr>
          <w:sz w:val="18"/>
          <w:szCs w:val="18"/>
          <w:lang w:val="en-GB"/>
        </w:rPr>
        <w:fldChar w:fldCharType="begin"/>
      </w:r>
      <w:r w:rsidRPr="00610088">
        <w:rPr>
          <w:sz w:val="18"/>
          <w:szCs w:val="18"/>
          <w:lang w:val="en-GB"/>
        </w:rPr>
        <w:instrText xml:space="preserve"> REF _Ref16769312 \h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 xml:space="preserve">Table </w:t>
      </w:r>
      <w:r w:rsidR="00CB360C" w:rsidRPr="00CB360C">
        <w:rPr>
          <w:noProof/>
          <w:sz w:val="18"/>
          <w:szCs w:val="18"/>
          <w:lang w:val="en-GB"/>
        </w:rPr>
        <w:t>6</w:t>
      </w:r>
      <w:r w:rsidRPr="00610088">
        <w:rPr>
          <w:sz w:val="18"/>
          <w:szCs w:val="18"/>
          <w:lang w:val="en-GB"/>
        </w:rPr>
        <w:fldChar w:fldCharType="end"/>
      </w:r>
      <w:r w:rsidRPr="00610088">
        <w:rPr>
          <w:sz w:val="18"/>
          <w:szCs w:val="18"/>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_Ref16768610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129</w:t>
      </w:r>
      <w:r w:rsidRPr="00610088">
        <w:rPr>
          <w:sz w:val="18"/>
          <w:szCs w:val="18"/>
          <w:vertAlign w:val="superscript"/>
          <w:lang w:val="en-GB"/>
        </w:rPr>
        <w:fldChar w:fldCharType="end"/>
      </w:r>
    </w:p>
    <w:p w14:paraId="638F9BEF" w14:textId="77777777" w:rsidR="0003380A" w:rsidRPr="00610088" w:rsidRDefault="0003380A" w:rsidP="0003380A">
      <w:pPr>
        <w:rPr>
          <w:sz w:val="18"/>
          <w:szCs w:val="18"/>
          <w:lang w:val="en-GB"/>
        </w:rPr>
      </w:pPr>
    </w:p>
    <w:p w14:paraId="175E1E28" w14:textId="2527A74F" w:rsidR="0003380A" w:rsidRPr="00F0634E" w:rsidRDefault="0003380A" w:rsidP="0003380A">
      <w:pPr>
        <w:pStyle w:val="Caption"/>
        <w:keepNext/>
        <w:rPr>
          <w:i w:val="0"/>
          <w:iCs w:val="0"/>
          <w:color w:val="4472C4" w:themeColor="accent1"/>
          <w:lang w:val="en-GB"/>
        </w:rPr>
      </w:pPr>
      <w:bookmarkStart w:id="179" w:name="_Ref16769312"/>
      <w:bookmarkStart w:id="180" w:name="_Toc34804984"/>
      <w:r w:rsidRPr="00F0634E">
        <w:rPr>
          <w:i w:val="0"/>
          <w:iCs w:val="0"/>
          <w:color w:val="4472C4" w:themeColor="accent1"/>
          <w:lang w:val="en-GB"/>
        </w:rPr>
        <w:t xml:space="preserve">Table </w:t>
      </w:r>
      <w:r w:rsidRPr="00F0634E">
        <w:rPr>
          <w:i w:val="0"/>
          <w:iCs w:val="0"/>
          <w:color w:val="4472C4" w:themeColor="accent1"/>
          <w:lang w:val="en-GB"/>
        </w:rPr>
        <w:fldChar w:fldCharType="begin"/>
      </w:r>
      <w:r w:rsidRPr="00F0634E">
        <w:rPr>
          <w:i w:val="0"/>
          <w:iCs w:val="0"/>
          <w:color w:val="4472C4" w:themeColor="accent1"/>
          <w:lang w:val="en-GB"/>
        </w:rPr>
        <w:instrText xml:space="preserve"> SEQ Table \* ARABIC </w:instrText>
      </w:r>
      <w:r w:rsidRPr="00F0634E">
        <w:rPr>
          <w:i w:val="0"/>
          <w:iCs w:val="0"/>
          <w:color w:val="4472C4" w:themeColor="accent1"/>
          <w:lang w:val="en-GB"/>
        </w:rPr>
        <w:fldChar w:fldCharType="separate"/>
      </w:r>
      <w:r w:rsidR="00CB360C">
        <w:rPr>
          <w:i w:val="0"/>
          <w:iCs w:val="0"/>
          <w:noProof/>
          <w:color w:val="4472C4" w:themeColor="accent1"/>
          <w:lang w:val="en-GB"/>
        </w:rPr>
        <w:t>6</w:t>
      </w:r>
      <w:r w:rsidRPr="00F0634E">
        <w:rPr>
          <w:i w:val="0"/>
          <w:iCs w:val="0"/>
          <w:color w:val="4472C4" w:themeColor="accent1"/>
          <w:lang w:val="en-GB"/>
        </w:rPr>
        <w:fldChar w:fldCharType="end"/>
      </w:r>
      <w:bookmarkEnd w:id="179"/>
      <w:r w:rsidRPr="00F0634E">
        <w:rPr>
          <w:i w:val="0"/>
          <w:iCs w:val="0"/>
          <w:color w:val="4472C4" w:themeColor="accent1"/>
          <w:lang w:val="en-GB"/>
        </w:rPr>
        <w:t xml:space="preserve">: Health problems that cause the most disability, Sierra Leone 2017 (adapted from IHME </w:t>
      </w:r>
      <w:r w:rsidRPr="00F0634E">
        <w:rPr>
          <w:i w:val="0"/>
          <w:iCs w:val="0"/>
          <w:color w:val="4472C4" w:themeColor="accent1"/>
          <w:vertAlign w:val="superscript"/>
          <w:lang w:val="en-GB"/>
        </w:rPr>
        <w:fldChar w:fldCharType="begin"/>
      </w:r>
      <w:r w:rsidRPr="00F0634E">
        <w:rPr>
          <w:i w:val="0"/>
          <w:iCs w:val="0"/>
          <w:color w:val="4472C4" w:themeColor="accent1"/>
          <w:vertAlign w:val="superscript"/>
          <w:lang w:val="en-GB"/>
        </w:rPr>
        <w:instrText xml:space="preserve"> NOTEREF _Ref16768610 \h  \* MERGEFORMAT </w:instrText>
      </w:r>
      <w:r w:rsidRPr="00F0634E">
        <w:rPr>
          <w:i w:val="0"/>
          <w:iCs w:val="0"/>
          <w:color w:val="4472C4" w:themeColor="accent1"/>
          <w:vertAlign w:val="superscript"/>
          <w:lang w:val="en-GB"/>
        </w:rPr>
      </w:r>
      <w:r w:rsidRPr="00F0634E">
        <w:rPr>
          <w:i w:val="0"/>
          <w:iCs w:val="0"/>
          <w:color w:val="4472C4" w:themeColor="accent1"/>
          <w:vertAlign w:val="superscript"/>
          <w:lang w:val="en-GB"/>
        </w:rPr>
        <w:fldChar w:fldCharType="separate"/>
      </w:r>
      <w:r w:rsidR="00CB360C">
        <w:rPr>
          <w:i w:val="0"/>
          <w:iCs w:val="0"/>
          <w:color w:val="4472C4" w:themeColor="accent1"/>
          <w:vertAlign w:val="superscript"/>
          <w:lang w:val="en-GB"/>
        </w:rPr>
        <w:t>129</w:t>
      </w:r>
      <w:r w:rsidRPr="00F0634E">
        <w:rPr>
          <w:i w:val="0"/>
          <w:iCs w:val="0"/>
          <w:color w:val="4472C4" w:themeColor="accent1"/>
          <w:vertAlign w:val="superscript"/>
          <w:lang w:val="en-GB"/>
        </w:rPr>
        <w:fldChar w:fldCharType="end"/>
      </w:r>
      <w:r w:rsidRPr="00F0634E">
        <w:rPr>
          <w:i w:val="0"/>
          <w:iCs w:val="0"/>
          <w:color w:val="4472C4" w:themeColor="accent1"/>
          <w:lang w:val="en-GB"/>
        </w:rPr>
        <w:t>)</w:t>
      </w:r>
      <w:bookmarkEnd w:id="180"/>
    </w:p>
    <w:tbl>
      <w:tblPr>
        <w:tblStyle w:val="GridTable4-Accent1"/>
        <w:tblW w:w="0" w:type="auto"/>
        <w:tblLook w:val="04A0" w:firstRow="1" w:lastRow="0" w:firstColumn="1" w:lastColumn="0" w:noHBand="0" w:noVBand="1"/>
      </w:tblPr>
      <w:tblGrid>
        <w:gridCol w:w="4106"/>
        <w:gridCol w:w="3119"/>
      </w:tblGrid>
      <w:tr w:rsidR="0003380A" w:rsidRPr="00610088" w14:paraId="3B5A7EAB" w14:textId="77777777" w:rsidTr="007F5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0B7A173" w14:textId="77777777" w:rsidR="0003380A" w:rsidRPr="00610088" w:rsidRDefault="0003380A" w:rsidP="007F58EA">
            <w:pPr>
              <w:jc w:val="center"/>
              <w:rPr>
                <w:sz w:val="18"/>
                <w:szCs w:val="18"/>
                <w:lang w:val="en-GB"/>
              </w:rPr>
            </w:pPr>
            <w:r w:rsidRPr="00610088">
              <w:rPr>
                <w:sz w:val="18"/>
                <w:szCs w:val="18"/>
                <w:lang w:val="en-GB"/>
              </w:rPr>
              <w:t>2017 ranking</w:t>
            </w:r>
          </w:p>
        </w:tc>
        <w:tc>
          <w:tcPr>
            <w:tcW w:w="3119" w:type="dxa"/>
          </w:tcPr>
          <w:p w14:paraId="6FB9861A" w14:textId="77777777" w:rsidR="0003380A" w:rsidRPr="00610088" w:rsidRDefault="0003380A" w:rsidP="007F58EA">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change 2007 – 2017</w:t>
            </w:r>
          </w:p>
        </w:tc>
      </w:tr>
      <w:tr w:rsidR="0003380A" w:rsidRPr="00610088" w14:paraId="0EEC7EF6" w14:textId="77777777" w:rsidTr="007F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9BA3D44" w14:textId="77777777" w:rsidR="0003380A" w:rsidRPr="00610088" w:rsidRDefault="0003380A" w:rsidP="007F58EA">
            <w:pPr>
              <w:pStyle w:val="ListParagraph"/>
              <w:numPr>
                <w:ilvl w:val="0"/>
                <w:numId w:val="21"/>
              </w:numPr>
              <w:jc w:val="both"/>
              <w:rPr>
                <w:b w:val="0"/>
                <w:bCs w:val="0"/>
                <w:sz w:val="18"/>
                <w:szCs w:val="18"/>
                <w:lang w:val="en-GB"/>
              </w:rPr>
            </w:pPr>
            <w:r w:rsidRPr="00610088">
              <w:rPr>
                <w:b w:val="0"/>
                <w:bCs w:val="0"/>
                <w:sz w:val="18"/>
                <w:szCs w:val="18"/>
                <w:lang w:val="en-GB"/>
              </w:rPr>
              <w:t>Dietary iron deficiency</w:t>
            </w:r>
          </w:p>
        </w:tc>
        <w:tc>
          <w:tcPr>
            <w:tcW w:w="3119" w:type="dxa"/>
          </w:tcPr>
          <w:p w14:paraId="18CD16B3" w14:textId="77777777" w:rsidR="0003380A" w:rsidRPr="00610088" w:rsidRDefault="0003380A" w:rsidP="007F58EA">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45.2%</w:t>
            </w:r>
          </w:p>
        </w:tc>
      </w:tr>
      <w:tr w:rsidR="0003380A" w:rsidRPr="00610088" w14:paraId="36946B1E" w14:textId="77777777" w:rsidTr="007F58EA">
        <w:tc>
          <w:tcPr>
            <w:cnfStyle w:val="001000000000" w:firstRow="0" w:lastRow="0" w:firstColumn="1" w:lastColumn="0" w:oddVBand="0" w:evenVBand="0" w:oddHBand="0" w:evenHBand="0" w:firstRowFirstColumn="0" w:firstRowLastColumn="0" w:lastRowFirstColumn="0" w:lastRowLastColumn="0"/>
            <w:tcW w:w="4106" w:type="dxa"/>
          </w:tcPr>
          <w:p w14:paraId="21CF641B"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Headache disorders</w:t>
            </w:r>
          </w:p>
        </w:tc>
        <w:tc>
          <w:tcPr>
            <w:tcW w:w="3119" w:type="dxa"/>
          </w:tcPr>
          <w:p w14:paraId="2C403740" w14:textId="77777777" w:rsidR="0003380A" w:rsidRPr="00610088" w:rsidRDefault="0003380A" w:rsidP="007F58EA">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42.3%</w:t>
            </w:r>
          </w:p>
        </w:tc>
      </w:tr>
      <w:tr w:rsidR="0003380A" w:rsidRPr="00610088" w14:paraId="5B9A3D69" w14:textId="77777777" w:rsidTr="007F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6DE21B5"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Low back pain</w:t>
            </w:r>
          </w:p>
        </w:tc>
        <w:tc>
          <w:tcPr>
            <w:tcW w:w="3119" w:type="dxa"/>
          </w:tcPr>
          <w:p w14:paraId="42C0055B" w14:textId="77777777" w:rsidR="0003380A" w:rsidRPr="00610088" w:rsidRDefault="0003380A" w:rsidP="007F58EA">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42.6%</w:t>
            </w:r>
          </w:p>
        </w:tc>
      </w:tr>
      <w:tr w:rsidR="0003380A" w:rsidRPr="00610088" w14:paraId="5409847C" w14:textId="77777777" w:rsidTr="007F58EA">
        <w:tc>
          <w:tcPr>
            <w:cnfStyle w:val="001000000000" w:firstRow="0" w:lastRow="0" w:firstColumn="1" w:lastColumn="0" w:oddVBand="0" w:evenVBand="0" w:oddHBand="0" w:evenHBand="0" w:firstRowFirstColumn="0" w:firstRowLastColumn="0" w:lastRowFirstColumn="0" w:lastRowLastColumn="0"/>
            <w:tcW w:w="4106" w:type="dxa"/>
          </w:tcPr>
          <w:p w14:paraId="4732DEAE"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Depressive disorders</w:t>
            </w:r>
          </w:p>
        </w:tc>
        <w:tc>
          <w:tcPr>
            <w:tcW w:w="3119" w:type="dxa"/>
          </w:tcPr>
          <w:p w14:paraId="05958485" w14:textId="77777777" w:rsidR="0003380A" w:rsidRPr="00610088" w:rsidRDefault="0003380A" w:rsidP="007F58EA">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41.0%</w:t>
            </w:r>
          </w:p>
        </w:tc>
      </w:tr>
      <w:tr w:rsidR="0003380A" w:rsidRPr="00610088" w14:paraId="77D861B9" w14:textId="77777777" w:rsidTr="007F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C2C5C4C" w14:textId="77777777" w:rsidR="0003380A" w:rsidRPr="00610088" w:rsidRDefault="0003380A" w:rsidP="007F58EA">
            <w:pPr>
              <w:pStyle w:val="ListParagraph"/>
              <w:numPr>
                <w:ilvl w:val="0"/>
                <w:numId w:val="21"/>
              </w:numPr>
              <w:jc w:val="both"/>
              <w:rPr>
                <w:b w:val="0"/>
                <w:bCs w:val="0"/>
                <w:sz w:val="18"/>
                <w:szCs w:val="18"/>
                <w:lang w:val="en-GB"/>
              </w:rPr>
            </w:pPr>
            <w:r w:rsidRPr="00610088">
              <w:rPr>
                <w:b w:val="0"/>
                <w:bCs w:val="0"/>
                <w:sz w:val="18"/>
                <w:szCs w:val="18"/>
                <w:lang w:val="en-GB"/>
              </w:rPr>
              <w:t>Onchocerciasis</w:t>
            </w:r>
          </w:p>
        </w:tc>
        <w:tc>
          <w:tcPr>
            <w:tcW w:w="3119" w:type="dxa"/>
          </w:tcPr>
          <w:p w14:paraId="1CDD7B85" w14:textId="77777777" w:rsidR="0003380A" w:rsidRPr="00610088" w:rsidRDefault="0003380A" w:rsidP="007F58EA">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19.3%</w:t>
            </w:r>
          </w:p>
        </w:tc>
      </w:tr>
      <w:tr w:rsidR="0003380A" w:rsidRPr="00610088" w14:paraId="31353564" w14:textId="77777777" w:rsidTr="007F58EA">
        <w:tc>
          <w:tcPr>
            <w:cnfStyle w:val="001000000000" w:firstRow="0" w:lastRow="0" w:firstColumn="1" w:lastColumn="0" w:oddVBand="0" w:evenVBand="0" w:oddHBand="0" w:evenHBand="0" w:firstRowFirstColumn="0" w:firstRowLastColumn="0" w:lastRowFirstColumn="0" w:lastRowLastColumn="0"/>
            <w:tcW w:w="4106" w:type="dxa"/>
          </w:tcPr>
          <w:p w14:paraId="4329F031" w14:textId="77777777" w:rsidR="0003380A" w:rsidRPr="00610088" w:rsidRDefault="0003380A" w:rsidP="007F58EA">
            <w:pPr>
              <w:pStyle w:val="ListParagraph"/>
              <w:numPr>
                <w:ilvl w:val="0"/>
                <w:numId w:val="21"/>
              </w:numPr>
              <w:jc w:val="both"/>
              <w:rPr>
                <w:b w:val="0"/>
                <w:bCs w:val="0"/>
                <w:sz w:val="18"/>
                <w:szCs w:val="18"/>
                <w:lang w:val="en-GB"/>
              </w:rPr>
            </w:pPr>
            <w:r w:rsidRPr="00610088">
              <w:rPr>
                <w:b w:val="0"/>
                <w:bCs w:val="0"/>
                <w:sz w:val="18"/>
                <w:szCs w:val="18"/>
                <w:lang w:val="en-GB"/>
              </w:rPr>
              <w:t>Vitamin A deficiency</w:t>
            </w:r>
          </w:p>
        </w:tc>
        <w:tc>
          <w:tcPr>
            <w:tcW w:w="3119" w:type="dxa"/>
          </w:tcPr>
          <w:p w14:paraId="3AF0568D" w14:textId="77777777" w:rsidR="0003380A" w:rsidRPr="00610088" w:rsidRDefault="0003380A" w:rsidP="007F58EA">
            <w:pPr>
              <w:jc w:val="center"/>
              <w:cnfStyle w:val="000000000000" w:firstRow="0" w:lastRow="0" w:firstColumn="0" w:lastColumn="0" w:oddVBand="0" w:evenVBand="0" w:oddHBand="0" w:evenHBand="0" w:firstRowFirstColumn="0" w:firstRowLastColumn="0" w:lastRowFirstColumn="0" w:lastRowLastColumn="0"/>
              <w:rPr>
                <w:i/>
                <w:iCs/>
                <w:sz w:val="18"/>
                <w:szCs w:val="18"/>
                <w:lang w:val="en-GB"/>
              </w:rPr>
            </w:pPr>
            <w:r w:rsidRPr="00610088">
              <w:rPr>
                <w:i/>
                <w:iCs/>
                <w:sz w:val="18"/>
                <w:szCs w:val="18"/>
                <w:lang w:val="en-GB"/>
              </w:rPr>
              <w:t>-7.5%</w:t>
            </w:r>
          </w:p>
        </w:tc>
      </w:tr>
      <w:tr w:rsidR="0003380A" w:rsidRPr="00610088" w14:paraId="07607EFB" w14:textId="77777777" w:rsidTr="007F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14E12D2"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Diabetes</w:t>
            </w:r>
          </w:p>
        </w:tc>
        <w:tc>
          <w:tcPr>
            <w:tcW w:w="3119" w:type="dxa"/>
          </w:tcPr>
          <w:p w14:paraId="0B34E5CC" w14:textId="77777777" w:rsidR="0003380A" w:rsidRPr="00610088" w:rsidRDefault="0003380A" w:rsidP="007F58EA">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46.8%</w:t>
            </w:r>
          </w:p>
        </w:tc>
      </w:tr>
      <w:tr w:rsidR="0003380A" w:rsidRPr="00610088" w14:paraId="0EB9D33E" w14:textId="77777777" w:rsidTr="007F58EA">
        <w:tc>
          <w:tcPr>
            <w:cnfStyle w:val="001000000000" w:firstRow="0" w:lastRow="0" w:firstColumn="1" w:lastColumn="0" w:oddVBand="0" w:evenVBand="0" w:oddHBand="0" w:evenHBand="0" w:firstRowFirstColumn="0" w:firstRowLastColumn="0" w:lastRowFirstColumn="0" w:lastRowLastColumn="0"/>
            <w:tcW w:w="4106" w:type="dxa"/>
          </w:tcPr>
          <w:p w14:paraId="1BF41BAF" w14:textId="77777777" w:rsidR="0003380A" w:rsidRPr="00610088" w:rsidRDefault="0003380A" w:rsidP="007F58EA">
            <w:pPr>
              <w:pStyle w:val="ListParagraph"/>
              <w:numPr>
                <w:ilvl w:val="0"/>
                <w:numId w:val="21"/>
              </w:numPr>
              <w:jc w:val="both"/>
              <w:rPr>
                <w:b w:val="0"/>
                <w:bCs w:val="0"/>
                <w:sz w:val="18"/>
                <w:szCs w:val="18"/>
                <w:lang w:val="en-GB"/>
              </w:rPr>
            </w:pPr>
            <w:r w:rsidRPr="00610088">
              <w:rPr>
                <w:b w:val="0"/>
                <w:bCs w:val="0"/>
                <w:sz w:val="18"/>
                <w:szCs w:val="18"/>
                <w:lang w:val="en-GB"/>
              </w:rPr>
              <w:t>Malaria</w:t>
            </w:r>
          </w:p>
        </w:tc>
        <w:tc>
          <w:tcPr>
            <w:tcW w:w="3119" w:type="dxa"/>
          </w:tcPr>
          <w:p w14:paraId="7ED6BA66" w14:textId="77777777" w:rsidR="0003380A" w:rsidRPr="00610088" w:rsidRDefault="0003380A" w:rsidP="007F58EA">
            <w:pPr>
              <w:jc w:val="center"/>
              <w:cnfStyle w:val="000000000000" w:firstRow="0" w:lastRow="0" w:firstColumn="0" w:lastColumn="0" w:oddVBand="0" w:evenVBand="0" w:oddHBand="0" w:evenHBand="0" w:firstRowFirstColumn="0" w:firstRowLastColumn="0" w:lastRowFirstColumn="0" w:lastRowLastColumn="0"/>
              <w:rPr>
                <w:i/>
                <w:iCs/>
                <w:sz w:val="18"/>
                <w:szCs w:val="18"/>
                <w:lang w:val="en-GB"/>
              </w:rPr>
            </w:pPr>
            <w:r w:rsidRPr="00610088">
              <w:rPr>
                <w:i/>
                <w:iCs/>
                <w:sz w:val="18"/>
                <w:szCs w:val="18"/>
                <w:lang w:val="en-GB"/>
              </w:rPr>
              <w:t>-8.2%</w:t>
            </w:r>
          </w:p>
        </w:tc>
      </w:tr>
      <w:tr w:rsidR="0003380A" w:rsidRPr="00610088" w14:paraId="419A8E32" w14:textId="77777777" w:rsidTr="007F58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9E9B27D"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Blindness and vision impairment</w:t>
            </w:r>
          </w:p>
        </w:tc>
        <w:tc>
          <w:tcPr>
            <w:tcW w:w="3119" w:type="dxa"/>
          </w:tcPr>
          <w:p w14:paraId="65712B64" w14:textId="77777777" w:rsidR="0003380A" w:rsidRPr="00610088" w:rsidRDefault="0003380A" w:rsidP="007F58EA">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27.2%</w:t>
            </w:r>
          </w:p>
        </w:tc>
      </w:tr>
      <w:tr w:rsidR="0003380A" w:rsidRPr="00610088" w14:paraId="2DBCC12A" w14:textId="77777777" w:rsidTr="007F58EA">
        <w:tc>
          <w:tcPr>
            <w:cnfStyle w:val="001000000000" w:firstRow="0" w:lastRow="0" w:firstColumn="1" w:lastColumn="0" w:oddVBand="0" w:evenVBand="0" w:oddHBand="0" w:evenHBand="0" w:firstRowFirstColumn="0" w:firstRowLastColumn="0" w:lastRowFirstColumn="0" w:lastRowLastColumn="0"/>
            <w:tcW w:w="4106" w:type="dxa"/>
          </w:tcPr>
          <w:p w14:paraId="614DD919" w14:textId="77777777" w:rsidR="0003380A" w:rsidRPr="00610088" w:rsidRDefault="0003380A" w:rsidP="007F58EA">
            <w:pPr>
              <w:pStyle w:val="ListParagraph"/>
              <w:numPr>
                <w:ilvl w:val="0"/>
                <w:numId w:val="21"/>
              </w:numPr>
              <w:jc w:val="both"/>
              <w:rPr>
                <w:sz w:val="18"/>
                <w:szCs w:val="18"/>
                <w:lang w:val="en-GB"/>
              </w:rPr>
            </w:pPr>
            <w:r w:rsidRPr="00610088">
              <w:rPr>
                <w:sz w:val="18"/>
                <w:szCs w:val="18"/>
                <w:lang w:val="en-GB"/>
              </w:rPr>
              <w:t>Age-related hearing loss</w:t>
            </w:r>
          </w:p>
        </w:tc>
        <w:tc>
          <w:tcPr>
            <w:tcW w:w="3119" w:type="dxa"/>
          </w:tcPr>
          <w:p w14:paraId="028E721F" w14:textId="77777777" w:rsidR="0003380A" w:rsidRPr="00610088" w:rsidRDefault="0003380A" w:rsidP="007F58EA">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37.9%</w:t>
            </w:r>
          </w:p>
        </w:tc>
      </w:tr>
    </w:tbl>
    <w:p w14:paraId="3D4B410D" w14:textId="77777777" w:rsidR="0003380A" w:rsidRPr="00610088" w:rsidRDefault="0003380A" w:rsidP="0003380A">
      <w:pPr>
        <w:rPr>
          <w:sz w:val="18"/>
          <w:szCs w:val="18"/>
          <w:lang w:val="en-GB"/>
        </w:rPr>
      </w:pPr>
    </w:p>
    <w:p w14:paraId="0B0B6392" w14:textId="4C543D84" w:rsidR="0003380A" w:rsidRPr="00610088" w:rsidRDefault="0003380A" w:rsidP="0003380A">
      <w:pPr>
        <w:rPr>
          <w:sz w:val="18"/>
          <w:szCs w:val="18"/>
          <w:lang w:val="en-GB"/>
        </w:rPr>
      </w:pPr>
      <w:r w:rsidRPr="00610088">
        <w:rPr>
          <w:sz w:val="18"/>
          <w:szCs w:val="18"/>
          <w:lang w:val="en-GB"/>
        </w:rPr>
        <w:t>The main impairments according to their estimated population prevalence based on the 2017 GBD study are anaemia (53%), vision loss (14%) and hearing loss (12%). Some less frequent impairments are infertility (2.2%), developmental intellectual disability (2.1%) and epilepsy (0.9%).</w:t>
      </w:r>
      <w:r w:rsidRPr="00610088">
        <w:rPr>
          <w:sz w:val="18"/>
          <w:szCs w:val="18"/>
          <w:vertAlign w:val="superscript"/>
          <w:lang w:val="en-GB"/>
        </w:rPr>
        <w:fldChar w:fldCharType="begin"/>
      </w:r>
      <w:r w:rsidRPr="00610088">
        <w:rPr>
          <w:sz w:val="18"/>
          <w:szCs w:val="18"/>
          <w:vertAlign w:val="superscript"/>
          <w:lang w:val="en-GB"/>
        </w:rPr>
        <w:instrText xml:space="preserve"> NOTEREF _Ref16711794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151</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_Ref16838134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154</w:t>
      </w:r>
      <w:r w:rsidRPr="00610088">
        <w:rPr>
          <w:sz w:val="18"/>
          <w:szCs w:val="18"/>
          <w:vertAlign w:val="superscript"/>
          <w:lang w:val="en-GB"/>
        </w:rPr>
        <w:fldChar w:fldCharType="end"/>
      </w:r>
    </w:p>
    <w:p w14:paraId="505B3C97" w14:textId="77777777" w:rsidR="00FF70EA" w:rsidRPr="00610088" w:rsidRDefault="00FF70EA">
      <w:pPr>
        <w:rPr>
          <w:lang w:val="en-GB"/>
        </w:rPr>
      </w:pPr>
      <w:r w:rsidRPr="00610088">
        <w:rPr>
          <w:lang w:val="en-GB"/>
        </w:rPr>
        <w:br w:type="page"/>
      </w:r>
    </w:p>
    <w:p w14:paraId="538450B3" w14:textId="348C020E" w:rsidR="00FF70EA" w:rsidRPr="00610088" w:rsidRDefault="00FF70EA" w:rsidP="006048F4">
      <w:pPr>
        <w:pStyle w:val="Heading1"/>
        <w:numPr>
          <w:ilvl w:val="0"/>
          <w:numId w:val="0"/>
        </w:numPr>
        <w:ind w:left="432" w:hanging="432"/>
        <w:rPr>
          <w:lang w:val="en-GB"/>
        </w:rPr>
      </w:pPr>
      <w:bookmarkStart w:id="181" w:name="_Toc41370575"/>
      <w:r w:rsidRPr="00610088">
        <w:rPr>
          <w:lang w:val="en-GB"/>
        </w:rPr>
        <w:lastRenderedPageBreak/>
        <w:t>Annex</w:t>
      </w:r>
      <w:r w:rsidR="007A5E46" w:rsidRPr="00610088">
        <w:rPr>
          <w:lang w:val="en-GB"/>
        </w:rPr>
        <w:t xml:space="preserve"> 3</w:t>
      </w:r>
      <w:r w:rsidRPr="00610088">
        <w:rPr>
          <w:lang w:val="en-GB"/>
        </w:rPr>
        <w:t>:  NCD Risk Factors in Sierra Leone</w:t>
      </w:r>
      <w:bookmarkEnd w:id="181"/>
    </w:p>
    <w:p w14:paraId="2F226E60" w14:textId="77777777" w:rsidR="007A5E46" w:rsidRPr="00610088" w:rsidRDefault="007A5E46" w:rsidP="007A5E46">
      <w:pPr>
        <w:rPr>
          <w:lang w:val="en-GB"/>
        </w:rPr>
      </w:pPr>
    </w:p>
    <w:p w14:paraId="56F11A70" w14:textId="7460797D" w:rsidR="007A5E46" w:rsidRPr="00610088" w:rsidRDefault="007A5E46" w:rsidP="007A5E46">
      <w:pPr>
        <w:rPr>
          <w:color w:val="000000" w:themeColor="text1"/>
          <w:sz w:val="18"/>
          <w:szCs w:val="18"/>
          <w:vertAlign w:val="superscript"/>
          <w:lang w:val="en-GB"/>
        </w:rPr>
      </w:pPr>
      <w:r w:rsidRPr="00610088">
        <w:rPr>
          <w:color w:val="000000" w:themeColor="text1"/>
          <w:sz w:val="18"/>
          <w:szCs w:val="18"/>
          <w:lang w:val="en-GB"/>
        </w:rPr>
        <w:t xml:space="preserve">There are 7 NCD risk factors out of the top-10 of risk factors for death and disability (Disability Adjusted Life Years = DALYs) combined in Sierra Leone, see </w:t>
      </w:r>
      <w:r w:rsidRPr="00610088">
        <w:rPr>
          <w:color w:val="000000" w:themeColor="text1"/>
          <w:sz w:val="18"/>
          <w:szCs w:val="18"/>
          <w:lang w:val="en-GB"/>
        </w:rPr>
        <w:fldChar w:fldCharType="begin"/>
      </w:r>
      <w:r w:rsidRPr="00610088">
        <w:rPr>
          <w:color w:val="000000" w:themeColor="text1"/>
          <w:sz w:val="18"/>
          <w:szCs w:val="18"/>
          <w:lang w:val="en-GB"/>
        </w:rPr>
        <w:instrText xml:space="preserve"> REF _Ref16771507 \h  \* MERGEFORMAT </w:instrText>
      </w:r>
      <w:r w:rsidRPr="00610088">
        <w:rPr>
          <w:color w:val="000000" w:themeColor="text1"/>
          <w:sz w:val="18"/>
          <w:szCs w:val="18"/>
          <w:lang w:val="en-GB"/>
        </w:rPr>
      </w:r>
      <w:r w:rsidRPr="00610088">
        <w:rPr>
          <w:color w:val="000000" w:themeColor="text1"/>
          <w:sz w:val="18"/>
          <w:szCs w:val="18"/>
          <w:lang w:val="en-GB"/>
        </w:rPr>
        <w:fldChar w:fldCharType="separate"/>
      </w:r>
      <w:r w:rsidR="00CB360C" w:rsidRPr="00CB360C">
        <w:rPr>
          <w:sz w:val="18"/>
          <w:szCs w:val="18"/>
          <w:lang w:val="en-GB"/>
        </w:rPr>
        <w:t xml:space="preserve">Table </w:t>
      </w:r>
      <w:r w:rsidR="00CB360C" w:rsidRPr="00CB360C">
        <w:rPr>
          <w:noProof/>
          <w:sz w:val="18"/>
          <w:szCs w:val="18"/>
          <w:lang w:val="en-GB"/>
        </w:rPr>
        <w:t>7</w:t>
      </w:r>
      <w:r w:rsidRPr="00610088">
        <w:rPr>
          <w:color w:val="000000" w:themeColor="text1"/>
          <w:sz w:val="18"/>
          <w:szCs w:val="18"/>
          <w:lang w:val="en-GB"/>
        </w:rPr>
        <w:fldChar w:fldCharType="end"/>
      </w:r>
      <w:r w:rsidRPr="00610088">
        <w:rPr>
          <w:color w:val="000000" w:themeColor="text1"/>
          <w:sz w:val="18"/>
          <w:szCs w:val="18"/>
          <w:lang w:val="en-GB"/>
        </w:rPr>
        <w:t>. This also shows the % increases (or decrease) from 2007. Several NCD risk factors increased since 2007, especially high blood pressure, high fasting plasma glucose and high body mass index.</w:t>
      </w:r>
      <w:r w:rsidRPr="00610088">
        <w:rPr>
          <w:color w:val="000000" w:themeColor="text1"/>
          <w:sz w:val="18"/>
          <w:szCs w:val="18"/>
          <w:vertAlign w:val="superscript"/>
          <w:lang w:val="en-GB"/>
        </w:rPr>
        <w:fldChar w:fldCharType="begin"/>
      </w:r>
      <w:r w:rsidRPr="00610088">
        <w:rPr>
          <w:color w:val="000000" w:themeColor="text1"/>
          <w:sz w:val="18"/>
          <w:szCs w:val="18"/>
          <w:vertAlign w:val="superscript"/>
          <w:lang w:val="en-GB"/>
        </w:rPr>
        <w:instrText xml:space="preserve"> NOTEREF _Ref16768610 \h  \* MERGEFORMAT </w:instrText>
      </w:r>
      <w:r w:rsidRPr="00610088">
        <w:rPr>
          <w:color w:val="000000" w:themeColor="text1"/>
          <w:sz w:val="18"/>
          <w:szCs w:val="18"/>
          <w:vertAlign w:val="superscript"/>
          <w:lang w:val="en-GB"/>
        </w:rPr>
      </w:r>
      <w:r w:rsidRPr="00610088">
        <w:rPr>
          <w:color w:val="000000" w:themeColor="text1"/>
          <w:sz w:val="18"/>
          <w:szCs w:val="18"/>
          <w:vertAlign w:val="superscript"/>
          <w:lang w:val="en-GB"/>
        </w:rPr>
        <w:fldChar w:fldCharType="separate"/>
      </w:r>
      <w:r w:rsidR="00CB360C">
        <w:rPr>
          <w:color w:val="000000" w:themeColor="text1"/>
          <w:sz w:val="18"/>
          <w:szCs w:val="18"/>
          <w:vertAlign w:val="superscript"/>
          <w:lang w:val="en-GB"/>
        </w:rPr>
        <w:t>129</w:t>
      </w:r>
      <w:r w:rsidRPr="00610088">
        <w:rPr>
          <w:color w:val="000000" w:themeColor="text1"/>
          <w:sz w:val="18"/>
          <w:szCs w:val="18"/>
          <w:vertAlign w:val="superscript"/>
          <w:lang w:val="en-GB"/>
        </w:rPr>
        <w:fldChar w:fldCharType="end"/>
      </w:r>
    </w:p>
    <w:p w14:paraId="7A90120D" w14:textId="77777777" w:rsidR="007A5E46" w:rsidRPr="00610088" w:rsidRDefault="007A5E46" w:rsidP="007A5E46">
      <w:pPr>
        <w:rPr>
          <w:color w:val="000000" w:themeColor="text1"/>
          <w:sz w:val="18"/>
          <w:szCs w:val="18"/>
          <w:lang w:val="en-GB"/>
        </w:rPr>
      </w:pPr>
    </w:p>
    <w:p w14:paraId="041174FD" w14:textId="09819FCE" w:rsidR="007A5E46" w:rsidRPr="00F0634E" w:rsidRDefault="007A5E46" w:rsidP="007A5E46">
      <w:pPr>
        <w:pStyle w:val="Caption"/>
        <w:keepNext/>
        <w:rPr>
          <w:i w:val="0"/>
          <w:iCs w:val="0"/>
          <w:color w:val="4472C4" w:themeColor="accent1"/>
          <w:lang w:val="en-GB"/>
        </w:rPr>
      </w:pPr>
      <w:bookmarkStart w:id="182" w:name="_Ref16771507"/>
      <w:bookmarkStart w:id="183" w:name="_Ref16771501"/>
      <w:bookmarkStart w:id="184" w:name="_Toc34804985"/>
      <w:r w:rsidRPr="00F0634E">
        <w:rPr>
          <w:i w:val="0"/>
          <w:iCs w:val="0"/>
          <w:color w:val="4472C4" w:themeColor="accent1"/>
          <w:lang w:val="en-GB"/>
        </w:rPr>
        <w:t xml:space="preserve">Table </w:t>
      </w:r>
      <w:r w:rsidRPr="00F0634E">
        <w:rPr>
          <w:i w:val="0"/>
          <w:iCs w:val="0"/>
          <w:color w:val="4472C4" w:themeColor="accent1"/>
          <w:lang w:val="en-GB"/>
        </w:rPr>
        <w:fldChar w:fldCharType="begin"/>
      </w:r>
      <w:r w:rsidRPr="00F0634E">
        <w:rPr>
          <w:i w:val="0"/>
          <w:iCs w:val="0"/>
          <w:color w:val="4472C4" w:themeColor="accent1"/>
          <w:lang w:val="en-GB"/>
        </w:rPr>
        <w:instrText xml:space="preserve"> SEQ Table \* ARABIC </w:instrText>
      </w:r>
      <w:r w:rsidRPr="00F0634E">
        <w:rPr>
          <w:i w:val="0"/>
          <w:iCs w:val="0"/>
          <w:color w:val="4472C4" w:themeColor="accent1"/>
          <w:lang w:val="en-GB"/>
        </w:rPr>
        <w:fldChar w:fldCharType="separate"/>
      </w:r>
      <w:r w:rsidR="00CB360C">
        <w:rPr>
          <w:i w:val="0"/>
          <w:iCs w:val="0"/>
          <w:noProof/>
          <w:color w:val="4472C4" w:themeColor="accent1"/>
          <w:lang w:val="en-GB"/>
        </w:rPr>
        <w:t>7</w:t>
      </w:r>
      <w:r w:rsidRPr="00F0634E">
        <w:rPr>
          <w:i w:val="0"/>
          <w:iCs w:val="0"/>
          <w:color w:val="4472C4" w:themeColor="accent1"/>
          <w:lang w:val="en-GB"/>
        </w:rPr>
        <w:fldChar w:fldCharType="end"/>
      </w:r>
      <w:bookmarkEnd w:id="182"/>
      <w:r w:rsidRPr="00F0634E">
        <w:rPr>
          <w:i w:val="0"/>
          <w:iCs w:val="0"/>
          <w:color w:val="4472C4" w:themeColor="accent1"/>
          <w:lang w:val="en-GB"/>
        </w:rPr>
        <w:t xml:space="preserve">: Risk factors for death and disability (DALY) combined, Sierra Leone 2017 – NCD risk factors in bold (adapted from IHME </w:t>
      </w:r>
      <w:r w:rsidRPr="00F0634E">
        <w:rPr>
          <w:i w:val="0"/>
          <w:iCs w:val="0"/>
          <w:color w:val="4472C4" w:themeColor="accent1"/>
          <w:vertAlign w:val="superscript"/>
          <w:lang w:val="en-GB"/>
        </w:rPr>
        <w:fldChar w:fldCharType="begin"/>
      </w:r>
      <w:r w:rsidRPr="00F0634E">
        <w:rPr>
          <w:i w:val="0"/>
          <w:iCs w:val="0"/>
          <w:color w:val="4472C4" w:themeColor="accent1"/>
          <w:vertAlign w:val="superscript"/>
          <w:lang w:val="en-GB"/>
        </w:rPr>
        <w:instrText xml:space="preserve"> NOTEREF _Ref16768610 \h  \* MERGEFORMAT </w:instrText>
      </w:r>
      <w:r w:rsidRPr="00F0634E">
        <w:rPr>
          <w:i w:val="0"/>
          <w:iCs w:val="0"/>
          <w:color w:val="4472C4" w:themeColor="accent1"/>
          <w:vertAlign w:val="superscript"/>
          <w:lang w:val="en-GB"/>
        </w:rPr>
      </w:r>
      <w:r w:rsidRPr="00F0634E">
        <w:rPr>
          <w:i w:val="0"/>
          <w:iCs w:val="0"/>
          <w:color w:val="4472C4" w:themeColor="accent1"/>
          <w:vertAlign w:val="superscript"/>
          <w:lang w:val="en-GB"/>
        </w:rPr>
        <w:fldChar w:fldCharType="separate"/>
      </w:r>
      <w:r w:rsidR="00CB360C">
        <w:rPr>
          <w:i w:val="0"/>
          <w:iCs w:val="0"/>
          <w:color w:val="4472C4" w:themeColor="accent1"/>
          <w:vertAlign w:val="superscript"/>
          <w:lang w:val="en-GB"/>
        </w:rPr>
        <w:t>129</w:t>
      </w:r>
      <w:r w:rsidRPr="00F0634E">
        <w:rPr>
          <w:i w:val="0"/>
          <w:iCs w:val="0"/>
          <w:color w:val="4472C4" w:themeColor="accent1"/>
          <w:vertAlign w:val="superscript"/>
          <w:lang w:val="en-GB"/>
        </w:rPr>
        <w:fldChar w:fldCharType="end"/>
      </w:r>
      <w:r w:rsidRPr="00F0634E">
        <w:rPr>
          <w:i w:val="0"/>
          <w:iCs w:val="0"/>
          <w:color w:val="4472C4" w:themeColor="accent1"/>
          <w:lang w:val="en-GB"/>
        </w:rPr>
        <w:t>)</w:t>
      </w:r>
      <w:bookmarkEnd w:id="183"/>
      <w:bookmarkEnd w:id="184"/>
    </w:p>
    <w:tbl>
      <w:tblPr>
        <w:tblStyle w:val="GridTable4-Accent1"/>
        <w:tblW w:w="0" w:type="auto"/>
        <w:tblLook w:val="04A0" w:firstRow="1" w:lastRow="0" w:firstColumn="1" w:lastColumn="0" w:noHBand="0" w:noVBand="1"/>
      </w:tblPr>
      <w:tblGrid>
        <w:gridCol w:w="4106"/>
        <w:gridCol w:w="3119"/>
      </w:tblGrid>
      <w:tr w:rsidR="007A5E46" w:rsidRPr="00610088" w14:paraId="382208A1" w14:textId="77777777" w:rsidTr="0084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CC1AF8E" w14:textId="77777777" w:rsidR="007A5E46" w:rsidRPr="00610088" w:rsidRDefault="007A5E46" w:rsidP="00844B57">
            <w:pPr>
              <w:jc w:val="center"/>
              <w:rPr>
                <w:sz w:val="18"/>
                <w:szCs w:val="18"/>
                <w:lang w:val="en-GB"/>
              </w:rPr>
            </w:pPr>
            <w:r w:rsidRPr="00610088">
              <w:rPr>
                <w:sz w:val="18"/>
                <w:szCs w:val="18"/>
                <w:lang w:val="en-GB"/>
              </w:rPr>
              <w:t>2017 ranking</w:t>
            </w:r>
          </w:p>
        </w:tc>
        <w:tc>
          <w:tcPr>
            <w:tcW w:w="3119" w:type="dxa"/>
          </w:tcPr>
          <w:p w14:paraId="1D78A36B" w14:textId="77777777" w:rsidR="007A5E46" w:rsidRPr="00610088" w:rsidRDefault="007A5E46" w:rsidP="00844B57">
            <w:pPr>
              <w:jc w:val="cente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change 2007 – 2017</w:t>
            </w:r>
          </w:p>
        </w:tc>
      </w:tr>
      <w:tr w:rsidR="007A5E46" w:rsidRPr="00610088" w14:paraId="5BF87DEC"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CB1CA47" w14:textId="77777777" w:rsidR="007A5E46" w:rsidRPr="00610088" w:rsidRDefault="007A5E46" w:rsidP="00844B57">
            <w:pPr>
              <w:pStyle w:val="ListParagraph"/>
              <w:numPr>
                <w:ilvl w:val="0"/>
                <w:numId w:val="21"/>
              </w:numPr>
              <w:jc w:val="both"/>
              <w:rPr>
                <w:b w:val="0"/>
                <w:bCs w:val="0"/>
                <w:sz w:val="18"/>
                <w:szCs w:val="18"/>
                <w:lang w:val="en-GB"/>
              </w:rPr>
            </w:pPr>
            <w:r w:rsidRPr="00610088">
              <w:rPr>
                <w:b w:val="0"/>
                <w:bCs w:val="0"/>
                <w:sz w:val="18"/>
                <w:szCs w:val="18"/>
                <w:lang w:val="en-GB"/>
              </w:rPr>
              <w:t>Malnutrition</w:t>
            </w:r>
          </w:p>
        </w:tc>
        <w:tc>
          <w:tcPr>
            <w:tcW w:w="3119" w:type="dxa"/>
          </w:tcPr>
          <w:p w14:paraId="1BA9CBB4" w14:textId="77777777" w:rsidR="007A5E46" w:rsidRPr="00610088" w:rsidRDefault="007A5E46" w:rsidP="00844B57">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-21.1%</w:t>
            </w:r>
          </w:p>
        </w:tc>
      </w:tr>
      <w:tr w:rsidR="007A5E46" w:rsidRPr="00610088" w14:paraId="211E47CE" w14:textId="77777777" w:rsidTr="00844B57">
        <w:tc>
          <w:tcPr>
            <w:cnfStyle w:val="001000000000" w:firstRow="0" w:lastRow="0" w:firstColumn="1" w:lastColumn="0" w:oddVBand="0" w:evenVBand="0" w:oddHBand="0" w:evenHBand="0" w:firstRowFirstColumn="0" w:firstRowLastColumn="0" w:lastRowFirstColumn="0" w:lastRowLastColumn="0"/>
            <w:tcW w:w="4106" w:type="dxa"/>
          </w:tcPr>
          <w:p w14:paraId="6703B627" w14:textId="77777777" w:rsidR="007A5E46" w:rsidRPr="00610088" w:rsidRDefault="007A5E46" w:rsidP="00844B57">
            <w:pPr>
              <w:pStyle w:val="ListParagraph"/>
              <w:numPr>
                <w:ilvl w:val="0"/>
                <w:numId w:val="21"/>
              </w:numPr>
              <w:jc w:val="both"/>
              <w:rPr>
                <w:b w:val="0"/>
                <w:bCs w:val="0"/>
                <w:sz w:val="18"/>
                <w:szCs w:val="18"/>
                <w:lang w:val="en-GB"/>
              </w:rPr>
            </w:pPr>
            <w:proofErr w:type="spellStart"/>
            <w:r w:rsidRPr="00610088">
              <w:rPr>
                <w:b w:val="0"/>
                <w:bCs w:val="0"/>
                <w:sz w:val="18"/>
                <w:szCs w:val="18"/>
                <w:lang w:val="en-GB"/>
              </w:rPr>
              <w:t>WaSH</w:t>
            </w:r>
            <w:proofErr w:type="spellEnd"/>
          </w:p>
        </w:tc>
        <w:tc>
          <w:tcPr>
            <w:tcW w:w="3119" w:type="dxa"/>
          </w:tcPr>
          <w:p w14:paraId="146FD3D5" w14:textId="77777777" w:rsidR="007A5E46" w:rsidRPr="00610088" w:rsidRDefault="007A5E46" w:rsidP="00844B57">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-20.7%</w:t>
            </w:r>
          </w:p>
        </w:tc>
      </w:tr>
      <w:tr w:rsidR="007A5E46" w:rsidRPr="00610088" w14:paraId="4F98D626"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1B570DF"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Air pollution</w:t>
            </w:r>
          </w:p>
        </w:tc>
        <w:tc>
          <w:tcPr>
            <w:tcW w:w="3119" w:type="dxa"/>
          </w:tcPr>
          <w:p w14:paraId="48B7D5FB" w14:textId="77777777" w:rsidR="007A5E46" w:rsidRPr="00610088" w:rsidRDefault="007A5E46" w:rsidP="00844B57">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-20.0%</w:t>
            </w:r>
          </w:p>
        </w:tc>
      </w:tr>
      <w:tr w:rsidR="007A5E46" w:rsidRPr="00610088" w14:paraId="4F6C4EA6" w14:textId="77777777" w:rsidTr="00844B57">
        <w:tc>
          <w:tcPr>
            <w:cnfStyle w:val="001000000000" w:firstRow="0" w:lastRow="0" w:firstColumn="1" w:lastColumn="0" w:oddVBand="0" w:evenVBand="0" w:oddHBand="0" w:evenHBand="0" w:firstRowFirstColumn="0" w:firstRowLastColumn="0" w:lastRowFirstColumn="0" w:lastRowLastColumn="0"/>
            <w:tcW w:w="4106" w:type="dxa"/>
          </w:tcPr>
          <w:p w14:paraId="355C5316"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High blood pressure</w:t>
            </w:r>
          </w:p>
        </w:tc>
        <w:tc>
          <w:tcPr>
            <w:tcW w:w="3119" w:type="dxa"/>
          </w:tcPr>
          <w:p w14:paraId="31EC4052" w14:textId="77777777" w:rsidR="007A5E46" w:rsidRPr="00610088" w:rsidRDefault="007A5E46" w:rsidP="00844B57">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18.8%</w:t>
            </w:r>
          </w:p>
        </w:tc>
      </w:tr>
      <w:tr w:rsidR="007A5E46" w:rsidRPr="00610088" w14:paraId="1F5C3CF9"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9120D60"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Dietary risks</w:t>
            </w:r>
          </w:p>
        </w:tc>
        <w:tc>
          <w:tcPr>
            <w:tcW w:w="3119" w:type="dxa"/>
          </w:tcPr>
          <w:p w14:paraId="1497D1E7" w14:textId="77777777" w:rsidR="007A5E46" w:rsidRPr="00610088" w:rsidRDefault="007A5E46" w:rsidP="00844B57">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19.4%</w:t>
            </w:r>
          </w:p>
        </w:tc>
      </w:tr>
      <w:tr w:rsidR="007A5E46" w:rsidRPr="00610088" w14:paraId="6E4E67B8" w14:textId="77777777" w:rsidTr="00844B57">
        <w:tc>
          <w:tcPr>
            <w:cnfStyle w:val="001000000000" w:firstRow="0" w:lastRow="0" w:firstColumn="1" w:lastColumn="0" w:oddVBand="0" w:evenVBand="0" w:oddHBand="0" w:evenHBand="0" w:firstRowFirstColumn="0" w:firstRowLastColumn="0" w:lastRowFirstColumn="0" w:lastRowLastColumn="0"/>
            <w:tcW w:w="4106" w:type="dxa"/>
          </w:tcPr>
          <w:p w14:paraId="309BDCD2"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Alcohol use</w:t>
            </w:r>
          </w:p>
        </w:tc>
        <w:tc>
          <w:tcPr>
            <w:tcW w:w="3119" w:type="dxa"/>
          </w:tcPr>
          <w:p w14:paraId="66733F40" w14:textId="77777777" w:rsidR="007A5E46" w:rsidRPr="00610088" w:rsidRDefault="007A5E46" w:rsidP="00844B57">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-4.7%</w:t>
            </w:r>
          </w:p>
        </w:tc>
      </w:tr>
      <w:tr w:rsidR="007A5E46" w:rsidRPr="00610088" w14:paraId="7275ED2C"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0EDE625" w14:textId="77777777" w:rsidR="007A5E46" w:rsidRPr="00610088" w:rsidRDefault="007A5E46" w:rsidP="00844B57">
            <w:pPr>
              <w:pStyle w:val="ListParagraph"/>
              <w:numPr>
                <w:ilvl w:val="0"/>
                <w:numId w:val="21"/>
              </w:numPr>
              <w:jc w:val="both"/>
              <w:rPr>
                <w:b w:val="0"/>
                <w:bCs w:val="0"/>
                <w:sz w:val="18"/>
                <w:szCs w:val="18"/>
                <w:lang w:val="en-GB"/>
              </w:rPr>
            </w:pPr>
            <w:r w:rsidRPr="00610088">
              <w:rPr>
                <w:b w:val="0"/>
                <w:bCs w:val="0"/>
                <w:sz w:val="18"/>
                <w:szCs w:val="18"/>
                <w:lang w:val="en-GB"/>
              </w:rPr>
              <w:t>Unsafe sex</w:t>
            </w:r>
          </w:p>
        </w:tc>
        <w:tc>
          <w:tcPr>
            <w:tcW w:w="3119" w:type="dxa"/>
          </w:tcPr>
          <w:p w14:paraId="51A2ED49" w14:textId="77777777" w:rsidR="007A5E46" w:rsidRPr="00610088" w:rsidRDefault="007A5E46" w:rsidP="00844B57">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-6.3%</w:t>
            </w:r>
          </w:p>
        </w:tc>
      </w:tr>
      <w:tr w:rsidR="007A5E46" w:rsidRPr="00610088" w14:paraId="10FE76D5" w14:textId="77777777" w:rsidTr="00844B57">
        <w:tc>
          <w:tcPr>
            <w:cnfStyle w:val="001000000000" w:firstRow="0" w:lastRow="0" w:firstColumn="1" w:lastColumn="0" w:oddVBand="0" w:evenVBand="0" w:oddHBand="0" w:evenHBand="0" w:firstRowFirstColumn="0" w:firstRowLastColumn="0" w:lastRowFirstColumn="0" w:lastRowLastColumn="0"/>
            <w:tcW w:w="4106" w:type="dxa"/>
          </w:tcPr>
          <w:p w14:paraId="3118A127"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Tobacco</w:t>
            </w:r>
          </w:p>
        </w:tc>
        <w:tc>
          <w:tcPr>
            <w:tcW w:w="3119" w:type="dxa"/>
          </w:tcPr>
          <w:p w14:paraId="18EB2BDD" w14:textId="77777777" w:rsidR="007A5E46" w:rsidRPr="00610088" w:rsidRDefault="007A5E46" w:rsidP="00844B57">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-3.0%</w:t>
            </w:r>
          </w:p>
        </w:tc>
      </w:tr>
      <w:tr w:rsidR="007A5E46" w:rsidRPr="00610088" w14:paraId="131C27D6"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D21900A"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High fasting plasma glucose</w:t>
            </w:r>
          </w:p>
        </w:tc>
        <w:tc>
          <w:tcPr>
            <w:tcW w:w="3119" w:type="dxa"/>
          </w:tcPr>
          <w:p w14:paraId="5B9F8E1F" w14:textId="77777777" w:rsidR="007A5E46" w:rsidRPr="00610088" w:rsidRDefault="007A5E46" w:rsidP="00844B57">
            <w:pPr>
              <w:jc w:val="cente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27.4%</w:t>
            </w:r>
          </w:p>
        </w:tc>
      </w:tr>
      <w:tr w:rsidR="007A5E46" w:rsidRPr="00610088" w14:paraId="7B2A47CC" w14:textId="77777777" w:rsidTr="00844B57">
        <w:tc>
          <w:tcPr>
            <w:cnfStyle w:val="001000000000" w:firstRow="0" w:lastRow="0" w:firstColumn="1" w:lastColumn="0" w:oddVBand="0" w:evenVBand="0" w:oddHBand="0" w:evenHBand="0" w:firstRowFirstColumn="0" w:firstRowLastColumn="0" w:lastRowFirstColumn="0" w:lastRowLastColumn="0"/>
            <w:tcW w:w="4106" w:type="dxa"/>
          </w:tcPr>
          <w:p w14:paraId="3A30F7C9" w14:textId="77777777" w:rsidR="007A5E46" w:rsidRPr="00610088" w:rsidRDefault="007A5E46" w:rsidP="00844B57">
            <w:pPr>
              <w:pStyle w:val="ListParagraph"/>
              <w:numPr>
                <w:ilvl w:val="0"/>
                <w:numId w:val="21"/>
              </w:numPr>
              <w:jc w:val="both"/>
              <w:rPr>
                <w:sz w:val="18"/>
                <w:szCs w:val="18"/>
                <w:lang w:val="en-GB"/>
              </w:rPr>
            </w:pPr>
            <w:r w:rsidRPr="00610088">
              <w:rPr>
                <w:sz w:val="18"/>
                <w:szCs w:val="18"/>
                <w:lang w:val="en-GB"/>
              </w:rPr>
              <w:t>High body mass index</w:t>
            </w:r>
          </w:p>
        </w:tc>
        <w:tc>
          <w:tcPr>
            <w:tcW w:w="3119" w:type="dxa"/>
          </w:tcPr>
          <w:p w14:paraId="039EB8F5" w14:textId="77777777" w:rsidR="007A5E46" w:rsidRPr="00610088" w:rsidRDefault="007A5E46" w:rsidP="00844B57">
            <w:pPr>
              <w:jc w:val="cente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62.1%</w:t>
            </w:r>
          </w:p>
        </w:tc>
      </w:tr>
    </w:tbl>
    <w:p w14:paraId="2011512D" w14:textId="77777777" w:rsidR="007A5E46" w:rsidRPr="00610088" w:rsidRDefault="007A5E46" w:rsidP="007A5E46">
      <w:pPr>
        <w:rPr>
          <w:lang w:val="en-GB"/>
        </w:rPr>
      </w:pPr>
    </w:p>
    <w:p w14:paraId="5363ECC2" w14:textId="616F1C8C" w:rsidR="007A5E46" w:rsidRPr="00610088" w:rsidRDefault="007A5E46" w:rsidP="007A5E46">
      <w:pPr>
        <w:pStyle w:val="Subtitle"/>
        <w:rPr>
          <w:b/>
          <w:bCs/>
          <w:sz w:val="18"/>
          <w:szCs w:val="18"/>
          <w:u w:val="single"/>
          <w:lang w:val="en-GB"/>
        </w:rPr>
      </w:pPr>
      <w:r w:rsidRPr="00610088">
        <w:rPr>
          <w:b/>
          <w:bCs/>
          <w:sz w:val="18"/>
          <w:szCs w:val="18"/>
          <w:u w:val="single"/>
          <w:lang w:val="en-GB"/>
        </w:rPr>
        <w:t>Risk factors: Modifiable behaviours</w:t>
      </w:r>
      <w:r w:rsidR="000C5116" w:rsidRPr="00610088">
        <w:rPr>
          <w:b/>
          <w:bCs/>
          <w:sz w:val="18"/>
          <w:szCs w:val="18"/>
          <w:u w:val="single"/>
          <w:lang w:val="en-GB"/>
        </w:rPr>
        <w:t xml:space="preserve"> and metabolic risks</w:t>
      </w:r>
    </w:p>
    <w:p w14:paraId="08563735" w14:textId="282C9427" w:rsidR="007A5E46" w:rsidRPr="00610088" w:rsidRDefault="00430CA8" w:rsidP="000C5116">
      <w:pPr>
        <w:rPr>
          <w:sz w:val="18"/>
          <w:szCs w:val="18"/>
          <w:lang w:val="en-GB"/>
        </w:rPr>
      </w:pPr>
      <w:r w:rsidRPr="00610088">
        <w:rPr>
          <w:sz w:val="18"/>
          <w:szCs w:val="18"/>
          <w:lang w:val="en-GB"/>
        </w:rPr>
        <w:t xml:space="preserve">Key </w:t>
      </w:r>
      <w:r w:rsidR="007A5E46" w:rsidRPr="00610088">
        <w:rPr>
          <w:sz w:val="18"/>
          <w:szCs w:val="18"/>
          <w:lang w:val="en-GB"/>
        </w:rPr>
        <w:t xml:space="preserve">NCD Risk factors consist of both modifiable behaviours and metabolic risks. </w:t>
      </w:r>
      <w:r w:rsidR="000C5116" w:rsidRPr="00610088">
        <w:rPr>
          <w:sz w:val="18"/>
          <w:szCs w:val="18"/>
          <w:lang w:val="en-GB"/>
        </w:rPr>
        <w:t xml:space="preserve">Key modifiable behaviours include tobacco use, physical inactivity, harmful use of alcohol, unhealthy diets and air </w:t>
      </w:r>
      <w:r w:rsidR="00ED1B2C" w:rsidRPr="00610088">
        <w:rPr>
          <w:sz w:val="18"/>
          <w:szCs w:val="18"/>
          <w:lang w:val="en-GB"/>
        </w:rPr>
        <w:t>pollution</w:t>
      </w:r>
      <w:r w:rsidR="000C5116" w:rsidRPr="00610088">
        <w:rPr>
          <w:sz w:val="18"/>
          <w:szCs w:val="18"/>
          <w:lang w:val="en-GB"/>
        </w:rPr>
        <w:t>.</w:t>
      </w:r>
      <w:r w:rsidR="00ED1B2C" w:rsidRPr="00610088">
        <w:rPr>
          <w:sz w:val="18"/>
          <w:szCs w:val="18"/>
          <w:lang w:val="en-GB"/>
        </w:rPr>
        <w:t xml:space="preserve"> </w:t>
      </w:r>
      <w:r w:rsidR="000C5116" w:rsidRPr="00610088">
        <w:rPr>
          <w:sz w:val="18"/>
          <w:szCs w:val="18"/>
          <w:lang w:val="en-GB"/>
        </w:rPr>
        <w:t xml:space="preserve">Key metabolic risk factors include raised or elevated blood pressure (hypertension), overweight/obesity, hyperglycaemia and hyperlipidaemia. </w:t>
      </w:r>
      <w:r w:rsidR="007A5E46" w:rsidRPr="00610088">
        <w:rPr>
          <w:sz w:val="18"/>
          <w:szCs w:val="18"/>
          <w:lang w:val="en-GB"/>
        </w:rPr>
        <w:t>In each</w:t>
      </w:r>
      <w:r w:rsidRPr="00610088">
        <w:rPr>
          <w:sz w:val="18"/>
          <w:szCs w:val="18"/>
          <w:lang w:val="en-GB"/>
        </w:rPr>
        <w:t xml:space="preserve"> key</w:t>
      </w:r>
      <w:r w:rsidR="007A5E46" w:rsidRPr="00610088">
        <w:rPr>
          <w:sz w:val="18"/>
          <w:szCs w:val="18"/>
          <w:lang w:val="en-GB"/>
        </w:rPr>
        <w:t xml:space="preserve"> </w:t>
      </w:r>
      <w:r w:rsidR="000C5116" w:rsidRPr="00610088">
        <w:rPr>
          <w:sz w:val="18"/>
          <w:szCs w:val="18"/>
          <w:lang w:val="en-GB"/>
        </w:rPr>
        <w:t xml:space="preserve">risk factor </w:t>
      </w:r>
      <w:r w:rsidR="007A5E46" w:rsidRPr="00610088">
        <w:rPr>
          <w:sz w:val="18"/>
          <w:szCs w:val="18"/>
          <w:lang w:val="en-GB"/>
        </w:rPr>
        <w:t>sub-section relevant data from the STEPS survey</w:t>
      </w:r>
      <w:bookmarkStart w:id="185" w:name="_Ref17032158"/>
      <w:r w:rsidR="007A5E46" w:rsidRPr="00610088">
        <w:rPr>
          <w:rStyle w:val="EndnoteReference"/>
          <w:sz w:val="18"/>
          <w:szCs w:val="18"/>
          <w:lang w:val="en-GB"/>
        </w:rPr>
        <w:endnoteReference w:id="174"/>
      </w:r>
      <w:bookmarkEnd w:id="185"/>
      <w:r w:rsidR="007A5E46" w:rsidRPr="00610088">
        <w:rPr>
          <w:sz w:val="18"/>
          <w:szCs w:val="18"/>
          <w:vertAlign w:val="superscript"/>
          <w:lang w:val="en-GB"/>
        </w:rPr>
        <w:t xml:space="preserve">, </w:t>
      </w:r>
      <w:bookmarkStart w:id="186" w:name="_Ref17040725"/>
      <w:r w:rsidR="007A5E46" w:rsidRPr="00610088">
        <w:rPr>
          <w:rStyle w:val="EndnoteReference"/>
          <w:sz w:val="18"/>
          <w:szCs w:val="18"/>
          <w:lang w:val="en-GB"/>
        </w:rPr>
        <w:endnoteReference w:id="175"/>
      </w:r>
      <w:bookmarkEnd w:id="186"/>
      <w:r w:rsidR="007A5E46" w:rsidRPr="00610088">
        <w:rPr>
          <w:sz w:val="18"/>
          <w:szCs w:val="18"/>
          <w:lang w:val="en-GB"/>
        </w:rPr>
        <w:t xml:space="preserve">, other national surveys and other sources </w:t>
      </w:r>
      <w:r w:rsidR="000C5116" w:rsidRPr="00610088">
        <w:rPr>
          <w:sz w:val="18"/>
          <w:szCs w:val="18"/>
          <w:lang w:val="en-GB"/>
        </w:rPr>
        <w:t>are</w:t>
      </w:r>
      <w:r w:rsidR="007A5E46" w:rsidRPr="00610088">
        <w:rPr>
          <w:sz w:val="18"/>
          <w:szCs w:val="18"/>
          <w:lang w:val="en-GB"/>
        </w:rPr>
        <w:t xml:space="preserve"> mentioned. </w:t>
      </w:r>
    </w:p>
    <w:p w14:paraId="513C6260" w14:textId="33BAA011" w:rsidR="00430CA8" w:rsidRPr="00610088" w:rsidRDefault="00430CA8" w:rsidP="000C5116">
      <w:pPr>
        <w:rPr>
          <w:sz w:val="18"/>
          <w:szCs w:val="18"/>
          <w:lang w:val="en-GB"/>
        </w:rPr>
      </w:pPr>
      <w:r w:rsidRPr="00610088">
        <w:rPr>
          <w:sz w:val="18"/>
          <w:szCs w:val="18"/>
          <w:lang w:val="en-GB"/>
        </w:rPr>
        <w:t>Other NCD risk factors include socio-economic, cultural and other factors including life-style related factors, biological and chemical hazards, physical and built environments including dangerous work places, unplanned urbanization, limited regulation of tobacco, food and beverage industries, unregulated driving under the influence of alcohol and drugs, use of mobile phones when driving and poor road conditions and network.</w:t>
      </w:r>
    </w:p>
    <w:p w14:paraId="6E90B36F" w14:textId="77777777" w:rsidR="007A5E46" w:rsidRPr="00610088" w:rsidRDefault="007A5E46" w:rsidP="007A5E46">
      <w:pPr>
        <w:rPr>
          <w:lang w:val="en-GB"/>
        </w:rPr>
      </w:pPr>
    </w:p>
    <w:p w14:paraId="40409898" w14:textId="77777777" w:rsidR="007A5E46" w:rsidRPr="00610088" w:rsidRDefault="007A5E46" w:rsidP="007A5E46">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Tobacco use</w:t>
      </w:r>
    </w:p>
    <w:p w14:paraId="4A54B773" w14:textId="757C145F" w:rsidR="007A5E46" w:rsidRPr="00610088" w:rsidRDefault="007A5E46" w:rsidP="007A5E46">
      <w:pPr>
        <w:tabs>
          <w:tab w:val="num" w:pos="720"/>
        </w:tabs>
        <w:rPr>
          <w:rFonts w:eastAsia="MS PGothic"/>
          <w:sz w:val="18"/>
          <w:szCs w:val="18"/>
          <w:lang w:val="en-GB"/>
        </w:rPr>
      </w:pPr>
      <w:r w:rsidRPr="00610088">
        <w:rPr>
          <w:rFonts w:eastAsiaTheme="minorEastAsia"/>
          <w:sz w:val="18"/>
          <w:szCs w:val="18"/>
          <w:lang w:val="en-GB"/>
        </w:rPr>
        <w:t xml:space="preserve">The current smoking rate in the STEPS 2009 survey </w:t>
      </w:r>
      <w:r w:rsidRPr="00610088">
        <w:rPr>
          <w:rFonts w:eastAsiaTheme="minorEastAsia"/>
          <w:sz w:val="18"/>
          <w:szCs w:val="18"/>
          <w:vertAlign w:val="superscript"/>
          <w:lang w:val="en-GB"/>
        </w:rPr>
        <w:fldChar w:fldCharType="begin"/>
      </w:r>
      <w:r w:rsidRPr="00610088">
        <w:rPr>
          <w:rFonts w:eastAsiaTheme="minorEastAsia"/>
          <w:sz w:val="18"/>
          <w:szCs w:val="18"/>
          <w:vertAlign w:val="superscript"/>
          <w:lang w:val="en-GB"/>
        </w:rPr>
        <w:instrText xml:space="preserve"> NOTEREF _Ref17032158 \h  \* MERGEFORMAT </w:instrText>
      </w:r>
      <w:r w:rsidRPr="00610088">
        <w:rPr>
          <w:rFonts w:eastAsiaTheme="minorEastAsia"/>
          <w:sz w:val="18"/>
          <w:szCs w:val="18"/>
          <w:vertAlign w:val="superscript"/>
          <w:lang w:val="en-GB"/>
        </w:rPr>
      </w:r>
      <w:r w:rsidRPr="00610088">
        <w:rPr>
          <w:rFonts w:eastAsiaTheme="minorEastAsia"/>
          <w:sz w:val="18"/>
          <w:szCs w:val="18"/>
          <w:vertAlign w:val="superscript"/>
          <w:lang w:val="en-GB"/>
        </w:rPr>
        <w:fldChar w:fldCharType="separate"/>
      </w:r>
      <w:r w:rsidR="00CB360C">
        <w:rPr>
          <w:rFonts w:eastAsiaTheme="minorEastAsia"/>
          <w:sz w:val="18"/>
          <w:szCs w:val="18"/>
          <w:vertAlign w:val="superscript"/>
          <w:lang w:val="en-GB"/>
        </w:rPr>
        <w:t>174</w:t>
      </w:r>
      <w:r w:rsidRPr="00610088">
        <w:rPr>
          <w:rFonts w:eastAsiaTheme="minorEastAsia"/>
          <w:sz w:val="18"/>
          <w:szCs w:val="18"/>
          <w:vertAlign w:val="superscript"/>
          <w:lang w:val="en-GB"/>
        </w:rPr>
        <w:fldChar w:fldCharType="end"/>
      </w:r>
      <w:r w:rsidRPr="00610088">
        <w:rPr>
          <w:rFonts w:eastAsiaTheme="minorEastAsia"/>
          <w:sz w:val="18"/>
          <w:szCs w:val="18"/>
          <w:vertAlign w:val="superscript"/>
          <w:lang w:val="en-GB"/>
        </w:rPr>
        <w:t xml:space="preserve">, </w:t>
      </w:r>
      <w:r w:rsidRPr="00610088">
        <w:rPr>
          <w:rFonts w:eastAsiaTheme="minorEastAsia"/>
          <w:sz w:val="18"/>
          <w:szCs w:val="18"/>
          <w:vertAlign w:val="superscript"/>
          <w:lang w:val="en-GB"/>
        </w:rPr>
        <w:fldChar w:fldCharType="begin"/>
      </w:r>
      <w:r w:rsidRPr="00610088">
        <w:rPr>
          <w:rFonts w:eastAsiaTheme="minorEastAsia"/>
          <w:sz w:val="18"/>
          <w:szCs w:val="18"/>
          <w:vertAlign w:val="superscript"/>
          <w:lang w:val="en-GB"/>
        </w:rPr>
        <w:instrText xml:space="preserve"> NOTEREF _Ref17040725 \h  \* MERGEFORMAT </w:instrText>
      </w:r>
      <w:r w:rsidRPr="00610088">
        <w:rPr>
          <w:rFonts w:eastAsiaTheme="minorEastAsia"/>
          <w:sz w:val="18"/>
          <w:szCs w:val="18"/>
          <w:vertAlign w:val="superscript"/>
          <w:lang w:val="en-GB"/>
        </w:rPr>
      </w:r>
      <w:r w:rsidRPr="00610088">
        <w:rPr>
          <w:rFonts w:eastAsiaTheme="minorEastAsia"/>
          <w:sz w:val="18"/>
          <w:szCs w:val="18"/>
          <w:vertAlign w:val="superscript"/>
          <w:lang w:val="en-GB"/>
        </w:rPr>
        <w:fldChar w:fldCharType="separate"/>
      </w:r>
      <w:r w:rsidR="00CB360C">
        <w:rPr>
          <w:rFonts w:eastAsiaTheme="minorEastAsia"/>
          <w:sz w:val="18"/>
          <w:szCs w:val="18"/>
          <w:vertAlign w:val="superscript"/>
          <w:lang w:val="en-GB"/>
        </w:rPr>
        <w:t>175</w:t>
      </w:r>
      <w:r w:rsidRPr="00610088">
        <w:rPr>
          <w:rFonts w:eastAsiaTheme="minorEastAsia"/>
          <w:sz w:val="18"/>
          <w:szCs w:val="18"/>
          <w:vertAlign w:val="superscript"/>
          <w:lang w:val="en-GB"/>
        </w:rPr>
        <w:fldChar w:fldCharType="end"/>
      </w:r>
      <w:r w:rsidRPr="00610088">
        <w:rPr>
          <w:rFonts w:eastAsiaTheme="minorEastAsia"/>
          <w:sz w:val="18"/>
          <w:szCs w:val="18"/>
          <w:lang w:val="en-GB"/>
        </w:rPr>
        <w:t xml:space="preserve"> among </w:t>
      </w:r>
      <w:proofErr w:type="gramStart"/>
      <w:r w:rsidRPr="00610088">
        <w:rPr>
          <w:rFonts w:eastAsiaTheme="minorEastAsia"/>
          <w:sz w:val="18"/>
          <w:szCs w:val="18"/>
          <w:lang w:val="en-GB"/>
        </w:rPr>
        <w:t>25-64 year</w:t>
      </w:r>
      <w:proofErr w:type="gramEnd"/>
      <w:r w:rsidRPr="00610088">
        <w:rPr>
          <w:rFonts w:eastAsiaTheme="minorEastAsia"/>
          <w:sz w:val="18"/>
          <w:szCs w:val="18"/>
          <w:lang w:val="en-GB"/>
        </w:rPr>
        <w:t xml:space="preserve"> adults was 25.8% (M</w:t>
      </w:r>
      <w:r w:rsidR="00607B2D">
        <w:rPr>
          <w:rFonts w:eastAsiaTheme="minorEastAsia"/>
          <w:sz w:val="18"/>
          <w:szCs w:val="18"/>
          <w:lang w:val="en-GB"/>
        </w:rPr>
        <w:t xml:space="preserve"> </w:t>
      </w:r>
      <w:r w:rsidRPr="00610088">
        <w:rPr>
          <w:rFonts w:eastAsiaTheme="minorEastAsia"/>
          <w:sz w:val="18"/>
          <w:szCs w:val="18"/>
          <w:lang w:val="en-GB"/>
        </w:rPr>
        <w:t xml:space="preserve">43.1%, F 10.5%), with 22.5% </w:t>
      </w:r>
      <w:r w:rsidRPr="00610088">
        <w:rPr>
          <w:rFonts w:eastAsia="MS PGothic"/>
          <w:sz w:val="18"/>
          <w:szCs w:val="18"/>
          <w:lang w:val="en-GB"/>
        </w:rPr>
        <w:t>(M 39.5%, F 7.5%) smoking tobacco daily. The average age when smokers started smoking was 21.4 years (M 21.1, F 23.0). The majority (92.4% - M 91.7%, F 95.7%) smoked manufactured cigarettes, an average number of 7.2 (M7.6, F5.6) cigarettes per day.</w:t>
      </w:r>
    </w:p>
    <w:p w14:paraId="2F0E9F4E" w14:textId="77777777" w:rsidR="007A5E46" w:rsidRPr="00610088" w:rsidRDefault="007A5E46" w:rsidP="007A5E46">
      <w:pPr>
        <w:tabs>
          <w:tab w:val="num" w:pos="720"/>
        </w:tabs>
        <w:rPr>
          <w:rFonts w:eastAsia="MS PGothic"/>
          <w:sz w:val="18"/>
          <w:szCs w:val="18"/>
          <w:lang w:val="en-GB"/>
        </w:rPr>
      </w:pPr>
    </w:p>
    <w:p w14:paraId="5F0235B9" w14:textId="4E768283" w:rsidR="007A5E46" w:rsidRPr="00610088" w:rsidRDefault="007A5E46" w:rsidP="007A5E46">
      <w:pPr>
        <w:rPr>
          <w:sz w:val="18"/>
          <w:szCs w:val="18"/>
          <w:lang w:val="en-GB"/>
        </w:rPr>
      </w:pPr>
      <w:r w:rsidRPr="00610088">
        <w:rPr>
          <w:sz w:val="18"/>
          <w:szCs w:val="18"/>
          <w:lang w:val="en-GB"/>
        </w:rPr>
        <w:t>The last DHS surveys</w:t>
      </w:r>
      <w:r w:rsidRPr="00610088">
        <w:rPr>
          <w:sz w:val="18"/>
          <w:szCs w:val="18"/>
          <w:vertAlign w:val="superscript"/>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_Ref17298289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8</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lang w:val="en-GB"/>
        </w:rPr>
        <w:t xml:space="preserve"> </w:t>
      </w:r>
      <w:r w:rsidRPr="00610088">
        <w:rPr>
          <w:sz w:val="18"/>
          <w:szCs w:val="18"/>
          <w:lang w:val="en-GB"/>
        </w:rPr>
        <w:fldChar w:fldCharType="begin"/>
      </w:r>
      <w:r w:rsidRPr="00610088">
        <w:rPr>
          <w:sz w:val="18"/>
          <w:szCs w:val="18"/>
          <w:lang w:val="en-GB"/>
        </w:rPr>
        <w:instrText xml:space="preserve"> NOTEREF _Ref17613310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208</w:t>
      </w:r>
      <w:r w:rsidRPr="00610088">
        <w:rPr>
          <w:sz w:val="18"/>
          <w:szCs w:val="18"/>
          <w:lang w:val="en-GB"/>
        </w:rPr>
        <w:fldChar w:fldCharType="end"/>
      </w:r>
      <w:r w:rsidRPr="00610088">
        <w:rPr>
          <w:sz w:val="18"/>
          <w:szCs w:val="18"/>
          <w:lang w:val="en-GB"/>
        </w:rPr>
        <w:t xml:space="preserve"> shows a decrease  from 2008 to 2013 over the years of tobacco smoking in both men (cigarettes 36.6% to 26%; pipe 0.4% to 0.2%) and women (cigarettes 6.0% to 4.0%; pipe 0.2% to 0.1%), with also a decrease in smokeless tobacco use (M 3.9% to 1.4%; F 5.5% to 4.0%). Use among pregnant women is similar to use among non-pregnant women. Overall tobacco use is higher in older respondents, rural areas, up-country regions, lower education and wealth groups. Cigarette smoking has a wide variety among districts (range M 8.4-40.7%; F 1.4-10.5%). Heavy smoking (more than 10 cigarettes in the last 24 hours) among males increased from 39.0% in 2008 to 53.9% in 2013. </w:t>
      </w:r>
    </w:p>
    <w:p w14:paraId="72D3D17F" w14:textId="77777777" w:rsidR="007A5E46" w:rsidRPr="00610088" w:rsidRDefault="007A5E46" w:rsidP="007A5E46">
      <w:pPr>
        <w:rPr>
          <w:sz w:val="18"/>
          <w:szCs w:val="18"/>
          <w:lang w:val="en-GB"/>
        </w:rPr>
      </w:pPr>
    </w:p>
    <w:p w14:paraId="4318E66E" w14:textId="5DB97F93" w:rsidR="007A5E46" w:rsidRPr="00610088" w:rsidRDefault="007A5E46" w:rsidP="007A5E46">
      <w:pPr>
        <w:rPr>
          <w:sz w:val="18"/>
          <w:szCs w:val="18"/>
          <w:lang w:val="en-GB"/>
        </w:rPr>
      </w:pPr>
      <w:r w:rsidRPr="00610088">
        <w:rPr>
          <w:sz w:val="18"/>
          <w:szCs w:val="18"/>
          <w:lang w:val="en-GB"/>
        </w:rPr>
        <w:t xml:space="preserve">In the MICS 2017 </w:t>
      </w:r>
      <w:r w:rsidRPr="00610088">
        <w:rPr>
          <w:sz w:val="18"/>
          <w:szCs w:val="18"/>
          <w:vertAlign w:val="superscript"/>
          <w:lang w:val="en-GB"/>
        </w:rPr>
        <w:fldChar w:fldCharType="begin"/>
      </w:r>
      <w:r w:rsidRPr="00610088">
        <w:rPr>
          <w:sz w:val="18"/>
          <w:szCs w:val="18"/>
          <w:vertAlign w:val="superscript"/>
          <w:lang w:val="en-GB"/>
        </w:rPr>
        <w:instrText xml:space="preserve"> NOTEREF _Ref16853648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 xml:space="preserve">7.2% of women and 23.4% of men (15-49 years) indicated they ever used tobacco, with 4.1% and 16.6% respectively using tobacco in the last month. Only 0.3% of women and 1.8% of men smoked a whole cigarette before they were 15 years old. </w:t>
      </w:r>
    </w:p>
    <w:p w14:paraId="2D4CD604" w14:textId="77777777" w:rsidR="007A5E46" w:rsidRPr="00610088" w:rsidRDefault="007A5E46" w:rsidP="007A5E46">
      <w:pPr>
        <w:rPr>
          <w:sz w:val="18"/>
          <w:szCs w:val="18"/>
          <w:lang w:val="en-GB"/>
        </w:rPr>
      </w:pPr>
      <w:r w:rsidRPr="00610088">
        <w:rPr>
          <w:sz w:val="18"/>
          <w:szCs w:val="18"/>
          <w:lang w:val="en-GB"/>
        </w:rPr>
        <w:t xml:space="preserve">Tobacco use and smoking in men and women is more common in rural areas, Eastern/Southern region, specific districts (F: </w:t>
      </w:r>
      <w:proofErr w:type="spellStart"/>
      <w:r w:rsidRPr="00610088">
        <w:rPr>
          <w:sz w:val="18"/>
          <w:szCs w:val="18"/>
          <w:lang w:val="en-GB"/>
        </w:rPr>
        <w:t>Pujehun</w:t>
      </w:r>
      <w:proofErr w:type="spellEnd"/>
      <w:r w:rsidRPr="00610088">
        <w:rPr>
          <w:sz w:val="18"/>
          <w:szCs w:val="18"/>
          <w:lang w:val="en-GB"/>
        </w:rPr>
        <w:t xml:space="preserve">, Kailahun and M: Kailahun, Kenema, Bo, </w:t>
      </w:r>
      <w:proofErr w:type="spellStart"/>
      <w:r w:rsidRPr="00610088">
        <w:rPr>
          <w:sz w:val="18"/>
          <w:szCs w:val="18"/>
          <w:lang w:val="en-GB"/>
        </w:rPr>
        <w:t>Bonthe</w:t>
      </w:r>
      <w:proofErr w:type="spellEnd"/>
      <w:r w:rsidRPr="00610088">
        <w:rPr>
          <w:sz w:val="18"/>
          <w:szCs w:val="18"/>
          <w:lang w:val="en-GB"/>
        </w:rPr>
        <w:t xml:space="preserve">, </w:t>
      </w:r>
      <w:proofErr w:type="spellStart"/>
      <w:r w:rsidRPr="00610088">
        <w:rPr>
          <w:sz w:val="18"/>
          <w:szCs w:val="18"/>
          <w:lang w:val="en-GB"/>
        </w:rPr>
        <w:t>Pujehun</w:t>
      </w:r>
      <w:proofErr w:type="spellEnd"/>
      <w:r w:rsidRPr="00610088">
        <w:rPr>
          <w:sz w:val="18"/>
          <w:szCs w:val="18"/>
          <w:lang w:val="en-GB"/>
        </w:rPr>
        <w:t xml:space="preserve">, </w:t>
      </w:r>
      <w:proofErr w:type="spellStart"/>
      <w:r w:rsidRPr="00610088">
        <w:rPr>
          <w:sz w:val="18"/>
          <w:szCs w:val="18"/>
          <w:lang w:val="en-GB"/>
        </w:rPr>
        <w:t>Kambia</w:t>
      </w:r>
      <w:proofErr w:type="spellEnd"/>
      <w:r w:rsidRPr="00610088">
        <w:rPr>
          <w:sz w:val="18"/>
          <w:szCs w:val="18"/>
          <w:lang w:val="en-GB"/>
        </w:rPr>
        <w:t xml:space="preserve">), in higher ages groups (F: above 30-35 years and M: above 25-29 years), in lower education groups, among people living with a functional difficulty and in poorer wealth quintiles. </w:t>
      </w:r>
    </w:p>
    <w:p w14:paraId="77BB18F0" w14:textId="6EE8AC2F" w:rsidR="007A5E46" w:rsidRPr="00610088" w:rsidRDefault="007A5E46" w:rsidP="007A5E46">
      <w:pPr>
        <w:rPr>
          <w:sz w:val="18"/>
          <w:szCs w:val="18"/>
          <w:lang w:val="en-GB"/>
        </w:rPr>
      </w:pPr>
      <w:r w:rsidRPr="00610088">
        <w:rPr>
          <w:sz w:val="18"/>
          <w:szCs w:val="18"/>
          <w:lang w:val="en-GB"/>
        </w:rPr>
        <w:t xml:space="preserve">The number of cigarettes in the last 24 hours was higher for men than for women (&lt;5 cigarettes F 56.9% - M:25.8%; 5-9 cigarettes F 27.7% - M 33.2%; 10-19 cigarettes F13.7% - M 35.1%; 20+ cigarettes F 1.7% - M 6.0%). </w:t>
      </w:r>
      <w:r w:rsidRPr="00610088">
        <w:rPr>
          <w:sz w:val="18"/>
          <w:szCs w:val="18"/>
          <w:lang w:val="en-GB"/>
        </w:rPr>
        <w:fldChar w:fldCharType="begin"/>
      </w:r>
      <w:r w:rsidRPr="00610088">
        <w:rPr>
          <w:sz w:val="18"/>
          <w:szCs w:val="18"/>
          <w:lang w:val="en-GB"/>
        </w:rPr>
        <w:instrText xml:space="preserve"> NOTEREF _Ref17613464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7</w:t>
      </w:r>
      <w:r w:rsidRPr="00610088">
        <w:rPr>
          <w:sz w:val="18"/>
          <w:szCs w:val="18"/>
          <w:lang w:val="en-GB"/>
        </w:rPr>
        <w:fldChar w:fldCharType="end"/>
      </w:r>
      <w:r w:rsidRPr="00610088">
        <w:rPr>
          <w:sz w:val="18"/>
          <w:szCs w:val="18"/>
          <w:lang w:val="en-GB"/>
        </w:rPr>
        <w:t xml:space="preserve"> </w:t>
      </w:r>
    </w:p>
    <w:p w14:paraId="5FB8A5F2" w14:textId="77777777" w:rsidR="007A5E46" w:rsidRPr="00610088" w:rsidRDefault="007A5E46" w:rsidP="007A5E46">
      <w:pPr>
        <w:rPr>
          <w:sz w:val="18"/>
          <w:szCs w:val="18"/>
          <w:lang w:val="en-GB"/>
        </w:rPr>
      </w:pPr>
    </w:p>
    <w:p w14:paraId="49C3315F" w14:textId="18B57719" w:rsidR="007A5E46" w:rsidRPr="00610088" w:rsidRDefault="007A5E46" w:rsidP="007A5E46">
      <w:pPr>
        <w:rPr>
          <w:sz w:val="18"/>
          <w:szCs w:val="18"/>
          <w:lang w:val="en-GB"/>
        </w:rPr>
      </w:pPr>
      <w:r w:rsidRPr="00610088">
        <w:rPr>
          <w:sz w:val="18"/>
          <w:szCs w:val="18"/>
          <w:lang w:val="en-GB"/>
        </w:rPr>
        <w:t>Analysis of the recent Bo</w:t>
      </w:r>
      <w:r w:rsidR="002F142B" w:rsidRPr="00610088">
        <w:rPr>
          <w:sz w:val="18"/>
          <w:szCs w:val="18"/>
          <w:lang w:val="en-GB"/>
        </w:rPr>
        <w:t xml:space="preserve"> District</w:t>
      </w:r>
      <w:r w:rsidRPr="00610088">
        <w:rPr>
          <w:sz w:val="18"/>
          <w:szCs w:val="18"/>
          <w:lang w:val="en-GB"/>
        </w:rPr>
        <w:t xml:space="preserve"> CVD risk factor study </w:t>
      </w:r>
      <w:r w:rsidRPr="00610088">
        <w:rPr>
          <w:sz w:val="18"/>
          <w:szCs w:val="18"/>
          <w:vertAlign w:val="superscript"/>
          <w:lang w:val="en-GB"/>
        </w:rPr>
        <w:fldChar w:fldCharType="begin"/>
      </w:r>
      <w:r w:rsidRPr="00610088">
        <w:rPr>
          <w:sz w:val="18"/>
          <w:szCs w:val="18"/>
          <w:vertAlign w:val="superscript"/>
          <w:lang w:val="en-GB"/>
        </w:rPr>
        <w:instrText xml:space="preserve"> NOTEREF _Ref17030981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157</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t xml:space="preserve">in 2071 adults over 40 years of age found that 25% of the respondents were current smokers, with significantly more smokers among urban residents, males, younger ages, those with less education and those in poorer wealth quintiles in the multivariate analysis using population weights. </w:t>
      </w:r>
    </w:p>
    <w:p w14:paraId="6049D809" w14:textId="77777777" w:rsidR="007A5E46" w:rsidRPr="00610088" w:rsidRDefault="007A5E46" w:rsidP="007A5E46">
      <w:pPr>
        <w:rPr>
          <w:sz w:val="18"/>
          <w:szCs w:val="18"/>
          <w:lang w:val="en-GB"/>
        </w:rPr>
      </w:pPr>
    </w:p>
    <w:p w14:paraId="0BF1B8E6" w14:textId="5124FB13" w:rsidR="007A5E46" w:rsidRPr="00610088" w:rsidRDefault="007A5E46" w:rsidP="007A5E46">
      <w:pPr>
        <w:rPr>
          <w:sz w:val="18"/>
          <w:szCs w:val="18"/>
          <w:lang w:val="en-GB"/>
        </w:rPr>
      </w:pPr>
      <w:r w:rsidRPr="00610088">
        <w:rPr>
          <w:sz w:val="18"/>
          <w:szCs w:val="18"/>
          <w:lang w:val="en-GB"/>
        </w:rPr>
        <w:t xml:space="preserve">The </w:t>
      </w:r>
      <w:r w:rsidR="003B7251" w:rsidRPr="00610088">
        <w:rPr>
          <w:sz w:val="18"/>
          <w:szCs w:val="18"/>
          <w:lang w:val="en-GB"/>
        </w:rPr>
        <w:t>I</w:t>
      </w:r>
      <w:r w:rsidRPr="00610088">
        <w:rPr>
          <w:sz w:val="18"/>
          <w:szCs w:val="18"/>
          <w:lang w:val="en-GB"/>
        </w:rPr>
        <w:t xml:space="preserve">nvestment </w:t>
      </w:r>
      <w:r w:rsidR="003B7251" w:rsidRPr="00610088">
        <w:rPr>
          <w:sz w:val="18"/>
          <w:szCs w:val="18"/>
          <w:lang w:val="en-GB"/>
        </w:rPr>
        <w:t>C</w:t>
      </w:r>
      <w:r w:rsidRPr="00610088">
        <w:rPr>
          <w:sz w:val="18"/>
          <w:szCs w:val="18"/>
          <w:lang w:val="en-GB"/>
        </w:rPr>
        <w:t>ase for tobacco control in Sierra Leone estimates that 3,330 deaths per year in Sierra Leone are attributable to tobacco.</w:t>
      </w:r>
      <w:bookmarkStart w:id="187" w:name="_Ref32612442"/>
      <w:r w:rsidRPr="00610088">
        <w:rPr>
          <w:rStyle w:val="EndnoteReference"/>
          <w:sz w:val="18"/>
          <w:szCs w:val="18"/>
          <w:lang w:val="en-GB"/>
        </w:rPr>
        <w:endnoteReference w:id="176"/>
      </w:r>
      <w:bookmarkEnd w:id="187"/>
      <w:r w:rsidRPr="00610088">
        <w:rPr>
          <w:sz w:val="18"/>
          <w:szCs w:val="18"/>
          <w:lang w:val="en-GB"/>
        </w:rPr>
        <w:t xml:space="preserve">  Thus 1.5% of GDP is lost every year due to tobacco-related illnesses. For example, in 2017 SLL 404 billion was lost due to tobacco use, of which 73% from economic productivity losses. A package of 6 priority FCTC </w:t>
      </w:r>
      <w:r w:rsidRPr="00610088">
        <w:rPr>
          <w:sz w:val="18"/>
          <w:szCs w:val="18"/>
          <w:lang w:val="en-GB"/>
        </w:rPr>
        <w:lastRenderedPageBreak/>
        <w:t xml:space="preserve">interventions is proposed in the investment case: </w:t>
      </w:r>
      <w:r w:rsidR="00607B2D">
        <w:rPr>
          <w:sz w:val="18"/>
          <w:szCs w:val="18"/>
          <w:lang w:val="en-GB"/>
        </w:rPr>
        <w:t>r</w:t>
      </w:r>
      <w:r w:rsidRPr="00610088">
        <w:rPr>
          <w:sz w:val="18"/>
          <w:szCs w:val="18"/>
          <w:lang w:val="en-GB"/>
        </w:rPr>
        <w:t xml:space="preserve">aising cigarette taxes, protecting people from tobacco smoke, warning labels, plain packaging, mass media campaigns and bans on advertising. Implementing these 6 interventions can avert 19,900 deaths over 15 years and subsequently avoid SLL 1.9 billion economic losses. It is estimated that for every Sierra Leone </w:t>
      </w:r>
      <w:proofErr w:type="spellStart"/>
      <w:r w:rsidRPr="00610088">
        <w:rPr>
          <w:sz w:val="18"/>
          <w:szCs w:val="18"/>
          <w:lang w:val="en-GB"/>
        </w:rPr>
        <w:t>Leone</w:t>
      </w:r>
      <w:proofErr w:type="spellEnd"/>
      <w:r w:rsidRPr="00610088">
        <w:rPr>
          <w:sz w:val="18"/>
          <w:szCs w:val="18"/>
          <w:lang w:val="en-GB"/>
        </w:rPr>
        <w:t xml:space="preserve"> (SLL) invested in the 6 interventions now, Sierra Leone will receive SLL 26 by 2033, a 26:1 return on investment over 15 years of stronger tobacco control. </w:t>
      </w:r>
    </w:p>
    <w:p w14:paraId="534F0B0C" w14:textId="77777777" w:rsidR="007A5E46" w:rsidRPr="00610088" w:rsidRDefault="007A5E46" w:rsidP="007A5E46">
      <w:pPr>
        <w:rPr>
          <w:sz w:val="18"/>
          <w:szCs w:val="18"/>
          <w:lang w:val="en-GB"/>
        </w:rPr>
      </w:pPr>
    </w:p>
    <w:p w14:paraId="1A67ADBE" w14:textId="77777777" w:rsidR="007A5E46" w:rsidRPr="00610088" w:rsidRDefault="007A5E46" w:rsidP="006048F4">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Physical inactivity</w:t>
      </w:r>
    </w:p>
    <w:p w14:paraId="71941073" w14:textId="0DE66460" w:rsidR="007A5E46" w:rsidRPr="00610088" w:rsidRDefault="007A5E46" w:rsidP="007A5E46">
      <w:pPr>
        <w:tabs>
          <w:tab w:val="num" w:pos="720"/>
        </w:tabs>
        <w:rPr>
          <w:rFonts w:eastAsia="MS PGothic"/>
          <w:sz w:val="18"/>
          <w:szCs w:val="18"/>
          <w:lang w:val="en-GB"/>
        </w:rPr>
      </w:pPr>
      <w:r w:rsidRPr="00610088">
        <w:rPr>
          <w:rFonts w:eastAsiaTheme="minorEastAsia"/>
          <w:sz w:val="18"/>
          <w:szCs w:val="18"/>
          <w:lang w:val="en-GB"/>
        </w:rPr>
        <w:t xml:space="preserve">The 16.4% (M13.8%, F 18.9%) of the 25-64 adult respondents of the 2009 STEPS survey </w:t>
      </w:r>
      <w:r w:rsidRPr="00610088">
        <w:rPr>
          <w:rFonts w:eastAsiaTheme="minorEastAsia"/>
          <w:sz w:val="18"/>
          <w:szCs w:val="18"/>
          <w:lang w:val="en-GB"/>
        </w:rPr>
        <w:fldChar w:fldCharType="begin"/>
      </w:r>
      <w:r w:rsidRPr="00610088">
        <w:rPr>
          <w:rFonts w:eastAsiaTheme="minorEastAsia"/>
          <w:sz w:val="18"/>
          <w:szCs w:val="18"/>
          <w:lang w:val="en-GB"/>
        </w:rPr>
        <w:instrText xml:space="preserve"> NOTEREF _Ref17032158 \h  \* MERGEFORMAT </w:instrText>
      </w:r>
      <w:r w:rsidRPr="00610088">
        <w:rPr>
          <w:rFonts w:eastAsiaTheme="minorEastAsia"/>
          <w:sz w:val="18"/>
          <w:szCs w:val="18"/>
          <w:lang w:val="en-GB"/>
        </w:rPr>
      </w:r>
      <w:r w:rsidRPr="00610088">
        <w:rPr>
          <w:rFonts w:eastAsiaTheme="minorEastAsia"/>
          <w:sz w:val="18"/>
          <w:szCs w:val="18"/>
          <w:lang w:val="en-GB"/>
        </w:rPr>
        <w:fldChar w:fldCharType="separate"/>
      </w:r>
      <w:r w:rsidR="00CB360C" w:rsidRPr="00CB360C">
        <w:rPr>
          <w:rFonts w:eastAsiaTheme="minorEastAsia"/>
          <w:sz w:val="18"/>
          <w:szCs w:val="18"/>
          <w:vertAlign w:val="superscript"/>
          <w:lang w:val="en-GB"/>
        </w:rPr>
        <w:t>174</w:t>
      </w:r>
      <w:r w:rsidRPr="00610088">
        <w:rPr>
          <w:rFonts w:eastAsiaTheme="minorEastAsia"/>
          <w:sz w:val="18"/>
          <w:szCs w:val="18"/>
          <w:lang w:val="en-GB"/>
        </w:rPr>
        <w:fldChar w:fldCharType="end"/>
      </w:r>
      <w:r w:rsidRPr="00610088">
        <w:rPr>
          <w:rFonts w:eastAsiaTheme="minorEastAsia"/>
          <w:sz w:val="18"/>
          <w:szCs w:val="18"/>
          <w:lang w:val="en-GB"/>
        </w:rPr>
        <w:t xml:space="preserve"> had low levels of activity (defined as &lt; 600 MET-minutes per week). </w:t>
      </w:r>
      <w:r w:rsidRPr="00610088">
        <w:rPr>
          <w:rStyle w:val="EndnoteReference"/>
          <w:rFonts w:eastAsiaTheme="minorEastAsia"/>
          <w:sz w:val="18"/>
          <w:szCs w:val="18"/>
          <w:lang w:val="en-GB"/>
        </w:rPr>
        <w:endnoteReference w:id="177"/>
      </w:r>
      <w:r w:rsidRPr="00610088">
        <w:rPr>
          <w:rFonts w:eastAsiaTheme="minorEastAsia"/>
          <w:sz w:val="18"/>
          <w:szCs w:val="18"/>
          <w:lang w:val="en-GB"/>
        </w:rPr>
        <w:t xml:space="preserve">  The average time per day that respondents spent on physical activity was 248.6 minutes (M 300.0, F 214.9). Al most one third of the respondents (31.0% - M 21.7% vs F 39.8%) did not engage in vigorous activity. </w:t>
      </w:r>
    </w:p>
    <w:p w14:paraId="584804B6" w14:textId="77777777" w:rsidR="007A5E46" w:rsidRPr="00610088" w:rsidRDefault="007A5E46" w:rsidP="007A5E46">
      <w:pPr>
        <w:tabs>
          <w:tab w:val="num" w:pos="720"/>
        </w:tabs>
        <w:rPr>
          <w:rFonts w:eastAsia="MS PGothic"/>
          <w:sz w:val="18"/>
          <w:szCs w:val="18"/>
          <w:lang w:val="en-GB"/>
        </w:rPr>
      </w:pPr>
    </w:p>
    <w:p w14:paraId="5DE99A8C" w14:textId="1A51E950"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Preliminary analysis of the recent Bo </w:t>
      </w:r>
      <w:r w:rsidR="002F142B" w:rsidRPr="00610088">
        <w:rPr>
          <w:rFonts w:eastAsia="MS PGothic"/>
          <w:sz w:val="18"/>
          <w:szCs w:val="18"/>
          <w:lang w:val="en-GB"/>
        </w:rPr>
        <w:t xml:space="preserve">District </w:t>
      </w:r>
      <w:r w:rsidRPr="00610088">
        <w:rPr>
          <w:rFonts w:eastAsia="MS PGothic"/>
          <w:sz w:val="18"/>
          <w:szCs w:val="18"/>
          <w:lang w:val="en-GB"/>
        </w:rPr>
        <w:t>CVD risk factor study</w:t>
      </w:r>
      <w:r w:rsidRPr="00610088">
        <w:rPr>
          <w:rFonts w:eastAsia="MS PGothic"/>
          <w:sz w:val="18"/>
          <w:szCs w:val="18"/>
          <w:vertAlign w:val="superscript"/>
          <w:lang w:val="en-GB"/>
        </w:rPr>
        <w:t xml:space="preserve">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_Ref17030981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157</w:t>
      </w:r>
      <w:r w:rsidRPr="00610088">
        <w:rPr>
          <w:rFonts w:eastAsia="MS PGothic"/>
          <w:sz w:val="18"/>
          <w:szCs w:val="18"/>
          <w:vertAlign w:val="superscript"/>
          <w:lang w:val="en-GB"/>
        </w:rPr>
        <w:fldChar w:fldCharType="end"/>
      </w:r>
      <w:r w:rsidRPr="00610088">
        <w:rPr>
          <w:rFonts w:eastAsia="MS PGothic"/>
          <w:sz w:val="18"/>
          <w:szCs w:val="18"/>
          <w:lang w:val="en-GB"/>
        </w:rPr>
        <w:t xml:space="preserve"> among 2071 over </w:t>
      </w:r>
      <w:proofErr w:type="gramStart"/>
      <w:r w:rsidRPr="00610088">
        <w:rPr>
          <w:rFonts w:eastAsia="MS PGothic"/>
          <w:sz w:val="18"/>
          <w:szCs w:val="18"/>
          <w:lang w:val="en-GB"/>
        </w:rPr>
        <w:t>40 year</w:t>
      </w:r>
      <w:proofErr w:type="gramEnd"/>
      <w:r w:rsidRPr="00610088">
        <w:rPr>
          <w:rFonts w:eastAsia="MS PGothic"/>
          <w:sz w:val="18"/>
          <w:szCs w:val="18"/>
          <w:lang w:val="en-GB"/>
        </w:rPr>
        <w:t xml:space="preserve"> adults showed a mean Moderate to Vigorous Physical Activities (MVPA) of 4.5 hours per day and a mean of 3.15 sedentary hours per day.  Over 90% of participants met the WHO recommendations of &gt; 150 minutes MVPA per week.</w:t>
      </w:r>
      <w:r w:rsidR="00637715" w:rsidRPr="00610088">
        <w:rPr>
          <w:rStyle w:val="EndnoteReference"/>
          <w:rFonts w:eastAsia="MS PGothic"/>
          <w:sz w:val="18"/>
          <w:szCs w:val="18"/>
          <w:lang w:val="en-GB"/>
        </w:rPr>
        <w:endnoteReference w:id="178"/>
      </w:r>
      <w:r w:rsidRPr="00610088">
        <w:rPr>
          <w:rFonts w:eastAsia="MS PGothic"/>
          <w:sz w:val="18"/>
          <w:szCs w:val="18"/>
          <w:lang w:val="en-GB"/>
        </w:rPr>
        <w:t xml:space="preserve"> MVPA appears to be less in urban respondents, in female respondents, in older respondents and in higher wealth quintiles. </w:t>
      </w:r>
    </w:p>
    <w:p w14:paraId="65DAE44B" w14:textId="77777777" w:rsidR="007A5E46" w:rsidRPr="00610088" w:rsidRDefault="007A5E46" w:rsidP="007A5E46">
      <w:pPr>
        <w:tabs>
          <w:tab w:val="num" w:pos="720"/>
        </w:tabs>
        <w:rPr>
          <w:rFonts w:eastAsia="MS PGothic"/>
          <w:sz w:val="18"/>
          <w:szCs w:val="18"/>
          <w:lang w:val="en-GB"/>
        </w:rPr>
      </w:pPr>
    </w:p>
    <w:p w14:paraId="1974FF9E" w14:textId="77777777" w:rsidR="007A5E46" w:rsidRPr="00610088" w:rsidRDefault="007A5E46" w:rsidP="006048F4">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Harmful use of alcohol</w:t>
      </w:r>
    </w:p>
    <w:p w14:paraId="387F193B" w14:textId="1AB33C99" w:rsidR="007A5E46" w:rsidRPr="00610088" w:rsidRDefault="007A5E46" w:rsidP="007A5E46">
      <w:pPr>
        <w:rPr>
          <w:sz w:val="18"/>
          <w:szCs w:val="18"/>
          <w:vertAlign w:val="superscript"/>
          <w:lang w:val="en-GB"/>
        </w:rPr>
      </w:pPr>
      <w:r w:rsidRPr="00610088">
        <w:rPr>
          <w:sz w:val="18"/>
          <w:szCs w:val="18"/>
          <w:lang w:val="en-GB"/>
        </w:rPr>
        <w:t>The STEPS 2009 survey among 25-64 adults found that 17.2% of the respondents are current drinkers (</w:t>
      </w:r>
      <w:proofErr w:type="gramStart"/>
      <w:r w:rsidRPr="00610088">
        <w:rPr>
          <w:sz w:val="18"/>
          <w:szCs w:val="18"/>
          <w:lang w:val="en-GB"/>
        </w:rPr>
        <w:t>i.e.</w:t>
      </w:r>
      <w:proofErr w:type="gramEnd"/>
      <w:r w:rsidRPr="00610088">
        <w:rPr>
          <w:sz w:val="18"/>
          <w:szCs w:val="18"/>
          <w:lang w:val="en-GB"/>
        </w:rPr>
        <w:t xml:space="preserve"> drank alcohol in the past 30 days) with a clear difference between males and females (24.4% versus 10.9%). The percentage who </w:t>
      </w:r>
      <w:proofErr w:type="gramStart"/>
      <w:r w:rsidRPr="00610088">
        <w:rPr>
          <w:sz w:val="18"/>
          <w:szCs w:val="18"/>
          <w:lang w:val="en-GB"/>
        </w:rPr>
        <w:t>engage</w:t>
      </w:r>
      <w:proofErr w:type="gramEnd"/>
      <w:r w:rsidRPr="00610088">
        <w:rPr>
          <w:sz w:val="18"/>
          <w:szCs w:val="18"/>
          <w:lang w:val="en-GB"/>
        </w:rPr>
        <w:t xml:space="preserve"> in heavy episodic drinking (i.e. male 5 or female 4 or more drinks on any day in the past 30 days) was also higher from men (14.3%) than for women (5.2%). 68.1% of respondents (M 59.4%, F75.7%) are lifetime abstainers, while 10.2% (M 11.6%, F 9.1%) are past </w:t>
      </w:r>
      <w:proofErr w:type="gramStart"/>
      <w:r w:rsidRPr="00610088">
        <w:rPr>
          <w:sz w:val="18"/>
          <w:szCs w:val="18"/>
          <w:lang w:val="en-GB"/>
        </w:rPr>
        <w:t>12 month</w:t>
      </w:r>
      <w:proofErr w:type="gramEnd"/>
      <w:r w:rsidRPr="00610088">
        <w:rPr>
          <w:sz w:val="18"/>
          <w:szCs w:val="18"/>
          <w:lang w:val="en-GB"/>
        </w:rPr>
        <w:t xml:space="preserve"> abstainers.</w:t>
      </w:r>
      <w:r w:rsidRPr="00610088">
        <w:rPr>
          <w:sz w:val="18"/>
          <w:szCs w:val="18"/>
          <w:vertAlign w:val="superscript"/>
          <w:lang w:val="en-GB"/>
        </w:rPr>
        <w:fldChar w:fldCharType="begin"/>
      </w:r>
      <w:r w:rsidRPr="00610088">
        <w:rPr>
          <w:sz w:val="18"/>
          <w:szCs w:val="18"/>
          <w:vertAlign w:val="superscript"/>
          <w:lang w:val="en-GB"/>
        </w:rPr>
        <w:instrText xml:space="preserve"> NOTEREF _Ref17032158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174</w:t>
      </w:r>
      <w:r w:rsidRPr="00610088">
        <w:rPr>
          <w:sz w:val="18"/>
          <w:szCs w:val="18"/>
          <w:vertAlign w:val="superscript"/>
          <w:lang w:val="en-GB"/>
        </w:rPr>
        <w:fldChar w:fldCharType="end"/>
      </w:r>
    </w:p>
    <w:p w14:paraId="7EF7B52F" w14:textId="77777777" w:rsidR="007A5E46" w:rsidRPr="00610088" w:rsidRDefault="007A5E46" w:rsidP="007A5E46">
      <w:pPr>
        <w:rPr>
          <w:sz w:val="18"/>
          <w:szCs w:val="18"/>
          <w:vertAlign w:val="superscript"/>
          <w:lang w:val="en-GB"/>
        </w:rPr>
      </w:pPr>
    </w:p>
    <w:p w14:paraId="7FEEDA96" w14:textId="4E687012" w:rsidR="007A5E46" w:rsidRPr="00610088" w:rsidRDefault="007A5E46" w:rsidP="007A5E46">
      <w:pPr>
        <w:rPr>
          <w:sz w:val="18"/>
          <w:szCs w:val="18"/>
          <w:lang w:val="en-GB"/>
        </w:rPr>
      </w:pPr>
      <w:r w:rsidRPr="00610088">
        <w:rPr>
          <w:sz w:val="18"/>
          <w:szCs w:val="18"/>
          <w:lang w:val="en-GB"/>
        </w:rPr>
        <w:t xml:space="preserve">Early alcohol use was low in the MICS 2017 </w:t>
      </w:r>
      <w:r w:rsidRPr="00610088">
        <w:rPr>
          <w:sz w:val="18"/>
          <w:szCs w:val="18"/>
          <w:vertAlign w:val="superscript"/>
          <w:lang w:val="en-GB"/>
        </w:rPr>
        <w:fldChar w:fldCharType="begin"/>
      </w:r>
      <w:r w:rsidRPr="00610088">
        <w:rPr>
          <w:sz w:val="18"/>
          <w:szCs w:val="18"/>
          <w:vertAlign w:val="superscript"/>
          <w:lang w:val="en-GB"/>
        </w:rPr>
        <w:instrText xml:space="preserve"> NOTEREF _Ref16853648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lang w:val="en-GB"/>
        </w:rPr>
        <w:t xml:space="preserve"> with only 0.4% of the women and 3.1% of the women aged 15-49 years who had at least one alcoholic drink before age 15. Current alcohol use was higher with 2.0% of the women and 11.3% of the men taking at least one alcoholic drink in the last month. There was no urban-rural difference for current alcohol use, but there was more alcohol use in Kailahun and Bo districts and above 30 years of age.  </w:t>
      </w:r>
    </w:p>
    <w:p w14:paraId="094498EB" w14:textId="77777777" w:rsidR="007A5E46" w:rsidRPr="00610088" w:rsidRDefault="007A5E46" w:rsidP="007A5E46">
      <w:pPr>
        <w:rPr>
          <w:sz w:val="18"/>
          <w:szCs w:val="18"/>
          <w:lang w:val="en-GB"/>
        </w:rPr>
      </w:pPr>
    </w:p>
    <w:p w14:paraId="27AB1C8E" w14:textId="78D1AB90" w:rsidR="007A5E46" w:rsidRPr="00610088" w:rsidRDefault="007A5E46" w:rsidP="007A5E46">
      <w:pPr>
        <w:rPr>
          <w:sz w:val="18"/>
          <w:szCs w:val="18"/>
          <w:lang w:val="en-GB"/>
        </w:rPr>
      </w:pPr>
      <w:r w:rsidRPr="00610088">
        <w:rPr>
          <w:sz w:val="18"/>
          <w:szCs w:val="18"/>
          <w:lang w:val="en-GB"/>
        </w:rPr>
        <w:t xml:space="preserve">Harmful use of alcohol causes or contributes to alcohol use disorders, suicides, interpersonal violence, traffic injuries, epilepsy, several cancers (mouth, colorectal, breast), liver cirrhosis, pancreatitis and hypertensive heart disease. </w:t>
      </w:r>
      <w:r w:rsidRPr="00610088">
        <w:rPr>
          <w:rStyle w:val="EndnoteReference"/>
          <w:sz w:val="18"/>
          <w:szCs w:val="18"/>
          <w:lang w:val="en-GB"/>
        </w:rPr>
        <w:endnoteReference w:id="179"/>
      </w:r>
      <w:r w:rsidRPr="00610088">
        <w:rPr>
          <w:sz w:val="18"/>
          <w:szCs w:val="18"/>
          <w:lang w:val="en-GB"/>
        </w:rPr>
        <w:t xml:space="preserve">  The DHS 2013 showed a strong relationship between alcohol consumption and husband’s tendency to be violent. Women whose husbands are often drunk are more likely (67%) to experience any form of violence (emotional, physical or sexual) than women whose husbands do not drink alcohol (48%). </w:t>
      </w:r>
      <w:r w:rsidRPr="00610088">
        <w:rPr>
          <w:sz w:val="18"/>
          <w:szCs w:val="18"/>
          <w:vertAlign w:val="superscript"/>
          <w:lang w:val="en-GB"/>
        </w:rPr>
        <w:fldChar w:fldCharType="begin"/>
      </w:r>
      <w:r w:rsidRPr="00610088">
        <w:rPr>
          <w:sz w:val="18"/>
          <w:szCs w:val="18"/>
          <w:vertAlign w:val="superscript"/>
          <w:lang w:val="en-GB"/>
        </w:rPr>
        <w:instrText xml:space="preserve"> NOTEREF _Ref17298289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8</w:t>
      </w:r>
      <w:r w:rsidRPr="00610088">
        <w:rPr>
          <w:sz w:val="18"/>
          <w:szCs w:val="18"/>
          <w:vertAlign w:val="superscript"/>
          <w:lang w:val="en-GB"/>
        </w:rPr>
        <w:fldChar w:fldCharType="end"/>
      </w:r>
    </w:p>
    <w:p w14:paraId="6A733B5D" w14:textId="77777777" w:rsidR="007A5E46" w:rsidRPr="00610088" w:rsidRDefault="007A5E46" w:rsidP="007A5E46">
      <w:pPr>
        <w:rPr>
          <w:sz w:val="18"/>
          <w:szCs w:val="18"/>
          <w:lang w:val="en-GB"/>
        </w:rPr>
      </w:pPr>
    </w:p>
    <w:p w14:paraId="61B95F6F" w14:textId="77777777" w:rsidR="007A5E46" w:rsidRPr="00610088" w:rsidRDefault="007A5E46" w:rsidP="006048F4">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Unhealthy diets</w:t>
      </w:r>
    </w:p>
    <w:p w14:paraId="50EA65DD" w14:textId="53DE1810" w:rsidR="007A5E46" w:rsidRPr="00610088" w:rsidRDefault="007A5E46" w:rsidP="007A5E46">
      <w:pPr>
        <w:tabs>
          <w:tab w:val="num" w:pos="720"/>
        </w:tabs>
        <w:rPr>
          <w:rFonts w:eastAsia="MS PGothic"/>
          <w:sz w:val="18"/>
          <w:szCs w:val="18"/>
          <w:lang w:val="en-GB"/>
        </w:rPr>
      </w:pPr>
      <w:r w:rsidRPr="00610088">
        <w:rPr>
          <w:rFonts w:eastAsiaTheme="minorEastAsia"/>
          <w:sz w:val="18"/>
          <w:szCs w:val="18"/>
          <w:lang w:val="en-GB"/>
        </w:rPr>
        <w:t xml:space="preserve">In the STEPS 2009 survey among adults of 25-64 years </w:t>
      </w:r>
      <w:r w:rsidRPr="00610088">
        <w:rPr>
          <w:rFonts w:eastAsiaTheme="minorEastAsia"/>
          <w:sz w:val="18"/>
          <w:szCs w:val="18"/>
          <w:lang w:val="en-GB"/>
        </w:rPr>
        <w:fldChar w:fldCharType="begin"/>
      </w:r>
      <w:r w:rsidRPr="00610088">
        <w:rPr>
          <w:rFonts w:eastAsiaTheme="minorEastAsia"/>
          <w:sz w:val="18"/>
          <w:szCs w:val="18"/>
          <w:lang w:val="en-GB"/>
        </w:rPr>
        <w:instrText xml:space="preserve"> NOTEREF _Ref17032158 \f \h  \* MERGEFORMAT </w:instrText>
      </w:r>
      <w:r w:rsidRPr="00610088">
        <w:rPr>
          <w:rFonts w:eastAsiaTheme="minorEastAsia"/>
          <w:sz w:val="18"/>
          <w:szCs w:val="18"/>
          <w:lang w:val="en-GB"/>
        </w:rPr>
      </w:r>
      <w:r w:rsidRPr="00610088">
        <w:rPr>
          <w:rFonts w:eastAsiaTheme="minorEastAsia"/>
          <w:sz w:val="18"/>
          <w:szCs w:val="18"/>
          <w:lang w:val="en-GB"/>
        </w:rPr>
        <w:fldChar w:fldCharType="separate"/>
      </w:r>
      <w:r w:rsidR="00CB360C" w:rsidRPr="00CB360C">
        <w:rPr>
          <w:rStyle w:val="EndnoteReference"/>
          <w:sz w:val="18"/>
          <w:szCs w:val="18"/>
          <w:lang w:val="en-GB"/>
        </w:rPr>
        <w:t>174</w:t>
      </w:r>
      <w:r w:rsidRPr="00610088">
        <w:rPr>
          <w:rFonts w:eastAsiaTheme="minorEastAsia"/>
          <w:sz w:val="18"/>
          <w:szCs w:val="18"/>
          <w:lang w:val="en-GB"/>
        </w:rPr>
        <w:fldChar w:fldCharType="end"/>
      </w:r>
      <w:r w:rsidRPr="00610088">
        <w:rPr>
          <w:rFonts w:eastAsiaTheme="minorEastAsia"/>
          <w:sz w:val="18"/>
          <w:szCs w:val="18"/>
          <w:vertAlign w:val="superscript"/>
          <w:lang w:val="en-GB"/>
        </w:rPr>
        <w:t xml:space="preserve">, </w:t>
      </w:r>
      <w:r w:rsidRPr="00610088">
        <w:rPr>
          <w:rFonts w:eastAsiaTheme="minorEastAsia"/>
          <w:sz w:val="18"/>
          <w:szCs w:val="18"/>
          <w:lang w:val="en-GB"/>
        </w:rPr>
        <w:fldChar w:fldCharType="begin"/>
      </w:r>
      <w:r w:rsidRPr="00610088">
        <w:rPr>
          <w:rFonts w:eastAsiaTheme="minorEastAsia"/>
          <w:sz w:val="18"/>
          <w:szCs w:val="18"/>
          <w:lang w:val="en-GB"/>
        </w:rPr>
        <w:instrText xml:space="preserve"> NOTEREF _Ref17040725 \f \h  \* MERGEFORMAT </w:instrText>
      </w:r>
      <w:r w:rsidRPr="00610088">
        <w:rPr>
          <w:rFonts w:eastAsiaTheme="minorEastAsia"/>
          <w:sz w:val="18"/>
          <w:szCs w:val="18"/>
          <w:lang w:val="en-GB"/>
        </w:rPr>
      </w:r>
      <w:r w:rsidRPr="00610088">
        <w:rPr>
          <w:rFonts w:eastAsiaTheme="minorEastAsia"/>
          <w:sz w:val="18"/>
          <w:szCs w:val="18"/>
          <w:lang w:val="en-GB"/>
        </w:rPr>
        <w:fldChar w:fldCharType="separate"/>
      </w:r>
      <w:r w:rsidR="00CB360C" w:rsidRPr="00CB360C">
        <w:rPr>
          <w:rStyle w:val="EndnoteReference"/>
          <w:sz w:val="18"/>
          <w:szCs w:val="18"/>
          <w:lang w:val="en-GB"/>
        </w:rPr>
        <w:t>175</w:t>
      </w:r>
      <w:r w:rsidRPr="00610088">
        <w:rPr>
          <w:rFonts w:eastAsiaTheme="minorEastAsia"/>
          <w:sz w:val="18"/>
          <w:szCs w:val="18"/>
          <w:lang w:val="en-GB"/>
        </w:rPr>
        <w:fldChar w:fldCharType="end"/>
      </w:r>
      <w:r w:rsidRPr="00610088">
        <w:rPr>
          <w:rFonts w:eastAsiaTheme="minorEastAsia"/>
          <w:sz w:val="18"/>
          <w:szCs w:val="18"/>
          <w:lang w:val="en-GB"/>
        </w:rPr>
        <w:t xml:space="preserve"> 91% of both the male and female the respondents ate </w:t>
      </w:r>
      <w:r w:rsidRPr="00610088">
        <w:rPr>
          <w:rFonts w:eastAsia="MS PGothic"/>
          <w:sz w:val="18"/>
          <w:szCs w:val="18"/>
          <w:lang w:val="en-GB"/>
        </w:rPr>
        <w:t>less than 5 servings of fruits and/or vegetables on average per day</w:t>
      </w:r>
      <w:r w:rsidR="00637715" w:rsidRPr="00610088">
        <w:rPr>
          <w:rFonts w:eastAsia="MS PGothic"/>
          <w:sz w:val="18"/>
          <w:szCs w:val="18"/>
          <w:lang w:val="en-GB"/>
        </w:rPr>
        <w:t>, as recommended by WHO</w:t>
      </w:r>
      <w:r w:rsidR="00407048" w:rsidRPr="00610088">
        <w:rPr>
          <w:rFonts w:eastAsia="MS PGothic"/>
          <w:sz w:val="18"/>
          <w:szCs w:val="18"/>
          <w:lang w:val="en-GB"/>
        </w:rPr>
        <w:t xml:space="preserve">. </w:t>
      </w:r>
      <w:r w:rsidR="00407048" w:rsidRPr="00610088">
        <w:rPr>
          <w:rStyle w:val="EndnoteReference"/>
          <w:rFonts w:eastAsia="MS PGothic"/>
          <w:sz w:val="18"/>
          <w:szCs w:val="18"/>
          <w:lang w:val="en-GB"/>
        </w:rPr>
        <w:endnoteReference w:id="180"/>
      </w:r>
      <w:r w:rsidRPr="00610088">
        <w:rPr>
          <w:rFonts w:eastAsia="MS PGothic"/>
          <w:sz w:val="18"/>
          <w:szCs w:val="18"/>
          <w:lang w:val="en-GB"/>
        </w:rPr>
        <w:t xml:space="preserve"> On average on 3.4 days fruits and on 1.2 days vegetables were consumed, with not much difference between males and females. The average servings also did not differ between males and females and were 1.5 and 1.</w:t>
      </w:r>
      <w:r w:rsidR="00637715" w:rsidRPr="00610088">
        <w:rPr>
          <w:rFonts w:eastAsia="MS PGothic"/>
          <w:sz w:val="18"/>
          <w:szCs w:val="18"/>
          <w:lang w:val="en-GB"/>
        </w:rPr>
        <w:t>2</w:t>
      </w:r>
      <w:r w:rsidRPr="00610088">
        <w:rPr>
          <w:rFonts w:eastAsia="MS PGothic"/>
          <w:sz w:val="18"/>
          <w:szCs w:val="18"/>
          <w:lang w:val="en-GB"/>
        </w:rPr>
        <w:t xml:space="preserve"> per day respectively for fruits and vegetables.  </w:t>
      </w:r>
    </w:p>
    <w:p w14:paraId="768A31A7" w14:textId="6EA3967F" w:rsidR="00407048" w:rsidRPr="00610088" w:rsidRDefault="00407048" w:rsidP="00407048">
      <w:pPr>
        <w:rPr>
          <w:rFonts w:eastAsia="MS PGothic"/>
          <w:sz w:val="18"/>
          <w:szCs w:val="18"/>
          <w:lang w:val="en-GB"/>
        </w:rPr>
      </w:pPr>
      <w:r w:rsidRPr="00610088">
        <w:rPr>
          <w:rFonts w:eastAsia="MS PGothic"/>
          <w:sz w:val="18"/>
          <w:szCs w:val="18"/>
          <w:lang w:val="en-GB"/>
        </w:rPr>
        <w:t>Preliminary analysis of the recent Bo</w:t>
      </w:r>
      <w:r w:rsidR="002F142B" w:rsidRPr="00610088">
        <w:rPr>
          <w:rFonts w:eastAsia="MS PGothic"/>
          <w:sz w:val="18"/>
          <w:szCs w:val="18"/>
          <w:lang w:val="en-GB"/>
        </w:rPr>
        <w:t xml:space="preserve"> District</w:t>
      </w:r>
      <w:r w:rsidRPr="00610088">
        <w:rPr>
          <w:rFonts w:eastAsia="MS PGothic"/>
          <w:sz w:val="18"/>
          <w:szCs w:val="18"/>
          <w:lang w:val="en-GB"/>
        </w:rPr>
        <w:t xml:space="preserve"> CVD risk factor study</w:t>
      </w:r>
      <w:r w:rsidRPr="00610088">
        <w:rPr>
          <w:rFonts w:eastAsia="MS PGothic"/>
          <w:sz w:val="18"/>
          <w:szCs w:val="18"/>
          <w:vertAlign w:val="superscript"/>
          <w:lang w:val="en-GB"/>
        </w:rPr>
        <w:t xml:space="preserve">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_Ref17030981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157</w:t>
      </w:r>
      <w:r w:rsidRPr="00610088">
        <w:rPr>
          <w:rFonts w:eastAsia="MS PGothic"/>
          <w:sz w:val="18"/>
          <w:szCs w:val="18"/>
          <w:vertAlign w:val="superscript"/>
          <w:lang w:val="en-GB"/>
        </w:rPr>
        <w:fldChar w:fldCharType="end"/>
      </w:r>
      <w:r w:rsidRPr="00610088">
        <w:rPr>
          <w:rFonts w:eastAsia="MS PGothic"/>
          <w:sz w:val="18"/>
          <w:szCs w:val="18"/>
          <w:lang w:val="en-GB"/>
        </w:rPr>
        <w:t xml:space="preserve"> among 2071 over </w:t>
      </w:r>
      <w:proofErr w:type="gramStart"/>
      <w:r w:rsidRPr="00610088">
        <w:rPr>
          <w:rFonts w:eastAsia="MS PGothic"/>
          <w:sz w:val="18"/>
          <w:szCs w:val="18"/>
          <w:lang w:val="en-GB"/>
        </w:rPr>
        <w:t>40 year</w:t>
      </w:r>
      <w:proofErr w:type="gramEnd"/>
      <w:r w:rsidRPr="00610088">
        <w:rPr>
          <w:rFonts w:eastAsia="MS PGothic"/>
          <w:sz w:val="18"/>
          <w:szCs w:val="18"/>
          <w:lang w:val="en-GB"/>
        </w:rPr>
        <w:t xml:space="preserve"> adults showed that most people (around 80%) consumed fewer than 5 portions of fruits and/or vegetables per day and over 90% of participants reported always adding salt to food during preparation. WHO recommends a salt intake of less than 5 grams per </w:t>
      </w:r>
      <w:proofErr w:type="gramStart"/>
      <w:r w:rsidRPr="00610088">
        <w:rPr>
          <w:rFonts w:eastAsia="MS PGothic"/>
          <w:sz w:val="18"/>
          <w:szCs w:val="18"/>
          <w:lang w:val="en-GB"/>
        </w:rPr>
        <w:t>day.</w:t>
      </w:r>
      <w:proofErr w:type="gramEnd"/>
      <w:r w:rsidRPr="00610088">
        <w:rPr>
          <w:rStyle w:val="EndnoteReference"/>
          <w:rFonts w:eastAsia="MS PGothic"/>
          <w:sz w:val="18"/>
          <w:szCs w:val="18"/>
          <w:lang w:val="en-GB"/>
        </w:rPr>
        <w:endnoteReference w:id="181"/>
      </w:r>
    </w:p>
    <w:p w14:paraId="2D8D0F00" w14:textId="454C6714" w:rsidR="00407048" w:rsidRPr="00610088" w:rsidRDefault="00407048" w:rsidP="00407048">
      <w:pPr>
        <w:rPr>
          <w:sz w:val="18"/>
          <w:szCs w:val="18"/>
          <w:lang w:val="en-GB"/>
        </w:rPr>
      </w:pPr>
      <w:r w:rsidRPr="00610088">
        <w:rPr>
          <w:sz w:val="18"/>
          <w:szCs w:val="18"/>
          <w:lang w:val="en-GB"/>
        </w:rPr>
        <w:t xml:space="preserve">A diabetes prevalence study in Bo district among 501 adults, published in 1997, found – although there was a higher urban BMI </w:t>
      </w:r>
      <w:r w:rsidR="002E6DF3">
        <w:rPr>
          <w:sz w:val="18"/>
          <w:szCs w:val="18"/>
          <w:lang w:val="en-GB"/>
        </w:rPr>
        <w:t xml:space="preserve">(Body Mass Index) </w:t>
      </w:r>
      <w:r w:rsidRPr="00610088">
        <w:rPr>
          <w:sz w:val="18"/>
          <w:szCs w:val="18"/>
          <w:lang w:val="en-GB"/>
        </w:rPr>
        <w:t xml:space="preserve">than rural BMI - that dietary habits were similar in both urban and rural adults. </w:t>
      </w:r>
      <w:r w:rsidRPr="00610088">
        <w:rPr>
          <w:sz w:val="18"/>
          <w:szCs w:val="18"/>
          <w:vertAlign w:val="superscript"/>
          <w:lang w:val="en-GB"/>
        </w:rPr>
        <w:fldChar w:fldCharType="begin"/>
      </w:r>
      <w:r w:rsidRPr="00610088">
        <w:rPr>
          <w:sz w:val="18"/>
          <w:szCs w:val="18"/>
          <w:vertAlign w:val="superscript"/>
          <w:lang w:val="en-GB"/>
        </w:rPr>
        <w:instrText xml:space="preserve"> NOTEREF _Ref17204703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155</w:t>
      </w:r>
      <w:r w:rsidRPr="00610088">
        <w:rPr>
          <w:sz w:val="18"/>
          <w:szCs w:val="18"/>
          <w:vertAlign w:val="superscript"/>
          <w:lang w:val="en-GB"/>
        </w:rPr>
        <w:fldChar w:fldCharType="end"/>
      </w:r>
      <w:r w:rsidRPr="00610088">
        <w:rPr>
          <w:sz w:val="18"/>
          <w:szCs w:val="18"/>
          <w:lang w:val="en-GB"/>
        </w:rPr>
        <w:t xml:space="preserve">  </w:t>
      </w:r>
    </w:p>
    <w:p w14:paraId="2FD8DC6D" w14:textId="77777777" w:rsidR="00407048" w:rsidRPr="00610088" w:rsidRDefault="00407048" w:rsidP="00407048">
      <w:pPr>
        <w:rPr>
          <w:rFonts w:eastAsia="MS PGothic"/>
          <w:sz w:val="18"/>
          <w:szCs w:val="18"/>
          <w:lang w:val="en-GB"/>
        </w:rPr>
      </w:pPr>
    </w:p>
    <w:p w14:paraId="571C6A1C" w14:textId="53E3C695" w:rsidR="00407048" w:rsidRPr="00610088" w:rsidRDefault="007A5E46" w:rsidP="00407048">
      <w:pPr>
        <w:tabs>
          <w:tab w:val="num" w:pos="720"/>
        </w:tabs>
        <w:rPr>
          <w:rFonts w:eastAsia="MS PGothic"/>
          <w:sz w:val="18"/>
          <w:szCs w:val="18"/>
          <w:vertAlign w:val="superscript"/>
          <w:lang w:val="en-GB"/>
        </w:rPr>
      </w:pPr>
      <w:r w:rsidRPr="00610088">
        <w:rPr>
          <w:rFonts w:eastAsia="MS PGothic"/>
          <w:sz w:val="18"/>
          <w:szCs w:val="18"/>
          <w:lang w:val="en-GB"/>
        </w:rPr>
        <w:t>Exclusive breastfeeding under 6 months has increased from 11% (2008) and 32% (2013) to 52.2% in 2017</w:t>
      </w:r>
      <w:r w:rsidR="00407048" w:rsidRPr="00610088">
        <w:rPr>
          <w:rFonts w:eastAsia="MS PGothic"/>
          <w:sz w:val="18"/>
          <w:szCs w:val="18"/>
          <w:lang w:val="en-GB"/>
        </w:rPr>
        <w:t xml:space="preserve"> and 54.1% in 2019</w:t>
      </w:r>
      <w:r w:rsidRPr="00610088">
        <w:rPr>
          <w:rFonts w:eastAsia="MS PGothic"/>
          <w:sz w:val="18"/>
          <w:szCs w:val="18"/>
          <w:lang w:val="en-GB"/>
        </w:rPr>
        <w:t xml:space="preserve">.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_Ref17613464 \f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sidRPr="00CB360C">
        <w:rPr>
          <w:rStyle w:val="EndnoteReference"/>
          <w:sz w:val="18"/>
          <w:szCs w:val="18"/>
          <w:lang w:val="en-GB"/>
        </w:rPr>
        <w:t>7</w:t>
      </w:r>
      <w:r w:rsidRPr="00610088">
        <w:rPr>
          <w:rFonts w:eastAsia="MS PGothic"/>
          <w:sz w:val="18"/>
          <w:szCs w:val="18"/>
          <w:vertAlign w:val="superscript"/>
          <w:lang w:val="en-GB"/>
        </w:rPr>
        <w:fldChar w:fldCharType="end"/>
      </w:r>
      <w:r w:rsidRPr="00610088">
        <w:rPr>
          <w:rFonts w:eastAsia="MS PGothic"/>
          <w:sz w:val="18"/>
          <w:szCs w:val="18"/>
          <w:vertAlign w:val="superscript"/>
          <w:lang w:val="en-GB"/>
        </w:rPr>
        <w:t xml:space="preserve">,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_Ref17298289 \f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sidRPr="00CB360C">
        <w:rPr>
          <w:rStyle w:val="EndnoteReference"/>
          <w:sz w:val="18"/>
          <w:szCs w:val="18"/>
          <w:lang w:val="en-GB"/>
        </w:rPr>
        <w:t>8</w:t>
      </w:r>
      <w:r w:rsidRPr="00610088">
        <w:rPr>
          <w:rFonts w:eastAsia="MS PGothic"/>
          <w:sz w:val="18"/>
          <w:szCs w:val="18"/>
          <w:vertAlign w:val="superscript"/>
          <w:lang w:val="en-GB"/>
        </w:rPr>
        <w:fldChar w:fldCharType="end"/>
      </w:r>
      <w:r w:rsidRPr="00610088">
        <w:rPr>
          <w:rFonts w:eastAsia="MS PGothic"/>
          <w:sz w:val="18"/>
          <w:szCs w:val="18"/>
          <w:vertAlign w:val="superscript"/>
          <w:lang w:val="en-GB"/>
        </w:rPr>
        <w:t>,</w:t>
      </w:r>
      <w:r w:rsidR="00407048" w:rsidRPr="00610088">
        <w:rPr>
          <w:rFonts w:eastAsia="MS PGothic"/>
          <w:sz w:val="18"/>
          <w:szCs w:val="18"/>
          <w:vertAlign w:val="superscript"/>
          <w:lang w:val="en-GB"/>
        </w:rPr>
        <w:t xml:space="preserve"> </w:t>
      </w:r>
      <w:r w:rsidR="00407048" w:rsidRPr="00610088">
        <w:rPr>
          <w:rFonts w:eastAsia="MS PGothic"/>
          <w:sz w:val="18"/>
          <w:szCs w:val="18"/>
          <w:lang w:val="en-GB"/>
        </w:rPr>
        <w:fldChar w:fldCharType="begin"/>
      </w:r>
      <w:r w:rsidR="00407048" w:rsidRPr="00610088">
        <w:rPr>
          <w:rFonts w:eastAsia="MS PGothic"/>
          <w:sz w:val="18"/>
          <w:szCs w:val="18"/>
          <w:vertAlign w:val="superscript"/>
          <w:lang w:val="en-GB"/>
        </w:rPr>
        <w:instrText xml:space="preserve"> NOTEREF _Ref32406910 \h </w:instrText>
      </w:r>
      <w:r w:rsidR="00407048" w:rsidRPr="00610088">
        <w:rPr>
          <w:rFonts w:eastAsia="MS PGothic"/>
          <w:sz w:val="18"/>
          <w:szCs w:val="18"/>
          <w:lang w:val="en-GB"/>
        </w:rPr>
      </w:r>
      <w:r w:rsidR="00407048" w:rsidRPr="00610088">
        <w:rPr>
          <w:rFonts w:eastAsia="MS PGothic"/>
          <w:sz w:val="18"/>
          <w:szCs w:val="18"/>
          <w:lang w:val="en-GB"/>
        </w:rPr>
        <w:fldChar w:fldCharType="separate"/>
      </w:r>
      <w:r w:rsidR="00CB360C">
        <w:rPr>
          <w:rFonts w:eastAsia="MS PGothic"/>
          <w:sz w:val="18"/>
          <w:szCs w:val="18"/>
          <w:vertAlign w:val="superscript"/>
          <w:lang w:val="en-GB"/>
        </w:rPr>
        <w:t>9</w:t>
      </w:r>
      <w:r w:rsidR="00407048" w:rsidRPr="00610088">
        <w:rPr>
          <w:rFonts w:eastAsia="MS PGothic"/>
          <w:sz w:val="18"/>
          <w:szCs w:val="18"/>
          <w:lang w:val="en-GB"/>
        </w:rPr>
        <w:fldChar w:fldCharType="end"/>
      </w:r>
      <w:r w:rsidR="00407048" w:rsidRPr="00610088">
        <w:rPr>
          <w:rFonts w:eastAsia="MS PGothic"/>
          <w:sz w:val="18"/>
          <w:szCs w:val="18"/>
          <w:vertAlign w:val="superscript"/>
          <w:lang w:val="en-GB"/>
        </w:rPr>
        <w:t>,</w:t>
      </w:r>
      <w:r w:rsidRPr="00610088">
        <w:rPr>
          <w:rFonts w:eastAsia="MS PGothic"/>
          <w:sz w:val="18"/>
          <w:szCs w:val="18"/>
          <w:vertAlign w:val="superscript"/>
          <w:lang w:val="en-GB"/>
        </w:rPr>
        <w:t xml:space="preserve">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_Ref17613310 \f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sidRPr="00CB360C">
        <w:rPr>
          <w:rStyle w:val="EndnoteReference"/>
          <w:sz w:val="18"/>
          <w:szCs w:val="18"/>
          <w:lang w:val="en-GB"/>
        </w:rPr>
        <w:t>208</w:t>
      </w:r>
      <w:r w:rsidRPr="00610088">
        <w:rPr>
          <w:rFonts w:eastAsia="MS PGothic"/>
          <w:sz w:val="18"/>
          <w:szCs w:val="18"/>
          <w:vertAlign w:val="superscript"/>
          <w:lang w:val="en-GB"/>
        </w:rPr>
        <w:fldChar w:fldCharType="end"/>
      </w:r>
      <w:r w:rsidR="00407048" w:rsidRPr="00610088">
        <w:rPr>
          <w:rFonts w:eastAsia="MS PGothic"/>
          <w:sz w:val="18"/>
          <w:szCs w:val="18"/>
          <w:lang w:val="en-GB"/>
        </w:rPr>
        <w:t xml:space="preserve">  Minimum dietary diversity among young children - measured as the percentage of children age 6-23 months who received foods from more than 4 food groups during the previous day - was limited in 2017, only 24.2% and only slightly up from 16% in 2013. </w:t>
      </w:r>
      <w:r w:rsidR="00407048" w:rsidRPr="00610088">
        <w:rPr>
          <w:rFonts w:eastAsia="MS PGothic"/>
          <w:sz w:val="18"/>
          <w:szCs w:val="18"/>
          <w:lang w:val="en-GB"/>
        </w:rPr>
        <w:fldChar w:fldCharType="begin"/>
      </w:r>
      <w:r w:rsidR="00407048" w:rsidRPr="00610088">
        <w:rPr>
          <w:rFonts w:eastAsia="MS PGothic"/>
          <w:sz w:val="18"/>
          <w:szCs w:val="18"/>
          <w:lang w:val="en-GB"/>
        </w:rPr>
        <w:instrText xml:space="preserve"> NOTEREF _Ref17613464 \f \h  \* MERGEFORMAT </w:instrText>
      </w:r>
      <w:r w:rsidR="00407048" w:rsidRPr="00610088">
        <w:rPr>
          <w:rFonts w:eastAsia="MS PGothic"/>
          <w:sz w:val="18"/>
          <w:szCs w:val="18"/>
          <w:lang w:val="en-GB"/>
        </w:rPr>
      </w:r>
      <w:r w:rsidR="00407048" w:rsidRPr="00610088">
        <w:rPr>
          <w:rFonts w:eastAsia="MS PGothic"/>
          <w:sz w:val="18"/>
          <w:szCs w:val="18"/>
          <w:lang w:val="en-GB"/>
        </w:rPr>
        <w:fldChar w:fldCharType="separate"/>
      </w:r>
      <w:r w:rsidR="00CB360C" w:rsidRPr="00CB360C">
        <w:rPr>
          <w:rStyle w:val="EndnoteReference"/>
          <w:sz w:val="18"/>
          <w:szCs w:val="18"/>
          <w:lang w:val="en-GB"/>
        </w:rPr>
        <w:t>7</w:t>
      </w:r>
      <w:r w:rsidR="00407048" w:rsidRPr="00610088">
        <w:rPr>
          <w:rFonts w:eastAsia="MS PGothic"/>
          <w:sz w:val="18"/>
          <w:szCs w:val="18"/>
          <w:lang w:val="en-GB"/>
        </w:rPr>
        <w:fldChar w:fldCharType="end"/>
      </w:r>
      <w:r w:rsidR="00407048" w:rsidRPr="00610088">
        <w:rPr>
          <w:rFonts w:eastAsia="MS PGothic"/>
          <w:sz w:val="18"/>
          <w:szCs w:val="18"/>
          <w:vertAlign w:val="superscript"/>
          <w:lang w:val="en-GB"/>
        </w:rPr>
        <w:t xml:space="preserve">, </w:t>
      </w:r>
      <w:r w:rsidR="00407048" w:rsidRPr="00610088">
        <w:rPr>
          <w:rFonts w:eastAsia="MS PGothic"/>
          <w:sz w:val="18"/>
          <w:szCs w:val="18"/>
          <w:vertAlign w:val="superscript"/>
          <w:lang w:val="en-GB"/>
        </w:rPr>
        <w:fldChar w:fldCharType="begin"/>
      </w:r>
      <w:r w:rsidR="00407048" w:rsidRPr="00610088">
        <w:rPr>
          <w:rFonts w:eastAsia="MS PGothic"/>
          <w:sz w:val="18"/>
          <w:szCs w:val="18"/>
          <w:vertAlign w:val="superscript"/>
          <w:lang w:val="en-GB"/>
        </w:rPr>
        <w:instrText xml:space="preserve"> NOTEREF _Ref17298289 \f \h  \* MERGEFORMAT </w:instrText>
      </w:r>
      <w:r w:rsidR="00407048" w:rsidRPr="00610088">
        <w:rPr>
          <w:rFonts w:eastAsia="MS PGothic"/>
          <w:sz w:val="18"/>
          <w:szCs w:val="18"/>
          <w:vertAlign w:val="superscript"/>
          <w:lang w:val="en-GB"/>
        </w:rPr>
      </w:r>
      <w:r w:rsidR="00407048" w:rsidRPr="00610088">
        <w:rPr>
          <w:rFonts w:eastAsia="MS PGothic"/>
          <w:sz w:val="18"/>
          <w:szCs w:val="18"/>
          <w:vertAlign w:val="superscript"/>
          <w:lang w:val="en-GB"/>
        </w:rPr>
        <w:fldChar w:fldCharType="separate"/>
      </w:r>
      <w:r w:rsidR="00CB360C" w:rsidRPr="00CB360C">
        <w:rPr>
          <w:rStyle w:val="EndnoteReference"/>
          <w:sz w:val="18"/>
          <w:szCs w:val="18"/>
          <w:lang w:val="en-GB"/>
        </w:rPr>
        <w:t>8</w:t>
      </w:r>
      <w:r w:rsidR="00407048" w:rsidRPr="00610088">
        <w:rPr>
          <w:rFonts w:eastAsia="MS PGothic"/>
          <w:sz w:val="18"/>
          <w:szCs w:val="18"/>
          <w:vertAlign w:val="superscript"/>
          <w:lang w:val="en-GB"/>
        </w:rPr>
        <w:fldChar w:fldCharType="end"/>
      </w:r>
    </w:p>
    <w:p w14:paraId="771642AA" w14:textId="77777777" w:rsidR="007A5E46" w:rsidRPr="00610088" w:rsidRDefault="007A5E46" w:rsidP="007A5E46">
      <w:pPr>
        <w:tabs>
          <w:tab w:val="num" w:pos="720"/>
        </w:tabs>
        <w:rPr>
          <w:rFonts w:eastAsia="MS PGothic"/>
          <w:sz w:val="18"/>
          <w:szCs w:val="18"/>
          <w:lang w:val="en-GB"/>
        </w:rPr>
      </w:pPr>
    </w:p>
    <w:p w14:paraId="2C085FE2" w14:textId="0047513D"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The prevalence of any form of anaemia among children 6-59 months remains high over the years; from 76% in 2008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_Ref17613310 \f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sidRPr="00CB360C">
        <w:rPr>
          <w:rStyle w:val="EndnoteReference"/>
          <w:sz w:val="18"/>
          <w:szCs w:val="18"/>
          <w:lang w:val="en-GB"/>
        </w:rPr>
        <w:t>208</w:t>
      </w:r>
      <w:r w:rsidRPr="00610088">
        <w:rPr>
          <w:rFonts w:eastAsia="MS PGothic"/>
          <w:sz w:val="18"/>
          <w:szCs w:val="18"/>
          <w:vertAlign w:val="superscript"/>
          <w:lang w:val="en-GB"/>
        </w:rPr>
        <w:fldChar w:fldCharType="end"/>
      </w:r>
      <w:r w:rsidRPr="00610088">
        <w:rPr>
          <w:rFonts w:eastAsia="MS PGothic"/>
          <w:sz w:val="18"/>
          <w:szCs w:val="18"/>
          <w:vertAlign w:val="superscript"/>
          <w:lang w:val="en-GB"/>
        </w:rPr>
        <w:t xml:space="preserve"> </w:t>
      </w:r>
      <w:r w:rsidRPr="00610088">
        <w:rPr>
          <w:rFonts w:eastAsia="MS PGothic"/>
          <w:sz w:val="18"/>
          <w:szCs w:val="18"/>
          <w:lang w:val="en-GB"/>
        </w:rPr>
        <w:t>and 80% and 76.3% in</w:t>
      </w:r>
      <w:r w:rsidR="00407048" w:rsidRPr="00610088">
        <w:rPr>
          <w:rFonts w:eastAsia="MS PGothic"/>
          <w:sz w:val="18"/>
          <w:szCs w:val="18"/>
          <w:lang w:val="en-GB"/>
        </w:rPr>
        <w:t xml:space="preserve"> 2 studies in </w:t>
      </w:r>
      <w:r w:rsidRPr="00610088">
        <w:rPr>
          <w:rFonts w:eastAsia="MS PGothic"/>
          <w:sz w:val="18"/>
          <w:szCs w:val="18"/>
          <w:lang w:val="en-GB"/>
        </w:rPr>
        <w:t>2013</w:t>
      </w:r>
      <w:r w:rsidR="00407048" w:rsidRPr="00610088">
        <w:rPr>
          <w:rFonts w:eastAsia="MS PGothic"/>
          <w:sz w:val="18"/>
          <w:szCs w:val="18"/>
          <w:lang w:val="en-GB"/>
        </w:rPr>
        <w:t xml:space="preserve"> to 67.8% in 2019</w:t>
      </w:r>
      <w:r w:rsidRPr="00610088">
        <w:rPr>
          <w:rFonts w:eastAsia="MS PGothic"/>
          <w:sz w:val="18"/>
          <w:szCs w:val="18"/>
          <w:lang w:val="en-GB"/>
        </w:rPr>
        <w:t xml:space="preserve"> </w:t>
      </w:r>
      <w:r w:rsidRPr="00610088">
        <w:rPr>
          <w:rFonts w:eastAsia="MS PGothic"/>
          <w:sz w:val="18"/>
          <w:szCs w:val="18"/>
          <w:lang w:val="en-GB"/>
        </w:rPr>
        <w:fldChar w:fldCharType="begin"/>
      </w:r>
      <w:r w:rsidRPr="00610088">
        <w:rPr>
          <w:rFonts w:eastAsia="MS PGothic"/>
          <w:sz w:val="18"/>
          <w:szCs w:val="18"/>
          <w:lang w:val="en-GB"/>
        </w:rPr>
        <w:instrText xml:space="preserve"> NOTEREF _Ref17298289 \f \h  \* MERGEFORMAT </w:instrText>
      </w:r>
      <w:r w:rsidRPr="00610088">
        <w:rPr>
          <w:rFonts w:eastAsia="MS PGothic"/>
          <w:sz w:val="18"/>
          <w:szCs w:val="18"/>
          <w:lang w:val="en-GB"/>
        </w:rPr>
      </w:r>
      <w:r w:rsidRPr="00610088">
        <w:rPr>
          <w:rFonts w:eastAsia="MS PGothic"/>
          <w:sz w:val="18"/>
          <w:szCs w:val="18"/>
          <w:lang w:val="en-GB"/>
        </w:rPr>
        <w:fldChar w:fldCharType="separate"/>
      </w:r>
      <w:r w:rsidR="00CB360C" w:rsidRPr="00CB360C">
        <w:rPr>
          <w:rStyle w:val="EndnoteReference"/>
          <w:sz w:val="18"/>
          <w:szCs w:val="18"/>
          <w:lang w:val="en-GB"/>
        </w:rPr>
        <w:t>8</w:t>
      </w:r>
      <w:r w:rsidRPr="00610088">
        <w:rPr>
          <w:rFonts w:eastAsia="MS PGothic"/>
          <w:sz w:val="18"/>
          <w:szCs w:val="18"/>
          <w:lang w:val="en-GB"/>
        </w:rPr>
        <w:fldChar w:fldCharType="end"/>
      </w:r>
      <w:r w:rsidRPr="00610088">
        <w:rPr>
          <w:rFonts w:eastAsia="MS PGothic"/>
          <w:sz w:val="18"/>
          <w:szCs w:val="18"/>
          <w:vertAlign w:val="superscript"/>
          <w:lang w:val="en-GB"/>
        </w:rPr>
        <w:t>,</w:t>
      </w:r>
      <w:bookmarkStart w:id="188" w:name="_Ref17618771"/>
      <w:r w:rsidR="001D7372" w:rsidRPr="00610088">
        <w:rPr>
          <w:rFonts w:eastAsia="MS PGothic"/>
          <w:sz w:val="18"/>
          <w:szCs w:val="18"/>
          <w:vertAlign w:val="superscript"/>
          <w:lang w:val="en-GB"/>
        </w:rPr>
        <w:t xml:space="preserve"> </w:t>
      </w:r>
      <w:r w:rsidR="00407048" w:rsidRPr="00610088">
        <w:rPr>
          <w:rFonts w:eastAsia="MS PGothic"/>
          <w:sz w:val="18"/>
          <w:szCs w:val="18"/>
          <w:vertAlign w:val="superscript"/>
          <w:lang w:val="en-GB"/>
        </w:rPr>
        <w:fldChar w:fldCharType="begin"/>
      </w:r>
      <w:r w:rsidR="00407048" w:rsidRPr="00610088">
        <w:rPr>
          <w:rFonts w:eastAsia="MS PGothic"/>
          <w:sz w:val="18"/>
          <w:szCs w:val="18"/>
          <w:vertAlign w:val="superscript"/>
          <w:lang w:val="en-GB"/>
        </w:rPr>
        <w:instrText xml:space="preserve"> NOTEREF _Ref32406910 \h </w:instrText>
      </w:r>
      <w:r w:rsidR="00407048" w:rsidRPr="00610088">
        <w:rPr>
          <w:rFonts w:eastAsia="MS PGothic"/>
          <w:sz w:val="18"/>
          <w:szCs w:val="18"/>
          <w:vertAlign w:val="superscript"/>
          <w:lang w:val="en-GB"/>
        </w:rPr>
      </w:r>
      <w:r w:rsidR="00407048" w:rsidRPr="00610088">
        <w:rPr>
          <w:rFonts w:eastAsia="MS PGothic"/>
          <w:sz w:val="18"/>
          <w:szCs w:val="18"/>
          <w:vertAlign w:val="superscript"/>
          <w:lang w:val="en-GB"/>
        </w:rPr>
        <w:fldChar w:fldCharType="separate"/>
      </w:r>
      <w:r w:rsidR="00CB360C">
        <w:rPr>
          <w:rFonts w:eastAsia="MS PGothic"/>
          <w:sz w:val="18"/>
          <w:szCs w:val="18"/>
          <w:vertAlign w:val="superscript"/>
          <w:lang w:val="en-GB"/>
        </w:rPr>
        <w:t>9</w:t>
      </w:r>
      <w:r w:rsidR="00407048" w:rsidRPr="00610088">
        <w:rPr>
          <w:rFonts w:eastAsia="MS PGothic"/>
          <w:sz w:val="18"/>
          <w:szCs w:val="18"/>
          <w:vertAlign w:val="superscript"/>
          <w:lang w:val="en-GB"/>
        </w:rPr>
        <w:fldChar w:fldCharType="end"/>
      </w:r>
      <w:r w:rsidR="00407048" w:rsidRPr="00610088">
        <w:rPr>
          <w:rFonts w:eastAsia="MS PGothic"/>
          <w:sz w:val="18"/>
          <w:szCs w:val="18"/>
          <w:vertAlign w:val="superscript"/>
          <w:lang w:val="en-GB"/>
        </w:rPr>
        <w:t xml:space="preserve">, </w:t>
      </w:r>
      <w:r w:rsidR="001D7372" w:rsidRPr="00610088">
        <w:rPr>
          <w:rStyle w:val="EndnoteReference"/>
          <w:rFonts w:ascii="Arial Narrow" w:hAnsi="Arial Narrow"/>
          <w:color w:val="000000"/>
          <w:sz w:val="18"/>
          <w:szCs w:val="18"/>
          <w:lang w:val="en-GB"/>
        </w:rPr>
        <w:endnoteReference w:id="182"/>
      </w:r>
      <w:bookmarkEnd w:id="188"/>
      <w:r w:rsidR="001D7372" w:rsidRPr="00610088">
        <w:rPr>
          <w:rFonts w:eastAsia="MS PGothic"/>
          <w:sz w:val="18"/>
          <w:szCs w:val="18"/>
          <w:vertAlign w:val="superscript"/>
          <w:lang w:val="en-GB"/>
        </w:rPr>
        <w:t xml:space="preserve"> </w:t>
      </w:r>
    </w:p>
    <w:p w14:paraId="585318C6" w14:textId="7398C207"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The prevalence of any form of anaemia also remains high among women of child-bearing age (15-49 years): 45.2% in 2008 </w:t>
      </w:r>
      <w:r w:rsidRPr="00610088">
        <w:rPr>
          <w:rFonts w:eastAsia="MS PGothic"/>
          <w:sz w:val="18"/>
          <w:szCs w:val="18"/>
          <w:lang w:val="en-GB"/>
        </w:rPr>
        <w:fldChar w:fldCharType="begin"/>
      </w:r>
      <w:r w:rsidRPr="00610088">
        <w:rPr>
          <w:rFonts w:eastAsia="MS PGothic"/>
          <w:sz w:val="18"/>
          <w:szCs w:val="18"/>
          <w:lang w:val="en-GB"/>
        </w:rPr>
        <w:instrText xml:space="preserve"> NOTEREF _Ref17613310 \f \h  \* MERGEFORMAT </w:instrText>
      </w:r>
      <w:r w:rsidRPr="00610088">
        <w:rPr>
          <w:rFonts w:eastAsia="MS PGothic"/>
          <w:sz w:val="18"/>
          <w:szCs w:val="18"/>
          <w:lang w:val="en-GB"/>
        </w:rPr>
      </w:r>
      <w:r w:rsidRPr="00610088">
        <w:rPr>
          <w:rFonts w:eastAsia="MS PGothic"/>
          <w:sz w:val="18"/>
          <w:szCs w:val="18"/>
          <w:lang w:val="en-GB"/>
        </w:rPr>
        <w:fldChar w:fldCharType="separate"/>
      </w:r>
      <w:r w:rsidR="00CB360C" w:rsidRPr="00CB360C">
        <w:rPr>
          <w:rStyle w:val="EndnoteReference"/>
          <w:sz w:val="18"/>
          <w:szCs w:val="18"/>
          <w:lang w:val="en-GB"/>
        </w:rPr>
        <w:t>208</w:t>
      </w:r>
      <w:r w:rsidRPr="00610088">
        <w:rPr>
          <w:rFonts w:eastAsia="MS PGothic"/>
          <w:sz w:val="18"/>
          <w:szCs w:val="18"/>
          <w:lang w:val="en-GB"/>
        </w:rPr>
        <w:fldChar w:fldCharType="end"/>
      </w:r>
      <w:r w:rsidRPr="00610088">
        <w:rPr>
          <w:rFonts w:eastAsia="MS PGothic"/>
          <w:sz w:val="18"/>
          <w:szCs w:val="18"/>
          <w:lang w:val="en-GB"/>
        </w:rPr>
        <w:t xml:space="preserve"> and 44.8% in 2 studies in 2013</w:t>
      </w:r>
      <w:r w:rsidR="00407048" w:rsidRPr="00610088">
        <w:rPr>
          <w:rFonts w:eastAsia="MS PGothic"/>
          <w:sz w:val="18"/>
          <w:szCs w:val="18"/>
          <w:lang w:val="en-GB"/>
        </w:rPr>
        <w:t xml:space="preserve"> to 46.5% in 2019</w:t>
      </w:r>
      <w:r w:rsidRPr="00610088">
        <w:rPr>
          <w:rFonts w:eastAsia="MS PGothic"/>
          <w:sz w:val="18"/>
          <w:szCs w:val="18"/>
          <w:lang w:val="en-GB"/>
        </w:rPr>
        <w:t xml:space="preserve">. </w:t>
      </w:r>
      <w:r w:rsidRPr="00610088">
        <w:rPr>
          <w:rFonts w:eastAsia="MS PGothic"/>
          <w:sz w:val="18"/>
          <w:szCs w:val="18"/>
          <w:lang w:val="en-GB"/>
        </w:rPr>
        <w:fldChar w:fldCharType="begin"/>
      </w:r>
      <w:r w:rsidRPr="00610088">
        <w:rPr>
          <w:rFonts w:eastAsia="MS PGothic"/>
          <w:sz w:val="18"/>
          <w:szCs w:val="18"/>
          <w:lang w:val="en-GB"/>
        </w:rPr>
        <w:instrText xml:space="preserve"> NOTEREF _Ref17298289 \f \h  \* MERGEFORMAT </w:instrText>
      </w:r>
      <w:r w:rsidRPr="00610088">
        <w:rPr>
          <w:rFonts w:eastAsia="MS PGothic"/>
          <w:sz w:val="18"/>
          <w:szCs w:val="18"/>
          <w:lang w:val="en-GB"/>
        </w:rPr>
      </w:r>
      <w:r w:rsidRPr="00610088">
        <w:rPr>
          <w:rFonts w:eastAsia="MS PGothic"/>
          <w:sz w:val="18"/>
          <w:szCs w:val="18"/>
          <w:lang w:val="en-GB"/>
        </w:rPr>
        <w:fldChar w:fldCharType="separate"/>
      </w:r>
      <w:r w:rsidR="00CB360C" w:rsidRPr="00CB360C">
        <w:rPr>
          <w:rStyle w:val="EndnoteReference"/>
          <w:sz w:val="18"/>
          <w:szCs w:val="18"/>
          <w:lang w:val="en-GB"/>
        </w:rPr>
        <w:t>8</w:t>
      </w:r>
      <w:r w:rsidRPr="00610088">
        <w:rPr>
          <w:rFonts w:eastAsia="MS PGothic"/>
          <w:sz w:val="18"/>
          <w:szCs w:val="18"/>
          <w:lang w:val="en-GB"/>
        </w:rPr>
        <w:fldChar w:fldCharType="end"/>
      </w:r>
      <w:r w:rsidRPr="00610088">
        <w:rPr>
          <w:rFonts w:eastAsia="MS PGothic"/>
          <w:sz w:val="18"/>
          <w:szCs w:val="18"/>
          <w:vertAlign w:val="superscript"/>
          <w:lang w:val="en-GB"/>
        </w:rPr>
        <w:t>,</w:t>
      </w:r>
      <w:r w:rsidR="00407048" w:rsidRPr="00610088">
        <w:rPr>
          <w:rFonts w:eastAsia="MS PGothic"/>
          <w:sz w:val="18"/>
          <w:szCs w:val="18"/>
          <w:vertAlign w:val="superscript"/>
          <w:lang w:val="en-GB"/>
        </w:rPr>
        <w:t xml:space="preserve"> </w:t>
      </w:r>
      <w:r w:rsidR="00407048" w:rsidRPr="00610088">
        <w:rPr>
          <w:rFonts w:eastAsia="MS PGothic"/>
          <w:sz w:val="18"/>
          <w:szCs w:val="18"/>
          <w:vertAlign w:val="superscript"/>
          <w:lang w:val="en-GB"/>
        </w:rPr>
        <w:fldChar w:fldCharType="begin"/>
      </w:r>
      <w:r w:rsidR="00407048" w:rsidRPr="00610088">
        <w:rPr>
          <w:rFonts w:eastAsia="MS PGothic"/>
          <w:sz w:val="18"/>
          <w:szCs w:val="18"/>
          <w:vertAlign w:val="superscript"/>
          <w:lang w:val="en-GB"/>
        </w:rPr>
        <w:instrText xml:space="preserve"> NOTEREF _Ref32406910 \h </w:instrText>
      </w:r>
      <w:r w:rsidR="00407048" w:rsidRPr="00610088">
        <w:rPr>
          <w:rFonts w:eastAsia="MS PGothic"/>
          <w:sz w:val="18"/>
          <w:szCs w:val="18"/>
          <w:vertAlign w:val="superscript"/>
          <w:lang w:val="en-GB"/>
        </w:rPr>
      </w:r>
      <w:r w:rsidR="00407048" w:rsidRPr="00610088">
        <w:rPr>
          <w:rFonts w:eastAsia="MS PGothic"/>
          <w:sz w:val="18"/>
          <w:szCs w:val="18"/>
          <w:vertAlign w:val="superscript"/>
          <w:lang w:val="en-GB"/>
        </w:rPr>
        <w:fldChar w:fldCharType="separate"/>
      </w:r>
      <w:r w:rsidR="00CB360C">
        <w:rPr>
          <w:rFonts w:eastAsia="MS PGothic"/>
          <w:sz w:val="18"/>
          <w:szCs w:val="18"/>
          <w:vertAlign w:val="superscript"/>
          <w:lang w:val="en-GB"/>
        </w:rPr>
        <w:t>9</w:t>
      </w:r>
      <w:r w:rsidR="00407048" w:rsidRPr="00610088">
        <w:rPr>
          <w:rFonts w:eastAsia="MS PGothic"/>
          <w:sz w:val="18"/>
          <w:szCs w:val="18"/>
          <w:vertAlign w:val="superscript"/>
          <w:lang w:val="en-GB"/>
        </w:rPr>
        <w:fldChar w:fldCharType="end"/>
      </w:r>
      <w:r w:rsidR="00407048" w:rsidRPr="00610088">
        <w:rPr>
          <w:rFonts w:eastAsia="MS PGothic"/>
          <w:sz w:val="18"/>
          <w:szCs w:val="18"/>
          <w:vertAlign w:val="superscript"/>
          <w:lang w:val="en-GB"/>
        </w:rPr>
        <w:t>,</w:t>
      </w:r>
      <w:r w:rsidRPr="00610088">
        <w:rPr>
          <w:rFonts w:eastAsia="MS PGothic"/>
          <w:sz w:val="18"/>
          <w:szCs w:val="18"/>
          <w:vertAlign w:val="superscript"/>
          <w:lang w:val="en-GB"/>
        </w:rPr>
        <w:t xml:space="preserve"> </w:t>
      </w:r>
      <w:r w:rsidRPr="00610088">
        <w:rPr>
          <w:rFonts w:eastAsia="MS PGothic"/>
          <w:sz w:val="18"/>
          <w:szCs w:val="18"/>
          <w:lang w:val="en-GB"/>
        </w:rPr>
        <w:fldChar w:fldCharType="begin"/>
      </w:r>
      <w:r w:rsidRPr="00610088">
        <w:rPr>
          <w:rFonts w:eastAsia="MS PGothic"/>
          <w:sz w:val="18"/>
          <w:szCs w:val="18"/>
          <w:lang w:val="en-GB"/>
        </w:rPr>
        <w:instrText xml:space="preserve"> NOTEREF _Ref17618771 \f \h  \* MERGEFORMAT </w:instrText>
      </w:r>
      <w:r w:rsidRPr="00610088">
        <w:rPr>
          <w:rFonts w:eastAsia="MS PGothic"/>
          <w:sz w:val="18"/>
          <w:szCs w:val="18"/>
          <w:lang w:val="en-GB"/>
        </w:rPr>
      </w:r>
      <w:r w:rsidRPr="00610088">
        <w:rPr>
          <w:rFonts w:eastAsia="MS PGothic"/>
          <w:sz w:val="18"/>
          <w:szCs w:val="18"/>
          <w:lang w:val="en-GB"/>
        </w:rPr>
        <w:fldChar w:fldCharType="separate"/>
      </w:r>
      <w:r w:rsidR="00CB360C" w:rsidRPr="00CB360C">
        <w:rPr>
          <w:rStyle w:val="EndnoteReference"/>
          <w:sz w:val="18"/>
          <w:szCs w:val="18"/>
          <w:lang w:val="en-GB"/>
        </w:rPr>
        <w:t>182</w:t>
      </w:r>
      <w:r w:rsidRPr="00610088">
        <w:rPr>
          <w:rFonts w:eastAsia="MS PGothic"/>
          <w:sz w:val="18"/>
          <w:szCs w:val="18"/>
          <w:lang w:val="en-GB"/>
        </w:rPr>
        <w:fldChar w:fldCharType="end"/>
      </w:r>
    </w:p>
    <w:p w14:paraId="06EA3C33" w14:textId="7DFF41C8"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These high levels of anaemia are thought to be due not only to malaria but also to</w:t>
      </w:r>
      <w:r w:rsidR="00407048" w:rsidRPr="00610088">
        <w:rPr>
          <w:rFonts w:eastAsia="MS PGothic"/>
          <w:sz w:val="18"/>
          <w:szCs w:val="18"/>
          <w:lang w:val="en-GB"/>
        </w:rPr>
        <w:t xml:space="preserve"> worm infestations and</w:t>
      </w:r>
      <w:r w:rsidRPr="00610088">
        <w:rPr>
          <w:rFonts w:eastAsia="MS PGothic"/>
          <w:sz w:val="18"/>
          <w:szCs w:val="18"/>
          <w:lang w:val="en-GB"/>
        </w:rPr>
        <w:t xml:space="preserve"> poor dietary intake of iron rich foods. </w:t>
      </w:r>
    </w:p>
    <w:p w14:paraId="7B6DDA2D" w14:textId="77777777" w:rsidR="007A5E46" w:rsidRPr="00610088" w:rsidRDefault="007A5E46" w:rsidP="007A5E46">
      <w:pPr>
        <w:rPr>
          <w:sz w:val="18"/>
          <w:szCs w:val="18"/>
          <w:lang w:val="en-GB"/>
        </w:rPr>
      </w:pPr>
    </w:p>
    <w:p w14:paraId="4057FB91" w14:textId="77777777" w:rsidR="007A5E46" w:rsidRPr="00610088" w:rsidRDefault="007A5E46" w:rsidP="006048F4">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Air pollution</w:t>
      </w:r>
    </w:p>
    <w:p w14:paraId="0A5AB009" w14:textId="77777777" w:rsidR="007A5E46" w:rsidRPr="00610088" w:rsidRDefault="007A5E46" w:rsidP="007A5E46">
      <w:pPr>
        <w:rPr>
          <w:sz w:val="18"/>
          <w:szCs w:val="18"/>
          <w:lang w:val="en-GB"/>
        </w:rPr>
      </w:pPr>
    </w:p>
    <w:p w14:paraId="54201240" w14:textId="77777777" w:rsidR="007A5E46" w:rsidRPr="00610088" w:rsidRDefault="007A5E46" w:rsidP="007A5E46">
      <w:pPr>
        <w:rPr>
          <w:sz w:val="18"/>
          <w:szCs w:val="18"/>
          <w:vertAlign w:val="superscript"/>
          <w:lang w:val="en-GB"/>
        </w:rPr>
      </w:pPr>
      <w:r w:rsidRPr="00610088">
        <w:rPr>
          <w:sz w:val="18"/>
          <w:szCs w:val="18"/>
          <w:lang w:val="en-GB"/>
        </w:rPr>
        <w:lastRenderedPageBreak/>
        <w:t>Air pollution contributes to many health conditions including lung cancer, lower respiratory tract infections, stroke, ischaemic heart disease, COPD and asthma. There are two main types of air pollution: ambient (outdoor) air pollution and household (indoor) air pollution.</w:t>
      </w:r>
      <w:bookmarkStart w:id="189" w:name="_Ref16852287"/>
      <w:r w:rsidRPr="00610088">
        <w:rPr>
          <w:rStyle w:val="EndnoteReference"/>
          <w:sz w:val="18"/>
          <w:szCs w:val="18"/>
          <w:lang w:val="en-GB"/>
        </w:rPr>
        <w:endnoteReference w:id="183"/>
      </w:r>
      <w:bookmarkEnd w:id="189"/>
      <w:r w:rsidRPr="00610088">
        <w:rPr>
          <w:sz w:val="18"/>
          <w:szCs w:val="18"/>
          <w:vertAlign w:val="superscript"/>
          <w:lang w:val="en-GB"/>
        </w:rPr>
        <w:t>,</w:t>
      </w:r>
      <w:bookmarkStart w:id="190" w:name="_Ref16853172"/>
      <w:r w:rsidRPr="00610088">
        <w:rPr>
          <w:sz w:val="18"/>
          <w:szCs w:val="18"/>
          <w:vertAlign w:val="superscript"/>
          <w:lang w:val="en-GB"/>
        </w:rPr>
        <w:t xml:space="preserve"> </w:t>
      </w:r>
      <w:r w:rsidRPr="00610088">
        <w:rPr>
          <w:rStyle w:val="EndnoteReference"/>
          <w:sz w:val="18"/>
          <w:szCs w:val="18"/>
          <w:lang w:val="en-GB"/>
        </w:rPr>
        <w:endnoteReference w:id="184"/>
      </w:r>
      <w:bookmarkEnd w:id="190"/>
      <w:r w:rsidRPr="00610088">
        <w:rPr>
          <w:sz w:val="18"/>
          <w:szCs w:val="18"/>
          <w:vertAlign w:val="superscript"/>
          <w:lang w:val="en-GB"/>
        </w:rPr>
        <w:t>,</w:t>
      </w:r>
      <w:bookmarkStart w:id="191" w:name="_Ref16853190"/>
      <w:r w:rsidRPr="00610088">
        <w:rPr>
          <w:sz w:val="18"/>
          <w:szCs w:val="18"/>
          <w:vertAlign w:val="superscript"/>
          <w:lang w:val="en-GB"/>
        </w:rPr>
        <w:t xml:space="preserve"> </w:t>
      </w:r>
      <w:r w:rsidRPr="00610088">
        <w:rPr>
          <w:rStyle w:val="EndnoteReference"/>
          <w:sz w:val="18"/>
          <w:szCs w:val="18"/>
          <w:lang w:val="en-GB"/>
        </w:rPr>
        <w:endnoteReference w:id="185"/>
      </w:r>
      <w:bookmarkEnd w:id="191"/>
    </w:p>
    <w:p w14:paraId="6D68F7F1" w14:textId="77777777" w:rsidR="007A5E46" w:rsidRPr="00610088" w:rsidRDefault="007A5E46" w:rsidP="007A5E46">
      <w:pPr>
        <w:rPr>
          <w:sz w:val="18"/>
          <w:szCs w:val="18"/>
          <w:lang w:val="en-GB"/>
        </w:rPr>
      </w:pPr>
    </w:p>
    <w:p w14:paraId="6EFCB875" w14:textId="498A2959" w:rsidR="007A5E46" w:rsidRPr="00610088" w:rsidRDefault="007A5E46" w:rsidP="007A5E46">
      <w:pPr>
        <w:rPr>
          <w:sz w:val="18"/>
          <w:szCs w:val="18"/>
          <w:vertAlign w:val="superscript"/>
          <w:lang w:val="en-GB"/>
        </w:rPr>
      </w:pPr>
      <w:r w:rsidRPr="00610088">
        <w:rPr>
          <w:sz w:val="18"/>
          <w:szCs w:val="18"/>
          <w:lang w:val="en-GB"/>
        </w:rPr>
        <w:t xml:space="preserve">Outdoor air pollution comes from both natural sources and human activities. Natural sources relevant to Sierra Leone are for example dust storms and forest fires. Major human sources of outdoor air pollution are fuel combustion from motor vehicles, heat and power generation, industrial facilities, municipal and agricultural waste sites and waste incineration/burning and residential cooking, heating and lighting with polluting fuels. </w:t>
      </w:r>
      <w:r w:rsidRPr="00610088">
        <w:rPr>
          <w:sz w:val="18"/>
          <w:szCs w:val="18"/>
          <w:vertAlign w:val="superscript"/>
          <w:lang w:val="en-GB"/>
        </w:rPr>
        <w:fldChar w:fldCharType="begin"/>
      </w:r>
      <w:r w:rsidRPr="00610088">
        <w:rPr>
          <w:sz w:val="18"/>
          <w:szCs w:val="18"/>
          <w:vertAlign w:val="superscript"/>
          <w:lang w:val="en-GB"/>
        </w:rPr>
        <w:instrText xml:space="preserve"> NOTEREF _Ref16852287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183</w:t>
      </w:r>
      <w:r w:rsidRPr="00610088">
        <w:rPr>
          <w:sz w:val="18"/>
          <w:szCs w:val="18"/>
          <w:vertAlign w:val="superscript"/>
          <w:lang w:val="en-GB"/>
        </w:rPr>
        <w:fldChar w:fldCharType="end"/>
      </w:r>
    </w:p>
    <w:p w14:paraId="703D4D86" w14:textId="77777777" w:rsidR="007A5E46" w:rsidRPr="00610088" w:rsidRDefault="007A5E46" w:rsidP="007A5E46">
      <w:pPr>
        <w:rPr>
          <w:sz w:val="18"/>
          <w:szCs w:val="18"/>
          <w:lang w:val="en-GB"/>
        </w:rPr>
      </w:pPr>
    </w:p>
    <w:p w14:paraId="7AD3F29B" w14:textId="1A77816D" w:rsidR="007A5E46" w:rsidRPr="00610088" w:rsidRDefault="007A5E46" w:rsidP="007A5E46">
      <w:pPr>
        <w:rPr>
          <w:sz w:val="18"/>
          <w:szCs w:val="18"/>
          <w:lang w:val="en-GB"/>
        </w:rPr>
      </w:pPr>
      <w:r w:rsidRPr="00610088">
        <w:rPr>
          <w:sz w:val="18"/>
          <w:szCs w:val="18"/>
          <w:lang w:val="en-GB"/>
        </w:rPr>
        <w:t xml:space="preserve"> A major source of household air pollution is the incomplete combustion of solid fuels or kerosene for cooking, heating and lighting. Other sources are mould, building materials, home products, volatile organic compounds (VOCs) and naturally occurring gases like radon. Poor ventilation increases the risks from all indoor pollutants. </w:t>
      </w:r>
      <w:r w:rsidRPr="00610088">
        <w:rPr>
          <w:sz w:val="18"/>
          <w:szCs w:val="18"/>
          <w:vertAlign w:val="superscript"/>
          <w:lang w:val="en-GB"/>
        </w:rPr>
        <w:fldChar w:fldCharType="begin"/>
      </w:r>
      <w:r w:rsidRPr="00610088">
        <w:rPr>
          <w:sz w:val="18"/>
          <w:szCs w:val="18"/>
          <w:vertAlign w:val="superscript"/>
          <w:lang w:val="en-GB"/>
        </w:rPr>
        <w:instrText xml:space="preserve"> NOTEREF _Ref16853172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184</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_Ref16853190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185</w:t>
      </w:r>
      <w:r w:rsidRPr="00610088">
        <w:rPr>
          <w:sz w:val="18"/>
          <w:szCs w:val="18"/>
          <w:vertAlign w:val="superscript"/>
          <w:lang w:val="en-GB"/>
        </w:rPr>
        <w:fldChar w:fldCharType="end"/>
      </w:r>
    </w:p>
    <w:p w14:paraId="300F17ED" w14:textId="77777777" w:rsidR="007A5E46" w:rsidRPr="00610088" w:rsidRDefault="007A5E46" w:rsidP="007A5E46">
      <w:pPr>
        <w:rPr>
          <w:sz w:val="18"/>
          <w:szCs w:val="18"/>
          <w:lang w:val="en-GB"/>
        </w:rPr>
      </w:pPr>
    </w:p>
    <w:p w14:paraId="4E159D10" w14:textId="62F03B69" w:rsidR="007A5E46" w:rsidRPr="00610088" w:rsidRDefault="007A5E46" w:rsidP="007A5E46">
      <w:pPr>
        <w:rPr>
          <w:sz w:val="18"/>
          <w:szCs w:val="18"/>
          <w:lang w:val="en-GB"/>
        </w:rPr>
      </w:pPr>
      <w:r w:rsidRPr="00610088">
        <w:rPr>
          <w:sz w:val="18"/>
          <w:szCs w:val="18"/>
          <w:lang w:val="en-GB"/>
        </w:rPr>
        <w:t>The ambient and household air pollutants of greatest public health concern are particulate matter especially if less than 10 and 2.5 micron in diameter (PM</w:t>
      </w:r>
      <w:r w:rsidRPr="00610088">
        <w:rPr>
          <w:sz w:val="18"/>
          <w:szCs w:val="18"/>
          <w:vertAlign w:val="subscript"/>
          <w:lang w:val="en-GB"/>
        </w:rPr>
        <w:t>10</w:t>
      </w:r>
      <w:r w:rsidRPr="00610088">
        <w:rPr>
          <w:sz w:val="18"/>
          <w:szCs w:val="18"/>
          <w:lang w:val="en-GB"/>
        </w:rPr>
        <w:t xml:space="preserve"> and PM</w:t>
      </w:r>
      <w:r w:rsidRPr="00610088">
        <w:rPr>
          <w:sz w:val="18"/>
          <w:szCs w:val="18"/>
          <w:vertAlign w:val="subscript"/>
          <w:lang w:val="en-GB"/>
        </w:rPr>
        <w:t>2.5</w:t>
      </w:r>
      <w:r w:rsidRPr="00610088">
        <w:rPr>
          <w:sz w:val="18"/>
          <w:szCs w:val="18"/>
          <w:lang w:val="en-GB"/>
        </w:rPr>
        <w:t>), ozone (O</w:t>
      </w:r>
      <w:r w:rsidRPr="00610088">
        <w:rPr>
          <w:sz w:val="18"/>
          <w:szCs w:val="18"/>
          <w:vertAlign w:val="subscript"/>
          <w:lang w:val="en-GB"/>
        </w:rPr>
        <w:t>3</w:t>
      </w:r>
      <w:r w:rsidRPr="00610088">
        <w:rPr>
          <w:sz w:val="18"/>
          <w:szCs w:val="18"/>
          <w:lang w:val="en-GB"/>
        </w:rPr>
        <w:t>), nitrogen dioxide (NO</w:t>
      </w:r>
      <w:r w:rsidRPr="00610088">
        <w:rPr>
          <w:sz w:val="18"/>
          <w:szCs w:val="18"/>
          <w:vertAlign w:val="subscript"/>
          <w:lang w:val="en-GB"/>
        </w:rPr>
        <w:t>2</w:t>
      </w:r>
      <w:r w:rsidRPr="00610088">
        <w:rPr>
          <w:sz w:val="18"/>
          <w:szCs w:val="18"/>
          <w:lang w:val="en-GB"/>
        </w:rPr>
        <w:t>), sulphur dioxide (SO</w:t>
      </w:r>
      <w:r w:rsidRPr="00610088">
        <w:rPr>
          <w:sz w:val="18"/>
          <w:szCs w:val="18"/>
          <w:vertAlign w:val="subscript"/>
          <w:lang w:val="en-GB"/>
        </w:rPr>
        <w:t>2</w:t>
      </w:r>
      <w:r w:rsidRPr="00610088">
        <w:rPr>
          <w:sz w:val="18"/>
          <w:szCs w:val="18"/>
          <w:lang w:val="en-GB"/>
        </w:rPr>
        <w:t xml:space="preserve">) and carbon monoxide (CO). </w:t>
      </w:r>
      <w:r w:rsidRPr="00610088">
        <w:rPr>
          <w:sz w:val="18"/>
          <w:szCs w:val="18"/>
          <w:vertAlign w:val="superscript"/>
          <w:lang w:val="en-GB"/>
        </w:rPr>
        <w:fldChar w:fldCharType="begin"/>
      </w:r>
      <w:r w:rsidRPr="00610088">
        <w:rPr>
          <w:sz w:val="18"/>
          <w:szCs w:val="18"/>
          <w:vertAlign w:val="superscript"/>
          <w:lang w:val="en-GB"/>
        </w:rPr>
        <w:instrText xml:space="preserve"> NOTEREF _Ref16852287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183</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_Ref16853172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184</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vertAlign w:val="superscript"/>
          <w:lang w:val="en-GB"/>
        </w:rPr>
        <w:fldChar w:fldCharType="begin"/>
      </w:r>
      <w:r w:rsidRPr="00610088">
        <w:rPr>
          <w:sz w:val="18"/>
          <w:szCs w:val="18"/>
          <w:vertAlign w:val="superscript"/>
          <w:lang w:val="en-GB"/>
        </w:rPr>
        <w:instrText xml:space="preserve"> NOTEREF _Ref16853190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185</w:t>
      </w:r>
      <w:r w:rsidRPr="00610088">
        <w:rPr>
          <w:sz w:val="18"/>
          <w:szCs w:val="18"/>
          <w:vertAlign w:val="superscript"/>
          <w:lang w:val="en-GB"/>
        </w:rPr>
        <w:fldChar w:fldCharType="end"/>
      </w:r>
    </w:p>
    <w:p w14:paraId="2E3750F8" w14:textId="77777777" w:rsidR="007A5E46" w:rsidRPr="00610088" w:rsidRDefault="007A5E46" w:rsidP="007A5E46">
      <w:pPr>
        <w:rPr>
          <w:sz w:val="18"/>
          <w:szCs w:val="18"/>
          <w:lang w:val="en-GB"/>
        </w:rPr>
      </w:pPr>
    </w:p>
    <w:p w14:paraId="1B2A11FD" w14:textId="77777777" w:rsidR="007A5E46" w:rsidRPr="00610088" w:rsidRDefault="007A5E46" w:rsidP="007A5E46">
      <w:pPr>
        <w:rPr>
          <w:sz w:val="18"/>
          <w:szCs w:val="18"/>
          <w:vertAlign w:val="superscript"/>
          <w:lang w:val="en-GB"/>
        </w:rPr>
      </w:pPr>
      <w:r w:rsidRPr="00610088">
        <w:rPr>
          <w:sz w:val="18"/>
          <w:szCs w:val="18"/>
          <w:lang w:val="en-GB"/>
        </w:rPr>
        <w:t xml:space="preserve">The combined age-standardized ambient and household air pollution attributable death rate (per 100 000 population) was estimated to be 324 for Sierra Leone in 2016. This means a total of 12,441 air pollution attributable deaths (3405 ambient, 9036 household air pollution) for that year. </w:t>
      </w:r>
      <w:bookmarkStart w:id="192" w:name="_Ref32801893"/>
      <w:r w:rsidRPr="00610088">
        <w:rPr>
          <w:rStyle w:val="EndnoteReference"/>
          <w:sz w:val="18"/>
          <w:szCs w:val="18"/>
          <w:lang w:val="en-GB"/>
        </w:rPr>
        <w:endnoteReference w:id="186"/>
      </w:r>
      <w:bookmarkEnd w:id="192"/>
      <w:r w:rsidRPr="00610088">
        <w:rPr>
          <w:sz w:val="18"/>
          <w:szCs w:val="18"/>
          <w:lang w:val="en-GB"/>
        </w:rPr>
        <w:t xml:space="preserve">  WHO’s global Ambient Air Quality Database (update 2018) and WHO’s Global Database of Household Air Pollution Measurements do not contain exposure data on Sierra Leone. </w:t>
      </w:r>
      <w:r w:rsidRPr="00610088">
        <w:rPr>
          <w:rStyle w:val="EndnoteReference"/>
          <w:sz w:val="18"/>
          <w:szCs w:val="18"/>
          <w:lang w:val="en-GB"/>
        </w:rPr>
        <w:endnoteReference w:id="187"/>
      </w:r>
      <w:r w:rsidRPr="00610088">
        <w:rPr>
          <w:sz w:val="18"/>
          <w:szCs w:val="18"/>
          <w:vertAlign w:val="superscript"/>
          <w:lang w:val="en-GB"/>
        </w:rPr>
        <w:t xml:space="preserve">, </w:t>
      </w:r>
      <w:r w:rsidRPr="00610088">
        <w:rPr>
          <w:rStyle w:val="EndnoteReference"/>
          <w:sz w:val="18"/>
          <w:szCs w:val="18"/>
          <w:lang w:val="en-GB"/>
        </w:rPr>
        <w:endnoteReference w:id="188"/>
      </w:r>
    </w:p>
    <w:p w14:paraId="3800CCDC" w14:textId="77777777" w:rsidR="007A5E46" w:rsidRPr="00610088" w:rsidRDefault="007A5E46" w:rsidP="007A5E46">
      <w:pPr>
        <w:rPr>
          <w:b/>
          <w:bCs/>
          <w:sz w:val="18"/>
          <w:szCs w:val="18"/>
          <w:lang w:val="en-GB"/>
        </w:rPr>
      </w:pPr>
    </w:p>
    <w:p w14:paraId="11BFE55F" w14:textId="44D12756" w:rsidR="007A5E46" w:rsidRPr="00610088" w:rsidRDefault="007A5E46" w:rsidP="007A5E46">
      <w:pPr>
        <w:rPr>
          <w:sz w:val="18"/>
          <w:szCs w:val="18"/>
          <w:vertAlign w:val="superscript"/>
          <w:lang w:val="en-GB"/>
        </w:rPr>
      </w:pPr>
      <w:r w:rsidRPr="00610088">
        <w:rPr>
          <w:sz w:val="18"/>
          <w:szCs w:val="18"/>
          <w:lang w:val="en-GB"/>
        </w:rPr>
        <w:t>The 2017 MICS study showed that 98.3% of household members lived in a household that primarily relied on polluting fuels and technology for cooking, although only 2.6% cooked in poorly ventilated conditions. The majority cooked outdoors (25% open air, 35.4% on veranda or covered porch) or in a separate building (34.4%).</w:t>
      </w:r>
      <w:r w:rsidRPr="00610088">
        <w:rPr>
          <w:sz w:val="18"/>
          <w:szCs w:val="18"/>
          <w:vertAlign w:val="superscript"/>
          <w:lang w:val="en-GB"/>
        </w:rPr>
        <w:fldChar w:fldCharType="begin"/>
      </w:r>
      <w:r w:rsidRPr="00610088">
        <w:rPr>
          <w:sz w:val="18"/>
          <w:szCs w:val="18"/>
          <w:vertAlign w:val="superscript"/>
          <w:lang w:val="en-GB"/>
        </w:rPr>
        <w:instrText xml:space="preserve"> NOTEREF _Ref16853648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7</w:t>
      </w:r>
      <w:r w:rsidRPr="00610088">
        <w:rPr>
          <w:sz w:val="18"/>
          <w:szCs w:val="18"/>
          <w:vertAlign w:val="superscript"/>
          <w:lang w:val="en-GB"/>
        </w:rPr>
        <w:fldChar w:fldCharType="end"/>
      </w:r>
      <w:r w:rsidRPr="00610088">
        <w:rPr>
          <w:sz w:val="18"/>
          <w:szCs w:val="18"/>
          <w:vertAlign w:val="superscript"/>
          <w:lang w:val="en-GB"/>
        </w:rPr>
        <w:t xml:space="preserve"> </w:t>
      </w:r>
    </w:p>
    <w:p w14:paraId="09CF3200" w14:textId="77777777" w:rsidR="007A5E46" w:rsidRPr="00610088" w:rsidRDefault="007A5E46" w:rsidP="007A5E46">
      <w:pPr>
        <w:rPr>
          <w:sz w:val="18"/>
          <w:szCs w:val="18"/>
          <w:vertAlign w:val="superscript"/>
          <w:lang w:val="en-GB"/>
        </w:rPr>
      </w:pPr>
    </w:p>
    <w:p w14:paraId="6CBDDE39" w14:textId="77777777" w:rsidR="007A5E46" w:rsidRPr="00610088" w:rsidRDefault="007A5E46" w:rsidP="007A5E46">
      <w:pPr>
        <w:rPr>
          <w:sz w:val="18"/>
          <w:szCs w:val="18"/>
          <w:lang w:val="en-GB"/>
        </w:rPr>
      </w:pPr>
      <w:r w:rsidRPr="00610088">
        <w:rPr>
          <w:sz w:val="18"/>
          <w:szCs w:val="18"/>
          <w:lang w:val="en-GB"/>
        </w:rPr>
        <w:t>A 2015 Environment Protection Agency (EPA) study</w:t>
      </w:r>
      <w:r w:rsidRPr="00610088">
        <w:rPr>
          <w:rStyle w:val="EndnoteReference"/>
          <w:sz w:val="18"/>
          <w:szCs w:val="18"/>
          <w:lang w:val="en-GB"/>
        </w:rPr>
        <w:endnoteReference w:id="189"/>
      </w:r>
      <w:r w:rsidRPr="00610088">
        <w:rPr>
          <w:sz w:val="18"/>
          <w:szCs w:val="18"/>
          <w:lang w:val="en-GB"/>
        </w:rPr>
        <w:t xml:space="preserve"> looked at the impact of vehicular traffic on ambient air quality at Freetown roads and found a higher pollution at Kissy Road than at Wilkinson Road. At both roads peak values were observed that are unacceptable if the USA EPA standards would be applied. The study postulated that poorly maintained vehicles, human behavioural pattern and frequent traffic jams attributed to the peak values.  The first ever ambient air quality study in Freetown</w:t>
      </w:r>
      <w:bookmarkStart w:id="193" w:name="_Ref32801990"/>
      <w:r w:rsidRPr="00610088">
        <w:rPr>
          <w:rStyle w:val="EndnoteReference"/>
          <w:sz w:val="18"/>
          <w:szCs w:val="18"/>
          <w:lang w:val="en-GB"/>
        </w:rPr>
        <w:endnoteReference w:id="190"/>
      </w:r>
      <w:bookmarkEnd w:id="193"/>
      <w:r w:rsidRPr="00610088">
        <w:rPr>
          <w:sz w:val="18"/>
          <w:szCs w:val="18"/>
          <w:lang w:val="en-GB"/>
        </w:rPr>
        <w:t xml:space="preserve"> in 2010 and 2011 concluded that there was poor ambient air quality based on the levels of P levels of polycyclic aromatic hydrocarbons (PAHs), suspended particulate matter (SPM) and carbon monoxide (CO) found. </w:t>
      </w:r>
    </w:p>
    <w:p w14:paraId="4B0321B3" w14:textId="77777777" w:rsidR="007A5E46" w:rsidRPr="00610088" w:rsidRDefault="007A5E46" w:rsidP="007A5E46">
      <w:pPr>
        <w:rPr>
          <w:sz w:val="18"/>
          <w:szCs w:val="18"/>
          <w:lang w:val="en-GB"/>
        </w:rPr>
      </w:pPr>
    </w:p>
    <w:p w14:paraId="2F730103" w14:textId="1A2576B7" w:rsidR="007A5E46" w:rsidRPr="00610088" w:rsidRDefault="007A5E46" w:rsidP="007A5E46">
      <w:pPr>
        <w:rPr>
          <w:sz w:val="18"/>
          <w:szCs w:val="18"/>
          <w:lang w:val="en-GB"/>
        </w:rPr>
      </w:pPr>
      <w:r w:rsidRPr="00610088">
        <w:rPr>
          <w:sz w:val="18"/>
          <w:szCs w:val="18"/>
          <w:lang w:val="en-GB"/>
        </w:rPr>
        <w:t xml:space="preserve">A 2011 study </w:t>
      </w:r>
      <w:bookmarkStart w:id="194" w:name="_Ref32802063"/>
      <w:r w:rsidRPr="00610088">
        <w:rPr>
          <w:rStyle w:val="EndnoteReference"/>
          <w:sz w:val="18"/>
          <w:szCs w:val="18"/>
          <w:lang w:val="en-GB"/>
        </w:rPr>
        <w:endnoteReference w:id="191"/>
      </w:r>
      <w:bookmarkEnd w:id="194"/>
      <w:r w:rsidRPr="00610088">
        <w:rPr>
          <w:sz w:val="18"/>
          <w:szCs w:val="18"/>
          <w:vertAlign w:val="superscript"/>
          <w:lang w:val="en-GB"/>
        </w:rPr>
        <w:t xml:space="preserve">, </w:t>
      </w:r>
      <w:bookmarkStart w:id="195" w:name="_Ref32802065"/>
      <w:r w:rsidRPr="00610088">
        <w:rPr>
          <w:rStyle w:val="EndnoteReference"/>
          <w:sz w:val="18"/>
          <w:szCs w:val="18"/>
          <w:lang w:val="en-GB"/>
        </w:rPr>
        <w:endnoteReference w:id="192"/>
      </w:r>
      <w:bookmarkEnd w:id="195"/>
      <w:r w:rsidRPr="00610088">
        <w:rPr>
          <w:sz w:val="18"/>
          <w:szCs w:val="18"/>
          <w:vertAlign w:val="superscript"/>
          <w:lang w:val="en-GB"/>
        </w:rPr>
        <w:t xml:space="preserve">, </w:t>
      </w:r>
      <w:bookmarkStart w:id="196" w:name="_Ref32802067"/>
      <w:r w:rsidRPr="00610088">
        <w:rPr>
          <w:rStyle w:val="EndnoteReference"/>
          <w:sz w:val="18"/>
          <w:szCs w:val="18"/>
          <w:lang w:val="en-GB"/>
        </w:rPr>
        <w:endnoteReference w:id="193"/>
      </w:r>
      <w:bookmarkEnd w:id="196"/>
      <w:r w:rsidRPr="00610088">
        <w:rPr>
          <w:sz w:val="18"/>
          <w:szCs w:val="18"/>
          <w:vertAlign w:val="superscript"/>
          <w:lang w:val="en-GB"/>
        </w:rPr>
        <w:t xml:space="preserve"> </w:t>
      </w:r>
      <w:r w:rsidRPr="00610088">
        <w:rPr>
          <w:sz w:val="18"/>
          <w:szCs w:val="18"/>
          <w:lang w:val="en-GB"/>
        </w:rPr>
        <w:t>in and around 15 households using wood and charcoal stoves showed that, after adjusting for confounders, acute respiratory infections (ARI) were significantly more frequent for children in homes with wood stoves (64%) compared with homes with charcoal stoves (44%), but there was no significant difference for women in the same homes (32% versus 24%). The same study showed (potentially) dangerous levels of Carbon Monoxide, including 87% and 67% of 8 hrs CO concentrations in kitchens with charcoal and wood stoves in excess of WHO guidelines,</w:t>
      </w:r>
      <w:r w:rsidRPr="00610088">
        <w:rPr>
          <w:i/>
          <w:iCs/>
          <w:sz w:val="18"/>
          <w:szCs w:val="18"/>
          <w:lang w:val="en-GB"/>
        </w:rPr>
        <w:t xml:space="preserve"> </w:t>
      </w:r>
      <w:r w:rsidRPr="00610088">
        <w:rPr>
          <w:sz w:val="18"/>
          <w:szCs w:val="18"/>
          <w:lang w:val="en-GB"/>
        </w:rPr>
        <w:t>and of PM</w:t>
      </w:r>
      <w:r w:rsidRPr="00610088">
        <w:rPr>
          <w:sz w:val="18"/>
          <w:szCs w:val="18"/>
          <w:vertAlign w:val="subscript"/>
          <w:lang w:val="en-GB"/>
        </w:rPr>
        <w:t xml:space="preserve">2.5 </w:t>
      </w:r>
      <w:r w:rsidRPr="00610088">
        <w:rPr>
          <w:sz w:val="18"/>
          <w:szCs w:val="18"/>
          <w:lang w:val="en-GB"/>
        </w:rPr>
        <w:t xml:space="preserve">bound Polycyclic Aromatic Hydrocarbons (PAHs). Another study in the same period in 20 households using wood and charcoal stoves in Western Area rural showed high concentrations of PAH, CO and PM as compared to WHO guidelines. </w:t>
      </w:r>
      <w:bookmarkStart w:id="197" w:name="_Ref32802069"/>
      <w:r w:rsidRPr="00610088">
        <w:rPr>
          <w:rStyle w:val="EndnoteReference"/>
          <w:sz w:val="18"/>
          <w:szCs w:val="18"/>
          <w:lang w:val="en-GB"/>
        </w:rPr>
        <w:endnoteReference w:id="194"/>
      </w:r>
      <w:bookmarkEnd w:id="197"/>
    </w:p>
    <w:p w14:paraId="25824AB5" w14:textId="77777777" w:rsidR="007A5E46" w:rsidRPr="00610088" w:rsidRDefault="007A5E46" w:rsidP="007A5E46">
      <w:pPr>
        <w:rPr>
          <w:sz w:val="18"/>
          <w:szCs w:val="18"/>
          <w:lang w:val="en-GB"/>
        </w:rPr>
      </w:pPr>
    </w:p>
    <w:p w14:paraId="1278BFA6" w14:textId="77777777" w:rsidR="007A5E46" w:rsidRPr="00610088" w:rsidRDefault="007A5E46" w:rsidP="006048F4">
      <w:pPr>
        <w:pStyle w:val="Subtitle"/>
        <w:rPr>
          <w:b/>
          <w:bCs/>
          <w:sz w:val="18"/>
          <w:szCs w:val="18"/>
          <w:u w:val="single"/>
          <w:lang w:val="en-GB"/>
        </w:rPr>
      </w:pPr>
      <w:r w:rsidRPr="00610088">
        <w:rPr>
          <w:b/>
          <w:bCs/>
          <w:sz w:val="18"/>
          <w:szCs w:val="18"/>
          <w:u w:val="single"/>
          <w:lang w:val="en-GB"/>
        </w:rPr>
        <w:t>Raised blood pressure or Hypertension</w:t>
      </w:r>
    </w:p>
    <w:p w14:paraId="32A7E600" w14:textId="77777777" w:rsidR="007A5E46" w:rsidRPr="00610088" w:rsidRDefault="007A5E46" w:rsidP="007A5E46">
      <w:pPr>
        <w:rPr>
          <w:color w:val="000000" w:themeColor="text1"/>
          <w:sz w:val="18"/>
          <w:szCs w:val="18"/>
          <w:lang w:val="en-GB"/>
        </w:rPr>
      </w:pPr>
      <w:r w:rsidRPr="00610088">
        <w:rPr>
          <w:color w:val="000000" w:themeColor="text1"/>
          <w:sz w:val="18"/>
          <w:szCs w:val="18"/>
          <w:lang w:val="en-GB"/>
        </w:rPr>
        <w:t>Hypertension, also known as high or raised blood pressure, is defined as a systolic blood pressure is equal to or above 140 mm Hg and/or a diastolic blood pressure equal to or above 90 mm Hg.</w:t>
      </w:r>
      <w:r w:rsidRPr="00610088">
        <w:rPr>
          <w:color w:val="000000" w:themeColor="text1"/>
          <w:sz w:val="18"/>
          <w:szCs w:val="18"/>
          <w:vertAlign w:val="superscript"/>
          <w:lang w:val="en-GB"/>
        </w:rPr>
        <w:endnoteReference w:id="195"/>
      </w:r>
    </w:p>
    <w:p w14:paraId="6E2F69EF" w14:textId="4F9449A5" w:rsidR="007A5E46" w:rsidRPr="00610088" w:rsidRDefault="007A5E46" w:rsidP="007A5E46">
      <w:pPr>
        <w:rPr>
          <w:sz w:val="18"/>
          <w:szCs w:val="18"/>
          <w:vertAlign w:val="superscript"/>
          <w:lang w:val="en-GB"/>
        </w:rPr>
      </w:pPr>
      <w:r w:rsidRPr="00610088">
        <w:rPr>
          <w:sz w:val="18"/>
          <w:szCs w:val="18"/>
          <w:lang w:val="en-GB"/>
        </w:rPr>
        <w:t>According to WHO the following contribute to hypertension: eating food containing too much salt and fat; not eating enough fruits and vegetables; being overweight or obese, harmful use of alcohol, physical inactivity, ageing, genetic factors, psychological stress and socioeconomic determinants.</w:t>
      </w:r>
      <w:r w:rsidRPr="00610088">
        <w:rPr>
          <w:sz w:val="18"/>
          <w:szCs w:val="18"/>
          <w:highlight w:val="yellow"/>
          <w:vertAlign w:val="superscript"/>
          <w:lang w:val="en-GB"/>
        </w:rPr>
        <w:fldChar w:fldCharType="begin"/>
      </w:r>
      <w:r w:rsidRPr="00610088">
        <w:rPr>
          <w:sz w:val="18"/>
          <w:szCs w:val="18"/>
          <w:vertAlign w:val="superscript"/>
          <w:lang w:val="en-GB"/>
        </w:rPr>
        <w:instrText xml:space="preserve"> NOTEREF _Ref17196343 \h </w:instrText>
      </w:r>
      <w:r w:rsidRPr="00610088">
        <w:rPr>
          <w:sz w:val="18"/>
          <w:szCs w:val="18"/>
          <w:highlight w:val="yellow"/>
          <w:vertAlign w:val="superscript"/>
          <w:lang w:val="en-GB"/>
        </w:rPr>
        <w:instrText xml:space="preserve"> \* MERGEFORMAT </w:instrText>
      </w:r>
      <w:r w:rsidRPr="00610088">
        <w:rPr>
          <w:sz w:val="18"/>
          <w:szCs w:val="18"/>
          <w:highlight w:val="yellow"/>
          <w:vertAlign w:val="superscript"/>
          <w:lang w:val="en-GB"/>
        </w:rPr>
      </w:r>
      <w:r w:rsidRPr="00610088">
        <w:rPr>
          <w:sz w:val="18"/>
          <w:szCs w:val="18"/>
          <w:highlight w:val="yellow"/>
          <w:vertAlign w:val="superscript"/>
          <w:lang w:val="en-GB"/>
        </w:rPr>
        <w:fldChar w:fldCharType="separate"/>
      </w:r>
      <w:r w:rsidR="00CB360C">
        <w:rPr>
          <w:sz w:val="18"/>
          <w:szCs w:val="18"/>
          <w:vertAlign w:val="superscript"/>
          <w:lang w:val="en-GB"/>
        </w:rPr>
        <w:t>15</w:t>
      </w:r>
      <w:r w:rsidRPr="00610088">
        <w:rPr>
          <w:sz w:val="18"/>
          <w:szCs w:val="18"/>
          <w:highlight w:val="yellow"/>
          <w:vertAlign w:val="superscript"/>
          <w:lang w:val="en-GB"/>
        </w:rPr>
        <w:fldChar w:fldCharType="end"/>
      </w:r>
    </w:p>
    <w:p w14:paraId="2BFFF128" w14:textId="77777777" w:rsidR="007A5E46" w:rsidRPr="00610088" w:rsidRDefault="007A5E46" w:rsidP="007A5E46">
      <w:pPr>
        <w:rPr>
          <w:sz w:val="18"/>
          <w:szCs w:val="18"/>
          <w:vertAlign w:val="superscript"/>
          <w:lang w:val="en-GB"/>
        </w:rPr>
      </w:pPr>
    </w:p>
    <w:p w14:paraId="14D364C6" w14:textId="7F795401" w:rsidR="007A5E46" w:rsidRPr="00610088" w:rsidRDefault="007A5E46" w:rsidP="007A5E46">
      <w:pPr>
        <w:rPr>
          <w:sz w:val="18"/>
          <w:szCs w:val="18"/>
          <w:lang w:val="en-GB"/>
        </w:rPr>
      </w:pPr>
      <w:r w:rsidRPr="00610088">
        <w:rPr>
          <w:sz w:val="18"/>
          <w:szCs w:val="18"/>
          <w:lang w:val="en-GB"/>
        </w:rPr>
        <w:t xml:space="preserve">The 2009 STEPS survey </w:t>
      </w:r>
      <w:r w:rsidRPr="00610088">
        <w:rPr>
          <w:sz w:val="18"/>
          <w:szCs w:val="18"/>
          <w:lang w:val="en-GB"/>
        </w:rPr>
        <w:fldChar w:fldCharType="begin"/>
      </w:r>
      <w:r w:rsidRPr="00610088">
        <w:rPr>
          <w:sz w:val="18"/>
          <w:szCs w:val="18"/>
          <w:lang w:val="en-GB"/>
        </w:rPr>
        <w:instrText xml:space="preserve"> NOTEREF _Ref17032158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174</w:t>
      </w:r>
      <w:r w:rsidRPr="00610088">
        <w:rPr>
          <w:sz w:val="18"/>
          <w:szCs w:val="18"/>
          <w:lang w:val="en-GB"/>
        </w:rPr>
        <w:fldChar w:fldCharType="end"/>
      </w:r>
      <w:r w:rsidRPr="00610088">
        <w:rPr>
          <w:sz w:val="18"/>
          <w:szCs w:val="18"/>
          <w:vertAlign w:val="superscript"/>
          <w:lang w:val="en-GB"/>
        </w:rPr>
        <w:t xml:space="preserve">, </w:t>
      </w:r>
      <w:r w:rsidRPr="00610088">
        <w:rPr>
          <w:sz w:val="18"/>
          <w:szCs w:val="18"/>
          <w:lang w:val="en-GB"/>
        </w:rPr>
        <w:fldChar w:fldCharType="begin"/>
      </w:r>
      <w:r w:rsidRPr="00610088">
        <w:rPr>
          <w:sz w:val="18"/>
          <w:szCs w:val="18"/>
          <w:lang w:val="en-GB"/>
        </w:rPr>
        <w:instrText xml:space="preserve"> NOTEREF _Ref17040725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175</w:t>
      </w:r>
      <w:r w:rsidRPr="00610088">
        <w:rPr>
          <w:sz w:val="18"/>
          <w:szCs w:val="18"/>
          <w:lang w:val="en-GB"/>
        </w:rPr>
        <w:fldChar w:fldCharType="end"/>
      </w:r>
      <w:r w:rsidRPr="00610088">
        <w:rPr>
          <w:sz w:val="18"/>
          <w:szCs w:val="18"/>
          <w:lang w:val="en-GB"/>
        </w:rPr>
        <w:t xml:space="preserve"> found that 34.8% (M 36.6%, F 33.1%) of the respondents had a raised blood pressure or were currently on medication for raised blood pressure. The mean systolic blood pressure (SBP) was 130.8 (M 132.7, F129.0), while the mean diastolic blood pressure was 80.3 (M 80.0, F 80.6). </w:t>
      </w:r>
    </w:p>
    <w:p w14:paraId="0CCDC039" w14:textId="77777777" w:rsidR="007A5E46" w:rsidRPr="00610088" w:rsidRDefault="007A5E46" w:rsidP="007A5E46">
      <w:pPr>
        <w:rPr>
          <w:sz w:val="18"/>
          <w:szCs w:val="18"/>
          <w:lang w:val="en-GB"/>
        </w:rPr>
      </w:pPr>
    </w:p>
    <w:p w14:paraId="4C53F857" w14:textId="77777777" w:rsidR="007A5E46" w:rsidRPr="00610088" w:rsidRDefault="007A5E46" w:rsidP="007A5E46">
      <w:pPr>
        <w:pStyle w:val="NoSpacing"/>
        <w:rPr>
          <w:sz w:val="18"/>
          <w:szCs w:val="18"/>
          <w:lang w:val="en-GB"/>
        </w:rPr>
      </w:pPr>
      <w:r w:rsidRPr="00610088">
        <w:rPr>
          <w:sz w:val="18"/>
          <w:szCs w:val="18"/>
          <w:lang w:val="en-GB"/>
        </w:rPr>
        <w:t>The reported prevalence of hypertension in the general population in Sierra Leone ranges from 12% to 50%.</w:t>
      </w:r>
    </w:p>
    <w:p w14:paraId="4C6AECD5" w14:textId="0A8A2440" w:rsidR="007A5E46" w:rsidRPr="00610088" w:rsidRDefault="007A5E46" w:rsidP="007A5E46">
      <w:pPr>
        <w:pStyle w:val="NoSpacing"/>
        <w:rPr>
          <w:sz w:val="18"/>
          <w:szCs w:val="18"/>
          <w:lang w:val="en-GB"/>
        </w:rPr>
      </w:pPr>
      <w:r w:rsidRPr="00610088">
        <w:rPr>
          <w:color w:val="000000" w:themeColor="text1"/>
          <w:sz w:val="18"/>
          <w:szCs w:val="18"/>
          <w:lang w:val="en-GB"/>
        </w:rPr>
        <w:t xml:space="preserve">A 1998 article reports rural HPT prevalence in rural </w:t>
      </w:r>
      <w:proofErr w:type="spellStart"/>
      <w:r w:rsidRPr="00610088">
        <w:rPr>
          <w:color w:val="000000" w:themeColor="text1"/>
          <w:sz w:val="18"/>
          <w:szCs w:val="18"/>
          <w:lang w:val="en-GB"/>
        </w:rPr>
        <w:t>Kambia</w:t>
      </w:r>
      <w:proofErr w:type="spellEnd"/>
      <w:r w:rsidRPr="00610088">
        <w:rPr>
          <w:color w:val="000000" w:themeColor="text1"/>
          <w:sz w:val="18"/>
          <w:szCs w:val="18"/>
          <w:lang w:val="en-GB"/>
        </w:rPr>
        <w:t xml:space="preserve"> district of 17.6% and rural Bo districts of 24.8% based on a total of 463 people.</w:t>
      </w:r>
      <w:bookmarkStart w:id="198" w:name="_Ref32802285"/>
      <w:r w:rsidRPr="00610088">
        <w:rPr>
          <w:rStyle w:val="EndnoteReference"/>
          <w:color w:val="000000" w:themeColor="text1"/>
          <w:sz w:val="18"/>
          <w:szCs w:val="18"/>
          <w:lang w:val="en-GB"/>
        </w:rPr>
        <w:endnoteReference w:id="196"/>
      </w:r>
      <w:bookmarkEnd w:id="198"/>
      <w:r w:rsidRPr="00610088">
        <w:rPr>
          <w:color w:val="000000" w:themeColor="text1"/>
          <w:sz w:val="18"/>
          <w:szCs w:val="18"/>
          <w:lang w:val="en-GB"/>
        </w:rPr>
        <w:t xml:space="preserve"> A 1999 article reports age-adjusted hypertension prevalence of 23.4% in urban Freetown (n=598) and rural Port </w:t>
      </w:r>
      <w:proofErr w:type="spellStart"/>
      <w:r w:rsidRPr="00610088">
        <w:rPr>
          <w:color w:val="000000" w:themeColor="text1"/>
          <w:sz w:val="18"/>
          <w:szCs w:val="18"/>
          <w:lang w:val="en-GB"/>
        </w:rPr>
        <w:t>Loko</w:t>
      </w:r>
      <w:proofErr w:type="spellEnd"/>
      <w:r w:rsidRPr="00610088">
        <w:rPr>
          <w:color w:val="000000" w:themeColor="text1"/>
          <w:sz w:val="18"/>
          <w:szCs w:val="18"/>
          <w:lang w:val="en-GB"/>
        </w:rPr>
        <w:t xml:space="preserve"> (14.7%), with the difference in prevalence not being significant any more after correcting for BMI and age differences in the two groups.</w:t>
      </w:r>
      <w:bookmarkStart w:id="199" w:name="_Ref32802287"/>
      <w:r w:rsidRPr="00610088">
        <w:rPr>
          <w:rStyle w:val="EndnoteReference"/>
          <w:color w:val="000000" w:themeColor="text1"/>
          <w:sz w:val="18"/>
          <w:szCs w:val="18"/>
          <w:lang w:val="en-GB"/>
        </w:rPr>
        <w:endnoteReference w:id="197"/>
      </w:r>
      <w:bookmarkEnd w:id="199"/>
      <w:r w:rsidRPr="00610088">
        <w:rPr>
          <w:color w:val="000000" w:themeColor="text1"/>
          <w:sz w:val="18"/>
          <w:szCs w:val="18"/>
          <w:lang w:val="en-GB"/>
        </w:rPr>
        <w:t xml:space="preserve">  A study in 2016 among </w:t>
      </w:r>
      <w:r w:rsidRPr="00610088">
        <w:rPr>
          <w:sz w:val="18"/>
          <w:szCs w:val="18"/>
          <w:lang w:val="en-GB"/>
        </w:rPr>
        <w:t xml:space="preserve">30 undergraduate </w:t>
      </w:r>
      <w:proofErr w:type="spellStart"/>
      <w:r w:rsidRPr="00610088">
        <w:rPr>
          <w:sz w:val="18"/>
          <w:szCs w:val="18"/>
          <w:lang w:val="en-GB"/>
        </w:rPr>
        <w:t>Njala</w:t>
      </w:r>
      <w:proofErr w:type="spellEnd"/>
      <w:r w:rsidRPr="00610088">
        <w:rPr>
          <w:sz w:val="18"/>
          <w:szCs w:val="18"/>
          <w:lang w:val="en-GB"/>
        </w:rPr>
        <w:t xml:space="preserve"> university students found a prevalence of 12</w:t>
      </w:r>
      <w:bookmarkStart w:id="200" w:name="_Ref17027544"/>
      <w:r w:rsidRPr="00610088">
        <w:rPr>
          <w:sz w:val="18"/>
          <w:szCs w:val="18"/>
          <w:lang w:val="en-GB"/>
        </w:rPr>
        <w:t>%.</w:t>
      </w:r>
      <w:bookmarkStart w:id="201" w:name="_Ref32802292"/>
      <w:r w:rsidRPr="00610088">
        <w:rPr>
          <w:rStyle w:val="EndnoteReference"/>
          <w:sz w:val="18"/>
          <w:szCs w:val="18"/>
          <w:lang w:val="en-GB"/>
        </w:rPr>
        <w:endnoteReference w:id="198"/>
      </w:r>
      <w:bookmarkEnd w:id="200"/>
      <w:bookmarkEnd w:id="201"/>
      <w:r w:rsidRPr="00610088">
        <w:rPr>
          <w:sz w:val="18"/>
          <w:szCs w:val="18"/>
          <w:lang w:val="en-GB"/>
        </w:rPr>
        <w:t xml:space="preserve">  </w:t>
      </w:r>
    </w:p>
    <w:p w14:paraId="3741405B" w14:textId="34BAF21E" w:rsidR="00ED1B2C" w:rsidRPr="00610088" w:rsidRDefault="007A5E46" w:rsidP="007A5E46">
      <w:pPr>
        <w:pStyle w:val="NoSpacing"/>
        <w:rPr>
          <w:sz w:val="18"/>
          <w:szCs w:val="18"/>
          <w:vertAlign w:val="superscript"/>
          <w:lang w:val="en-GB"/>
        </w:rPr>
      </w:pPr>
      <w:r w:rsidRPr="00610088">
        <w:rPr>
          <w:sz w:val="18"/>
          <w:szCs w:val="18"/>
          <w:lang w:val="en-GB"/>
        </w:rPr>
        <w:t>A recent study in urban and rural Bo in 2,000 adults over 40 years found a prevalence of 50 %, with significantly higher proportions in respondents that were urban, female, older, more educated or wealthier in the multivariate analysis using population weights.</w:t>
      </w:r>
      <w:r w:rsidRPr="00610088">
        <w:rPr>
          <w:sz w:val="18"/>
          <w:szCs w:val="18"/>
          <w:vertAlign w:val="superscript"/>
          <w:lang w:val="en-GB"/>
        </w:rPr>
        <w:fldChar w:fldCharType="begin"/>
      </w:r>
      <w:r w:rsidRPr="00610088">
        <w:rPr>
          <w:sz w:val="18"/>
          <w:szCs w:val="18"/>
          <w:vertAlign w:val="superscript"/>
          <w:lang w:val="en-GB"/>
        </w:rPr>
        <w:instrText xml:space="preserve"> NOTEREF _Ref17030981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157</w:t>
      </w:r>
      <w:r w:rsidRPr="00610088">
        <w:rPr>
          <w:sz w:val="18"/>
          <w:szCs w:val="18"/>
          <w:vertAlign w:val="superscript"/>
          <w:lang w:val="en-GB"/>
        </w:rPr>
        <w:fldChar w:fldCharType="end"/>
      </w:r>
    </w:p>
    <w:p w14:paraId="7C8A1D49" w14:textId="51103474" w:rsidR="007A5E46" w:rsidRPr="00610088" w:rsidRDefault="007A5E46" w:rsidP="007A5E46">
      <w:pPr>
        <w:pStyle w:val="NoSpacing"/>
        <w:rPr>
          <w:sz w:val="18"/>
          <w:szCs w:val="18"/>
          <w:vertAlign w:val="superscript"/>
          <w:lang w:val="en-GB"/>
        </w:rPr>
      </w:pPr>
      <w:r w:rsidRPr="00610088">
        <w:rPr>
          <w:sz w:val="18"/>
          <w:szCs w:val="18"/>
          <w:lang w:val="en-GB"/>
        </w:rPr>
        <w:lastRenderedPageBreak/>
        <w:t xml:space="preserve">The reported prevalence of hypertension in different patient populations in Sierra Leone ranges from 11% to 68%.  A </w:t>
      </w:r>
      <w:r w:rsidRPr="00610088">
        <w:rPr>
          <w:color w:val="000000" w:themeColor="text1"/>
          <w:sz w:val="18"/>
          <w:szCs w:val="18"/>
          <w:lang w:val="en-GB"/>
        </w:rPr>
        <w:t>1993 article reports a prevalence of 68% among 87 stroke in-patients</w:t>
      </w:r>
      <w:bookmarkStart w:id="202" w:name="_Ref32802332"/>
      <w:r w:rsidRPr="00610088">
        <w:rPr>
          <w:rStyle w:val="EndnoteReference"/>
          <w:color w:val="000000" w:themeColor="text1"/>
          <w:sz w:val="18"/>
          <w:szCs w:val="18"/>
          <w:lang w:val="en-GB"/>
        </w:rPr>
        <w:endnoteReference w:id="199"/>
      </w:r>
      <w:bookmarkEnd w:id="202"/>
      <w:r w:rsidRPr="00610088">
        <w:rPr>
          <w:color w:val="000000" w:themeColor="text1"/>
          <w:sz w:val="18"/>
          <w:szCs w:val="18"/>
          <w:lang w:val="en-GB"/>
        </w:rPr>
        <w:t>. A prevalence of 44.8% was found among self-presenting patients to outreaches by a visiting California medical team across Gambia and Sierra Leone from 2000 to 2009</w:t>
      </w:r>
      <w:bookmarkStart w:id="203" w:name="_Ref17028401"/>
      <w:r w:rsidRPr="00610088">
        <w:rPr>
          <w:rStyle w:val="EndnoteReference"/>
          <w:color w:val="000000" w:themeColor="text1"/>
          <w:sz w:val="18"/>
          <w:szCs w:val="18"/>
          <w:lang w:val="en-GB"/>
        </w:rPr>
        <w:endnoteReference w:id="200"/>
      </w:r>
      <w:bookmarkEnd w:id="203"/>
      <w:r w:rsidRPr="00610088">
        <w:rPr>
          <w:color w:val="000000" w:themeColor="text1"/>
          <w:sz w:val="18"/>
          <w:szCs w:val="18"/>
          <w:lang w:val="en-GB"/>
        </w:rPr>
        <w:t>. A study among 3944 non-pregnant OPD patients in a Bo hospital in 2009 found an a</w:t>
      </w:r>
      <w:r w:rsidRPr="00610088">
        <w:rPr>
          <w:sz w:val="18"/>
          <w:szCs w:val="18"/>
          <w:lang w:val="en-GB"/>
        </w:rPr>
        <w:t>ge-adjusted prevalence of 19.6% in 15 year and over and 23.6% in 20 years and over.</w:t>
      </w:r>
      <w:bookmarkStart w:id="204" w:name="_Ref32802335"/>
      <w:r w:rsidRPr="00610088">
        <w:rPr>
          <w:rStyle w:val="EndnoteReference"/>
          <w:sz w:val="18"/>
          <w:szCs w:val="18"/>
          <w:lang w:val="en-GB"/>
        </w:rPr>
        <w:endnoteReference w:id="201"/>
      </w:r>
      <w:bookmarkEnd w:id="204"/>
      <w:r w:rsidRPr="00610088">
        <w:rPr>
          <w:sz w:val="18"/>
          <w:szCs w:val="18"/>
          <w:lang w:val="en-GB"/>
        </w:rPr>
        <w:t xml:space="preserve"> A 2018 study of 646 adults (20-65 years) in three Western Area urban hospitals found a prevalence of 41.0% with no difference between females (41.5%) and males (40.4%), with higher proportions among older age groups and people with vocational education and physical inactivity.</w:t>
      </w:r>
      <w:bookmarkStart w:id="205" w:name="_Ref32802336"/>
      <w:r w:rsidRPr="00610088">
        <w:rPr>
          <w:rStyle w:val="EndnoteReference"/>
          <w:sz w:val="18"/>
          <w:szCs w:val="18"/>
          <w:lang w:val="en-GB"/>
        </w:rPr>
        <w:endnoteReference w:id="202"/>
      </w:r>
      <w:bookmarkEnd w:id="205"/>
    </w:p>
    <w:p w14:paraId="599267D0" w14:textId="75B92093" w:rsidR="007A5E46" w:rsidRPr="00610088" w:rsidRDefault="007A5E46" w:rsidP="007A5E46">
      <w:pPr>
        <w:pStyle w:val="NoSpacing"/>
        <w:rPr>
          <w:sz w:val="18"/>
          <w:szCs w:val="18"/>
          <w:lang w:val="en-GB"/>
        </w:rPr>
      </w:pPr>
      <w:r w:rsidRPr="00610088">
        <w:rPr>
          <w:sz w:val="18"/>
          <w:szCs w:val="18"/>
          <w:lang w:val="en-GB"/>
        </w:rPr>
        <w:t xml:space="preserve"> The CHO-MLTP (Community Health Officer-Management &amp; Leadership Training Program)</w:t>
      </w:r>
      <w:bookmarkStart w:id="206" w:name="_Ref17258554"/>
      <w:r w:rsidRPr="00610088">
        <w:rPr>
          <w:rStyle w:val="EndnoteReference"/>
          <w:sz w:val="18"/>
          <w:szCs w:val="18"/>
          <w:lang w:val="en-GB"/>
        </w:rPr>
        <w:endnoteReference w:id="203"/>
      </w:r>
      <w:bookmarkEnd w:id="206"/>
      <w:r w:rsidRPr="00610088">
        <w:rPr>
          <w:sz w:val="18"/>
          <w:szCs w:val="18"/>
          <w:lang w:val="en-GB"/>
        </w:rPr>
        <w:t xml:space="preserve">  found a prevalence of 11% elevated blood pressure (</w:t>
      </w:r>
      <w:r w:rsidRPr="00610088">
        <w:rPr>
          <w:sz w:val="18"/>
          <w:szCs w:val="18"/>
          <w:lang w:val="en-GB"/>
        </w:rPr>
        <w:sym w:font="Symbol" w:char="F0B3"/>
      </w:r>
      <w:r w:rsidRPr="00610088">
        <w:rPr>
          <w:sz w:val="18"/>
          <w:szCs w:val="18"/>
          <w:lang w:val="en-GB"/>
        </w:rPr>
        <w:t xml:space="preserve"> 140/90) among adult outpatients aged </w:t>
      </w:r>
      <w:r w:rsidRPr="00610088">
        <w:rPr>
          <w:sz w:val="18"/>
          <w:szCs w:val="18"/>
          <w:lang w:val="en-GB"/>
        </w:rPr>
        <w:sym w:font="Symbol" w:char="F0B3"/>
      </w:r>
      <w:r w:rsidRPr="00610088">
        <w:rPr>
          <w:sz w:val="18"/>
          <w:szCs w:val="18"/>
          <w:lang w:val="en-GB"/>
        </w:rPr>
        <w:t xml:space="preserve"> 20 years visiting 69 CHCs in total 10 districts in Sierra Leone.</w:t>
      </w:r>
      <w:bookmarkStart w:id="207" w:name="_Ref17258556"/>
      <w:r w:rsidRPr="00610088">
        <w:rPr>
          <w:rStyle w:val="EndnoteReference"/>
          <w:sz w:val="18"/>
          <w:szCs w:val="18"/>
          <w:lang w:val="en-GB"/>
        </w:rPr>
        <w:endnoteReference w:id="204"/>
      </w:r>
      <w:bookmarkEnd w:id="207"/>
    </w:p>
    <w:p w14:paraId="60A57EC9" w14:textId="77777777" w:rsidR="007A5E46" w:rsidRPr="00610088" w:rsidRDefault="007A5E46" w:rsidP="007A5E46">
      <w:pPr>
        <w:pStyle w:val="NoSpacing"/>
        <w:rPr>
          <w:sz w:val="18"/>
          <w:szCs w:val="18"/>
          <w:lang w:val="en-GB"/>
        </w:rPr>
      </w:pPr>
    </w:p>
    <w:p w14:paraId="5D30CB08" w14:textId="2DD77614" w:rsidR="006048F4" w:rsidRPr="00610088" w:rsidRDefault="007A5E46" w:rsidP="00ED1B2C">
      <w:pPr>
        <w:rPr>
          <w:sz w:val="18"/>
          <w:szCs w:val="18"/>
          <w:lang w:val="en-GB"/>
        </w:rPr>
      </w:pPr>
      <w:r w:rsidRPr="00610088">
        <w:rPr>
          <w:sz w:val="18"/>
          <w:szCs w:val="18"/>
          <w:lang w:val="en-GB"/>
        </w:rPr>
        <w:t xml:space="preserve">The DHIS 2.0 - which counts morbidities at each visit so not unique patients - captured for 2018 in total 36,951 visits and admissions of people with hypertension out of in total 5,003,031 morbidities (0.74%), of which 28,050 from primary health care and 6,446 and 2,455 from hospital out- and inpatient departments respectively. Differentiation between main and additional diagnosis is not possible in the DHIS 2.0. </w:t>
      </w:r>
    </w:p>
    <w:p w14:paraId="3DD99B3B" w14:textId="77777777" w:rsidR="00ED1B2C" w:rsidRPr="00610088" w:rsidRDefault="00ED1B2C" w:rsidP="00ED1B2C">
      <w:pPr>
        <w:rPr>
          <w:sz w:val="18"/>
          <w:szCs w:val="18"/>
          <w:lang w:val="en-GB"/>
        </w:rPr>
      </w:pPr>
    </w:p>
    <w:p w14:paraId="6B5A0C8A" w14:textId="518101D9" w:rsidR="007A5E46" w:rsidRPr="00610088" w:rsidRDefault="007A5E46" w:rsidP="006048F4">
      <w:pPr>
        <w:pStyle w:val="Subtitle"/>
        <w:rPr>
          <w:b/>
          <w:bCs/>
          <w:sz w:val="18"/>
          <w:szCs w:val="18"/>
          <w:u w:val="single"/>
          <w:lang w:val="en-GB"/>
        </w:rPr>
      </w:pPr>
      <w:r w:rsidRPr="00610088">
        <w:rPr>
          <w:b/>
          <w:bCs/>
          <w:sz w:val="18"/>
          <w:szCs w:val="18"/>
          <w:u w:val="single"/>
          <w:lang w:val="en-GB"/>
        </w:rPr>
        <w:t>Overweight/obesity</w:t>
      </w:r>
    </w:p>
    <w:p w14:paraId="2EC4D679" w14:textId="77777777" w:rsidR="007A5E46" w:rsidRPr="00610088" w:rsidRDefault="007A5E46" w:rsidP="007A5E46">
      <w:pPr>
        <w:tabs>
          <w:tab w:val="num" w:pos="720"/>
        </w:tabs>
        <w:rPr>
          <w:rFonts w:eastAsiaTheme="minorEastAsia"/>
          <w:sz w:val="18"/>
          <w:szCs w:val="18"/>
          <w:lang w:val="en-GB"/>
        </w:rPr>
      </w:pPr>
      <w:r w:rsidRPr="00610088">
        <w:rPr>
          <w:rFonts w:eastAsiaTheme="minorEastAsia"/>
          <w:sz w:val="18"/>
          <w:szCs w:val="18"/>
          <w:lang w:val="en-GB"/>
        </w:rPr>
        <w:t xml:space="preserve">Overweight and obesity are abnormal or excessive fat accumulation that poses a health risk. They can be measured through the Body Mass Index (BMI), calculated by dividing a person’s weight in kilograms by the square of the person’s height in meters. A person with a BMI of 30 of or more is considered obese, while a person with a BMI of 25 or more (but less than 30) is considered overweight.  A BMI of 25 or more is considered a major risk factor for NCDs, including diabetes, cardiovascular diseases and cancer. </w:t>
      </w:r>
      <w:r w:rsidRPr="00610088">
        <w:rPr>
          <w:rStyle w:val="EndnoteReference"/>
          <w:rFonts w:eastAsiaTheme="minorEastAsia"/>
          <w:sz w:val="18"/>
          <w:szCs w:val="18"/>
          <w:lang w:val="en-GB"/>
        </w:rPr>
        <w:endnoteReference w:id="205"/>
      </w:r>
      <w:r w:rsidRPr="00610088">
        <w:rPr>
          <w:rFonts w:eastAsiaTheme="minorEastAsia"/>
          <w:sz w:val="18"/>
          <w:szCs w:val="18"/>
          <w:lang w:val="en-GB"/>
        </w:rPr>
        <w:t xml:space="preserve"> Abdominal obesity can be measured with waist circumference; in the absence of specific Sub-Saharan Africa </w:t>
      </w:r>
      <w:proofErr w:type="gramStart"/>
      <w:r w:rsidRPr="00610088">
        <w:rPr>
          <w:rFonts w:eastAsiaTheme="minorEastAsia"/>
          <w:sz w:val="18"/>
          <w:szCs w:val="18"/>
          <w:lang w:val="en-GB"/>
        </w:rPr>
        <w:t>cut-off</w:t>
      </w:r>
      <w:proofErr w:type="gramEnd"/>
      <w:r w:rsidRPr="00610088">
        <w:rPr>
          <w:rFonts w:eastAsiaTheme="minorEastAsia"/>
          <w:sz w:val="18"/>
          <w:szCs w:val="18"/>
          <w:lang w:val="en-GB"/>
        </w:rPr>
        <w:t xml:space="preserve"> it is advised to use the European cut-offs: &gt;80 centimetres for women and &gt;94 centimetres for men. </w:t>
      </w:r>
      <w:r w:rsidRPr="00610088">
        <w:rPr>
          <w:rStyle w:val="EndnoteReference"/>
          <w:rFonts w:eastAsiaTheme="minorEastAsia"/>
          <w:sz w:val="18"/>
          <w:szCs w:val="18"/>
          <w:lang w:val="en-GB"/>
        </w:rPr>
        <w:endnoteReference w:id="206"/>
      </w:r>
    </w:p>
    <w:p w14:paraId="5064AFE8" w14:textId="77777777" w:rsidR="007A5E46" w:rsidRPr="00610088" w:rsidRDefault="007A5E46" w:rsidP="007A5E46">
      <w:pPr>
        <w:tabs>
          <w:tab w:val="num" w:pos="720"/>
        </w:tabs>
        <w:rPr>
          <w:rFonts w:eastAsiaTheme="minorEastAsia"/>
          <w:sz w:val="18"/>
          <w:szCs w:val="18"/>
          <w:lang w:val="en-GB"/>
        </w:rPr>
      </w:pPr>
    </w:p>
    <w:p w14:paraId="41BD29DA" w14:textId="77777777" w:rsidR="007A5E46" w:rsidRPr="00610088" w:rsidRDefault="007A5E46" w:rsidP="007A5E46">
      <w:pPr>
        <w:tabs>
          <w:tab w:val="num" w:pos="720"/>
        </w:tabs>
        <w:rPr>
          <w:rFonts w:eastAsiaTheme="minorEastAsia"/>
          <w:sz w:val="18"/>
          <w:szCs w:val="18"/>
          <w:lang w:val="en-GB"/>
        </w:rPr>
      </w:pPr>
      <w:r w:rsidRPr="00610088">
        <w:rPr>
          <w:rFonts w:eastAsiaTheme="minorEastAsia"/>
          <w:sz w:val="18"/>
          <w:szCs w:val="18"/>
          <w:lang w:val="en-GB"/>
        </w:rPr>
        <w:t xml:space="preserve">An overweight/obesity study of preschool children (0-59 months) in 26 countries in Sub-Sahara Africa showed a mean prevalence of overweight and obesity of 6.8%. Sierra Leone (2013) had a much higher prevalence: 16.9%, consisting of 9.5% obesity and 7.4% overweight. It was estimate that there were 178,126 affected children in Sierra Leone (100,130 obesity; 77,996 overweight). </w:t>
      </w:r>
      <w:bookmarkStart w:id="208" w:name="_Ref32802576"/>
      <w:r w:rsidRPr="00610088">
        <w:rPr>
          <w:rStyle w:val="EndnoteReference"/>
          <w:rFonts w:eastAsiaTheme="minorEastAsia"/>
          <w:sz w:val="18"/>
          <w:szCs w:val="18"/>
          <w:lang w:val="en-GB"/>
        </w:rPr>
        <w:endnoteReference w:id="207"/>
      </w:r>
      <w:bookmarkEnd w:id="208"/>
    </w:p>
    <w:p w14:paraId="10FB707B" w14:textId="77777777" w:rsidR="007A5E46" w:rsidRPr="00610088" w:rsidRDefault="007A5E46" w:rsidP="007A5E46">
      <w:pPr>
        <w:tabs>
          <w:tab w:val="num" w:pos="720"/>
        </w:tabs>
        <w:rPr>
          <w:rFonts w:eastAsiaTheme="minorEastAsia"/>
          <w:sz w:val="18"/>
          <w:szCs w:val="18"/>
          <w:lang w:val="en-GB"/>
        </w:rPr>
      </w:pPr>
    </w:p>
    <w:p w14:paraId="1916E1D2" w14:textId="7BEFAA3A" w:rsidR="007A5E46" w:rsidRPr="00610088" w:rsidRDefault="007A5E46" w:rsidP="007A5E46">
      <w:pPr>
        <w:tabs>
          <w:tab w:val="num" w:pos="720"/>
        </w:tabs>
        <w:rPr>
          <w:sz w:val="18"/>
          <w:szCs w:val="18"/>
          <w:vertAlign w:val="superscript"/>
          <w:lang w:val="en-GB"/>
        </w:rPr>
      </w:pPr>
      <w:r w:rsidRPr="00610088">
        <w:rPr>
          <w:sz w:val="18"/>
          <w:szCs w:val="18"/>
          <w:lang w:val="en-GB"/>
        </w:rPr>
        <w:t xml:space="preserve">A diabetes prevalence study in Bo district among 501 adults, published in 1997, found a mean BMI of 22.3, with significant differences between urban (23.0) and rural (21.6, p&lt;0.001) and significant differences between rural males (20.6) and rural females (22.7). 15% of the adults were overweight, while 5% were obese. Seventy five percent of the obese adults were female. Dietary habits were similar in both urban and rural adults. </w:t>
      </w:r>
      <w:r w:rsidRPr="00610088">
        <w:rPr>
          <w:sz w:val="18"/>
          <w:szCs w:val="18"/>
          <w:vertAlign w:val="superscript"/>
          <w:lang w:val="en-GB"/>
        </w:rPr>
        <w:fldChar w:fldCharType="begin"/>
      </w:r>
      <w:r w:rsidRPr="00610088">
        <w:rPr>
          <w:sz w:val="18"/>
          <w:szCs w:val="18"/>
          <w:vertAlign w:val="superscript"/>
          <w:lang w:val="en-GB"/>
        </w:rPr>
        <w:instrText xml:space="preserve"> NOTEREF _Ref17204703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155</w:t>
      </w:r>
      <w:r w:rsidRPr="00610088">
        <w:rPr>
          <w:sz w:val="18"/>
          <w:szCs w:val="18"/>
          <w:vertAlign w:val="superscript"/>
          <w:lang w:val="en-GB"/>
        </w:rPr>
        <w:fldChar w:fldCharType="end"/>
      </w:r>
      <w:r w:rsidRPr="00610088">
        <w:rPr>
          <w:sz w:val="18"/>
          <w:szCs w:val="18"/>
          <w:lang w:val="en-GB"/>
        </w:rPr>
        <w:t xml:space="preserve">  </w:t>
      </w:r>
    </w:p>
    <w:p w14:paraId="1DE2058A" w14:textId="77777777" w:rsidR="007A5E46" w:rsidRPr="00610088" w:rsidRDefault="007A5E46" w:rsidP="007A5E46">
      <w:pPr>
        <w:tabs>
          <w:tab w:val="num" w:pos="720"/>
        </w:tabs>
        <w:rPr>
          <w:rFonts w:eastAsiaTheme="minorEastAsia"/>
          <w:b/>
          <w:bCs/>
          <w:sz w:val="18"/>
          <w:szCs w:val="18"/>
          <w:lang w:val="en-GB"/>
        </w:rPr>
      </w:pPr>
    </w:p>
    <w:p w14:paraId="02FB4738" w14:textId="759E7B04" w:rsidR="007A5E46" w:rsidRPr="00610088" w:rsidRDefault="007A5E46" w:rsidP="007A5E46">
      <w:pPr>
        <w:tabs>
          <w:tab w:val="num" w:pos="720"/>
        </w:tabs>
        <w:rPr>
          <w:rFonts w:eastAsiaTheme="minorEastAsia"/>
          <w:sz w:val="18"/>
          <w:szCs w:val="18"/>
          <w:lang w:val="en-GB"/>
        </w:rPr>
      </w:pPr>
      <w:r w:rsidRPr="00610088">
        <w:rPr>
          <w:rFonts w:eastAsiaTheme="minorEastAsia"/>
          <w:sz w:val="18"/>
          <w:szCs w:val="18"/>
          <w:lang w:val="en-GB"/>
        </w:rPr>
        <w:t xml:space="preserve">The mean BMI in the STEPS 2009 survey </w:t>
      </w:r>
      <w:r w:rsidRPr="00610088">
        <w:rPr>
          <w:rFonts w:eastAsiaTheme="minorEastAsia"/>
          <w:sz w:val="18"/>
          <w:szCs w:val="18"/>
          <w:vertAlign w:val="superscript"/>
          <w:lang w:val="en-GB"/>
        </w:rPr>
        <w:fldChar w:fldCharType="begin"/>
      </w:r>
      <w:r w:rsidRPr="00610088">
        <w:rPr>
          <w:rFonts w:eastAsiaTheme="minorEastAsia"/>
          <w:sz w:val="18"/>
          <w:szCs w:val="18"/>
          <w:vertAlign w:val="superscript"/>
          <w:lang w:val="en-GB"/>
        </w:rPr>
        <w:instrText xml:space="preserve"> NOTEREF _Ref17032158 \h  \* MERGEFORMAT </w:instrText>
      </w:r>
      <w:r w:rsidRPr="00610088">
        <w:rPr>
          <w:rFonts w:eastAsiaTheme="minorEastAsia"/>
          <w:sz w:val="18"/>
          <w:szCs w:val="18"/>
          <w:vertAlign w:val="superscript"/>
          <w:lang w:val="en-GB"/>
        </w:rPr>
      </w:r>
      <w:r w:rsidRPr="00610088">
        <w:rPr>
          <w:rFonts w:eastAsiaTheme="minorEastAsia"/>
          <w:sz w:val="18"/>
          <w:szCs w:val="18"/>
          <w:vertAlign w:val="superscript"/>
          <w:lang w:val="en-GB"/>
        </w:rPr>
        <w:fldChar w:fldCharType="separate"/>
      </w:r>
      <w:r w:rsidR="00CB360C">
        <w:rPr>
          <w:rFonts w:eastAsiaTheme="minorEastAsia"/>
          <w:sz w:val="18"/>
          <w:szCs w:val="18"/>
          <w:vertAlign w:val="superscript"/>
          <w:lang w:val="en-GB"/>
        </w:rPr>
        <w:t>174</w:t>
      </w:r>
      <w:r w:rsidRPr="00610088">
        <w:rPr>
          <w:rFonts w:eastAsiaTheme="minorEastAsia"/>
          <w:sz w:val="18"/>
          <w:szCs w:val="18"/>
          <w:vertAlign w:val="superscript"/>
          <w:lang w:val="en-GB"/>
        </w:rPr>
        <w:fldChar w:fldCharType="end"/>
      </w:r>
      <w:r w:rsidRPr="00610088">
        <w:rPr>
          <w:rFonts w:eastAsiaTheme="minorEastAsia"/>
          <w:sz w:val="18"/>
          <w:szCs w:val="18"/>
          <w:vertAlign w:val="superscript"/>
          <w:lang w:val="en-GB"/>
        </w:rPr>
        <w:t>,</w:t>
      </w:r>
      <w:r w:rsidRPr="00610088">
        <w:rPr>
          <w:rFonts w:eastAsiaTheme="minorEastAsia"/>
          <w:sz w:val="18"/>
          <w:szCs w:val="18"/>
          <w:vertAlign w:val="superscript"/>
          <w:lang w:val="en-GB"/>
        </w:rPr>
        <w:fldChar w:fldCharType="begin"/>
      </w:r>
      <w:r w:rsidRPr="00610088">
        <w:rPr>
          <w:rFonts w:eastAsiaTheme="minorEastAsia"/>
          <w:sz w:val="18"/>
          <w:szCs w:val="18"/>
          <w:vertAlign w:val="superscript"/>
          <w:lang w:val="en-GB"/>
        </w:rPr>
        <w:instrText xml:space="preserve"> NOTEREF _Ref17040725 \h  \* MERGEFORMAT </w:instrText>
      </w:r>
      <w:r w:rsidRPr="00610088">
        <w:rPr>
          <w:rFonts w:eastAsiaTheme="minorEastAsia"/>
          <w:sz w:val="18"/>
          <w:szCs w:val="18"/>
          <w:vertAlign w:val="superscript"/>
          <w:lang w:val="en-GB"/>
        </w:rPr>
      </w:r>
      <w:r w:rsidRPr="00610088">
        <w:rPr>
          <w:rFonts w:eastAsiaTheme="minorEastAsia"/>
          <w:sz w:val="18"/>
          <w:szCs w:val="18"/>
          <w:vertAlign w:val="superscript"/>
          <w:lang w:val="en-GB"/>
        </w:rPr>
        <w:fldChar w:fldCharType="separate"/>
      </w:r>
      <w:r w:rsidR="00CB360C">
        <w:rPr>
          <w:rFonts w:eastAsiaTheme="minorEastAsia"/>
          <w:sz w:val="18"/>
          <w:szCs w:val="18"/>
          <w:vertAlign w:val="superscript"/>
          <w:lang w:val="en-GB"/>
        </w:rPr>
        <w:t>175</w:t>
      </w:r>
      <w:r w:rsidRPr="00610088">
        <w:rPr>
          <w:rFonts w:eastAsiaTheme="minorEastAsia"/>
          <w:sz w:val="18"/>
          <w:szCs w:val="18"/>
          <w:vertAlign w:val="superscript"/>
          <w:lang w:val="en-GB"/>
        </w:rPr>
        <w:fldChar w:fldCharType="end"/>
      </w:r>
      <w:r w:rsidRPr="00610088">
        <w:rPr>
          <w:rFonts w:eastAsiaTheme="minorEastAsia"/>
          <w:sz w:val="18"/>
          <w:szCs w:val="18"/>
          <w:lang w:val="en-GB"/>
        </w:rPr>
        <w:t xml:space="preserve"> among adults (25-64 years) was 23.1 (M 22.4, F 23.7). 22.4% of the adults were overweight (M 16.2%, F 28.7%), while the 7.8% were obese (M 4.8%, F10.8%). The average waist circumference was 76.6 cm in males and 81.7 cm in females, which for females is above the obesity cut-off. </w:t>
      </w:r>
    </w:p>
    <w:p w14:paraId="7CE7D8C7" w14:textId="77777777" w:rsidR="007A5E46" w:rsidRPr="00610088" w:rsidRDefault="007A5E46" w:rsidP="007A5E46">
      <w:pPr>
        <w:tabs>
          <w:tab w:val="num" w:pos="720"/>
        </w:tabs>
        <w:rPr>
          <w:rFonts w:eastAsia="MS PGothic"/>
          <w:sz w:val="18"/>
          <w:szCs w:val="18"/>
          <w:lang w:val="en-GB"/>
        </w:rPr>
      </w:pPr>
    </w:p>
    <w:p w14:paraId="6574354A" w14:textId="206E16A5"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The DHS 2013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_Ref17298289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8</w:t>
      </w:r>
      <w:r w:rsidRPr="00610088">
        <w:rPr>
          <w:rFonts w:eastAsia="MS PGothic"/>
          <w:sz w:val="18"/>
          <w:szCs w:val="18"/>
          <w:vertAlign w:val="superscript"/>
          <w:lang w:val="en-GB"/>
        </w:rPr>
        <w:fldChar w:fldCharType="end"/>
      </w:r>
      <w:r w:rsidRPr="00610088">
        <w:rPr>
          <w:rFonts w:eastAsia="MS PGothic"/>
          <w:sz w:val="18"/>
          <w:szCs w:val="18"/>
          <w:vertAlign w:val="superscript"/>
          <w:lang w:val="en-GB"/>
        </w:rPr>
        <w:t xml:space="preserve"> </w:t>
      </w:r>
      <w:r w:rsidRPr="00610088">
        <w:rPr>
          <w:rFonts w:eastAsia="MS PGothic"/>
          <w:sz w:val="18"/>
          <w:szCs w:val="18"/>
          <w:lang w:val="en-GB"/>
        </w:rPr>
        <w:t xml:space="preserve">found a mean BMI of 22.5 in 7,317 women (15-49 years), this is similar to the DHS 2008 </w:t>
      </w:r>
      <w:bookmarkStart w:id="209" w:name="_Ref17613310"/>
      <w:r w:rsidRPr="00610088">
        <w:rPr>
          <w:rStyle w:val="EndnoteReference"/>
          <w:rFonts w:eastAsia="MS PGothic"/>
          <w:sz w:val="18"/>
          <w:szCs w:val="18"/>
          <w:lang w:val="en-GB"/>
        </w:rPr>
        <w:endnoteReference w:id="208"/>
      </w:r>
      <w:bookmarkEnd w:id="209"/>
      <w:r w:rsidRPr="00610088">
        <w:rPr>
          <w:rFonts w:eastAsia="MS PGothic"/>
          <w:sz w:val="18"/>
          <w:szCs w:val="18"/>
          <w:lang w:val="en-GB"/>
        </w:rPr>
        <w:t xml:space="preserve"> mean (23.6). 13.4% women were overweight, and 5.0% were obese – which for both was less than in the DHS 2008 </w:t>
      </w:r>
      <w:r w:rsidRPr="00610088">
        <w:rPr>
          <w:rFonts w:eastAsia="MS PGothic"/>
          <w:sz w:val="18"/>
          <w:szCs w:val="18"/>
          <w:lang w:val="en-GB"/>
        </w:rPr>
        <w:fldChar w:fldCharType="begin"/>
      </w:r>
      <w:r w:rsidRPr="00610088">
        <w:rPr>
          <w:rFonts w:eastAsia="MS PGothic"/>
          <w:sz w:val="18"/>
          <w:szCs w:val="18"/>
          <w:lang w:val="en-GB"/>
        </w:rPr>
        <w:instrText xml:space="preserve"> NOTEREF _Ref17613310 \f \h  \* MERGEFORMAT </w:instrText>
      </w:r>
      <w:r w:rsidRPr="00610088">
        <w:rPr>
          <w:rFonts w:eastAsia="MS PGothic"/>
          <w:sz w:val="18"/>
          <w:szCs w:val="18"/>
          <w:lang w:val="en-GB"/>
        </w:rPr>
      </w:r>
      <w:r w:rsidRPr="00610088">
        <w:rPr>
          <w:rFonts w:eastAsia="MS PGothic"/>
          <w:sz w:val="18"/>
          <w:szCs w:val="18"/>
          <w:lang w:val="en-GB"/>
        </w:rPr>
        <w:fldChar w:fldCharType="separate"/>
      </w:r>
      <w:r w:rsidR="00CB360C" w:rsidRPr="00CB360C">
        <w:rPr>
          <w:rStyle w:val="EndnoteReference"/>
          <w:sz w:val="18"/>
          <w:szCs w:val="18"/>
          <w:lang w:val="en-GB"/>
        </w:rPr>
        <w:t>208</w:t>
      </w:r>
      <w:r w:rsidRPr="00610088">
        <w:rPr>
          <w:rFonts w:eastAsia="MS PGothic"/>
          <w:sz w:val="18"/>
          <w:szCs w:val="18"/>
          <w:lang w:val="en-GB"/>
        </w:rPr>
        <w:fldChar w:fldCharType="end"/>
      </w:r>
      <w:r w:rsidRPr="00610088">
        <w:rPr>
          <w:rFonts w:eastAsia="MS PGothic"/>
          <w:sz w:val="18"/>
          <w:szCs w:val="18"/>
          <w:lang w:val="en-GB"/>
        </w:rPr>
        <w:t xml:space="preserve"> (20.4% and 9.3%). Both increased with age, with 20.4% overweight and 8.9% obesity in the </w:t>
      </w:r>
      <w:proofErr w:type="gramStart"/>
      <w:r w:rsidRPr="00610088">
        <w:rPr>
          <w:rFonts w:eastAsia="MS PGothic"/>
          <w:sz w:val="18"/>
          <w:szCs w:val="18"/>
          <w:lang w:val="en-GB"/>
        </w:rPr>
        <w:t>40-49 year</w:t>
      </w:r>
      <w:proofErr w:type="gramEnd"/>
      <w:r w:rsidRPr="00610088">
        <w:rPr>
          <w:rFonts w:eastAsia="MS PGothic"/>
          <w:sz w:val="18"/>
          <w:szCs w:val="18"/>
          <w:lang w:val="en-GB"/>
        </w:rPr>
        <w:t xml:space="preserve"> group. There were clearly higher percentages overweight and obesity in urban (17.6%; 9.2%) than in rural areas (9.2%; 2.5%). There is a wide district range for both overweight (6.5-21.2%) and obesity (1.8-10.9%). There is no clear difference by education level. Both increase with increasing wealth, with 18.3% overweight and 11.0% obesity the richest quintile. </w:t>
      </w:r>
    </w:p>
    <w:p w14:paraId="362D577D" w14:textId="2DE10A6A"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A more recent survey in 2017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_Ref17307293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210</w:t>
      </w:r>
      <w:r w:rsidRPr="00610088">
        <w:rPr>
          <w:rFonts w:eastAsia="MS PGothic"/>
          <w:sz w:val="18"/>
          <w:szCs w:val="18"/>
          <w:vertAlign w:val="superscript"/>
          <w:lang w:val="en-GB"/>
        </w:rPr>
        <w:fldChar w:fldCharType="end"/>
      </w:r>
      <w:r w:rsidRPr="00610088">
        <w:rPr>
          <w:rFonts w:eastAsia="MS PGothic"/>
          <w:sz w:val="18"/>
          <w:szCs w:val="18"/>
          <w:lang w:val="en-GB"/>
        </w:rPr>
        <w:t xml:space="preserve"> found 18.4% overweight and 7.5% obesity among 6,712 women 15-49 years, with most obesity in the slums (13.0%) and the urban (14.7%) populations.</w:t>
      </w:r>
    </w:p>
    <w:p w14:paraId="048216B4" w14:textId="77777777" w:rsidR="007A5E46" w:rsidRPr="00610088" w:rsidRDefault="007A5E46" w:rsidP="007A5E46">
      <w:pPr>
        <w:tabs>
          <w:tab w:val="num" w:pos="720"/>
        </w:tabs>
        <w:rPr>
          <w:rFonts w:eastAsia="MS PGothic"/>
          <w:sz w:val="18"/>
          <w:szCs w:val="18"/>
          <w:highlight w:val="yellow"/>
          <w:lang w:val="en-GB"/>
        </w:rPr>
      </w:pPr>
    </w:p>
    <w:p w14:paraId="0DADA506" w14:textId="552F946A"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The DHS 2013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_Ref17298289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8</w:t>
      </w:r>
      <w:r w:rsidRPr="00610088">
        <w:rPr>
          <w:rFonts w:eastAsia="MS PGothic"/>
          <w:sz w:val="18"/>
          <w:szCs w:val="18"/>
          <w:vertAlign w:val="superscript"/>
          <w:lang w:val="en-GB"/>
        </w:rPr>
        <w:fldChar w:fldCharType="end"/>
      </w:r>
      <w:r w:rsidRPr="00610088">
        <w:rPr>
          <w:rFonts w:eastAsia="MS PGothic"/>
          <w:sz w:val="18"/>
          <w:szCs w:val="18"/>
          <w:lang w:val="en-GB"/>
        </w:rPr>
        <w:t xml:space="preserve"> found a mean BMI of 21.4 in 6,253 men (15-49 years). 6.7% of men were overweight, and 1.5% were obese. Both increased with age, with 9.9% overweight and 3.6% obesity in the </w:t>
      </w:r>
      <w:proofErr w:type="gramStart"/>
      <w:r w:rsidRPr="00610088">
        <w:rPr>
          <w:rFonts w:eastAsia="MS PGothic"/>
          <w:sz w:val="18"/>
          <w:szCs w:val="18"/>
          <w:lang w:val="en-GB"/>
        </w:rPr>
        <w:t>40-49 year</w:t>
      </w:r>
      <w:proofErr w:type="gramEnd"/>
      <w:r w:rsidRPr="00610088">
        <w:rPr>
          <w:rFonts w:eastAsia="MS PGothic"/>
          <w:sz w:val="18"/>
          <w:szCs w:val="18"/>
          <w:lang w:val="en-GB"/>
        </w:rPr>
        <w:t xml:space="preserve"> group. There is a wide district range, especially for overweight (2.0-15.0%) and less for obesity (0.0-3.5%). There is no clear difference by urban/rural and education level. There is some increase with increasing wealth, with 7.9% overweight and 2.7% obesity in the richest quintile.</w:t>
      </w:r>
    </w:p>
    <w:p w14:paraId="59A0A268" w14:textId="77777777" w:rsidR="007A5E46" w:rsidRPr="00610088" w:rsidRDefault="007A5E46" w:rsidP="007A5E46">
      <w:pPr>
        <w:tabs>
          <w:tab w:val="num" w:pos="720"/>
        </w:tabs>
        <w:rPr>
          <w:rFonts w:eastAsia="MS PGothic"/>
          <w:sz w:val="18"/>
          <w:szCs w:val="18"/>
          <w:lang w:val="en-GB"/>
        </w:rPr>
      </w:pPr>
    </w:p>
    <w:p w14:paraId="028357B6" w14:textId="26738F1E" w:rsidR="007A5E46" w:rsidRPr="00610088" w:rsidRDefault="007A5E46" w:rsidP="007A5E46">
      <w:pPr>
        <w:tabs>
          <w:tab w:val="num" w:pos="720"/>
        </w:tabs>
        <w:rPr>
          <w:rFonts w:eastAsia="MS PGothic"/>
          <w:sz w:val="18"/>
          <w:szCs w:val="18"/>
          <w:lang w:val="en-GB"/>
        </w:rPr>
      </w:pPr>
      <w:r w:rsidRPr="00610088">
        <w:rPr>
          <w:rFonts w:eastAsia="MS PGothic"/>
          <w:sz w:val="18"/>
          <w:szCs w:val="18"/>
          <w:lang w:val="en-GB"/>
        </w:rPr>
        <w:t xml:space="preserve">In 2010 9.4% of the children below 5 years of age was either overweight or obese (weight for height above 2 </w:t>
      </w:r>
      <w:r w:rsidR="00AF38D4">
        <w:rPr>
          <w:rFonts w:eastAsia="MS PGothic"/>
          <w:sz w:val="18"/>
          <w:szCs w:val="18"/>
          <w:lang w:val="en-GB"/>
        </w:rPr>
        <w:t>Standard Deviation (</w:t>
      </w:r>
      <w:r w:rsidRPr="00610088">
        <w:rPr>
          <w:rFonts w:eastAsia="MS PGothic"/>
          <w:sz w:val="18"/>
          <w:szCs w:val="18"/>
          <w:lang w:val="en-GB"/>
        </w:rPr>
        <w:t>SD</w:t>
      </w:r>
      <w:r w:rsidR="00AF38D4">
        <w:rPr>
          <w:rFonts w:eastAsia="MS PGothic"/>
          <w:sz w:val="18"/>
          <w:szCs w:val="18"/>
          <w:lang w:val="en-GB"/>
        </w:rPr>
        <w:t>)</w:t>
      </w:r>
      <w:r w:rsidRPr="00610088">
        <w:rPr>
          <w:rFonts w:eastAsia="MS PGothic"/>
          <w:sz w:val="18"/>
          <w:szCs w:val="18"/>
          <w:lang w:val="en-GB"/>
        </w:rPr>
        <w:t xml:space="preserve">), this was 4.3% in 2017 – with 1.1 being obese (above 3 SD). </w:t>
      </w:r>
      <w:r w:rsidRPr="00610088">
        <w:rPr>
          <w:rFonts w:eastAsia="MS PGothic"/>
          <w:sz w:val="18"/>
          <w:szCs w:val="18"/>
          <w:vertAlign w:val="superscript"/>
          <w:lang w:val="en-GB"/>
        </w:rPr>
        <w:fldChar w:fldCharType="begin"/>
      </w:r>
      <w:r w:rsidRPr="00610088">
        <w:rPr>
          <w:rFonts w:eastAsia="MS PGothic"/>
          <w:sz w:val="18"/>
          <w:szCs w:val="18"/>
          <w:vertAlign w:val="superscript"/>
          <w:lang w:val="en-GB"/>
        </w:rPr>
        <w:instrText xml:space="preserve"> NOTEREF _Ref16853648 \h  \* MERGEFORMAT </w:instrText>
      </w:r>
      <w:r w:rsidRPr="00610088">
        <w:rPr>
          <w:rFonts w:eastAsia="MS PGothic"/>
          <w:sz w:val="18"/>
          <w:szCs w:val="18"/>
          <w:vertAlign w:val="superscript"/>
          <w:lang w:val="en-GB"/>
        </w:rPr>
      </w:r>
      <w:r w:rsidRPr="00610088">
        <w:rPr>
          <w:rFonts w:eastAsia="MS PGothic"/>
          <w:sz w:val="18"/>
          <w:szCs w:val="18"/>
          <w:vertAlign w:val="superscript"/>
          <w:lang w:val="en-GB"/>
        </w:rPr>
        <w:fldChar w:fldCharType="separate"/>
      </w:r>
      <w:r w:rsidR="00CB360C">
        <w:rPr>
          <w:rFonts w:eastAsia="MS PGothic"/>
          <w:sz w:val="18"/>
          <w:szCs w:val="18"/>
          <w:vertAlign w:val="superscript"/>
          <w:lang w:val="en-GB"/>
        </w:rPr>
        <w:t>7</w:t>
      </w:r>
      <w:r w:rsidRPr="00610088">
        <w:rPr>
          <w:rFonts w:eastAsia="MS PGothic"/>
          <w:sz w:val="18"/>
          <w:szCs w:val="18"/>
          <w:vertAlign w:val="superscript"/>
          <w:lang w:val="en-GB"/>
        </w:rPr>
        <w:fldChar w:fldCharType="end"/>
      </w:r>
      <w:r w:rsidRPr="00610088">
        <w:rPr>
          <w:rFonts w:eastAsia="MS PGothic"/>
          <w:sz w:val="18"/>
          <w:szCs w:val="18"/>
          <w:vertAlign w:val="superscript"/>
          <w:lang w:val="en-GB"/>
        </w:rPr>
        <w:t>,</w:t>
      </w:r>
      <w:bookmarkStart w:id="210" w:name="_Ref17613474"/>
      <w:r w:rsidRPr="00610088">
        <w:rPr>
          <w:rStyle w:val="EndnoteReference"/>
          <w:rFonts w:eastAsia="MS PGothic"/>
          <w:sz w:val="18"/>
          <w:szCs w:val="18"/>
          <w:lang w:val="en-GB"/>
        </w:rPr>
        <w:endnoteReference w:id="209"/>
      </w:r>
      <w:bookmarkEnd w:id="210"/>
      <w:r w:rsidRPr="00610088">
        <w:rPr>
          <w:rFonts w:eastAsia="MS PGothic"/>
          <w:sz w:val="18"/>
          <w:szCs w:val="18"/>
          <w:vertAlign w:val="superscript"/>
          <w:lang w:val="en-GB"/>
        </w:rPr>
        <w:t xml:space="preserve">  </w:t>
      </w:r>
      <w:r w:rsidRPr="00610088">
        <w:rPr>
          <w:rFonts w:eastAsia="MS PGothic"/>
          <w:sz w:val="18"/>
          <w:szCs w:val="18"/>
          <w:lang w:val="en-GB"/>
        </w:rPr>
        <w:t xml:space="preserve">The 2017 National nutrition survey found 2.3% overweight and 0.3% severe overweight among children 6-59 months. </w:t>
      </w:r>
      <w:bookmarkStart w:id="211" w:name="_Ref17307293"/>
      <w:r w:rsidRPr="00610088">
        <w:rPr>
          <w:rStyle w:val="EndnoteReference"/>
          <w:rFonts w:eastAsia="MS PGothic"/>
          <w:sz w:val="18"/>
          <w:szCs w:val="18"/>
          <w:lang w:val="en-GB"/>
        </w:rPr>
        <w:endnoteReference w:id="210"/>
      </w:r>
      <w:bookmarkEnd w:id="211"/>
    </w:p>
    <w:p w14:paraId="03C89220" w14:textId="77777777" w:rsidR="007A5E46" w:rsidRPr="00610088" w:rsidRDefault="007A5E46" w:rsidP="007A5E46">
      <w:pPr>
        <w:tabs>
          <w:tab w:val="num" w:pos="720"/>
        </w:tabs>
        <w:rPr>
          <w:rFonts w:eastAsia="MS PGothic"/>
          <w:sz w:val="18"/>
          <w:szCs w:val="18"/>
          <w:lang w:val="en-GB"/>
        </w:rPr>
      </w:pPr>
    </w:p>
    <w:p w14:paraId="409A8129" w14:textId="353C0A30" w:rsidR="007A5E46" w:rsidRPr="00610088" w:rsidRDefault="007A5E46" w:rsidP="007A5E46">
      <w:pPr>
        <w:tabs>
          <w:tab w:val="num" w:pos="720"/>
        </w:tabs>
        <w:rPr>
          <w:sz w:val="18"/>
          <w:szCs w:val="18"/>
          <w:vertAlign w:val="superscript"/>
          <w:lang w:val="en-GB"/>
        </w:rPr>
      </w:pPr>
      <w:r w:rsidRPr="00610088">
        <w:rPr>
          <w:sz w:val="18"/>
          <w:szCs w:val="18"/>
          <w:lang w:val="en-GB"/>
        </w:rPr>
        <w:t xml:space="preserve">A study among 330 </w:t>
      </w:r>
      <w:proofErr w:type="spellStart"/>
      <w:r w:rsidRPr="00610088">
        <w:rPr>
          <w:sz w:val="18"/>
          <w:szCs w:val="18"/>
          <w:lang w:val="en-GB"/>
        </w:rPr>
        <w:t>Njala</w:t>
      </w:r>
      <w:proofErr w:type="spellEnd"/>
      <w:r w:rsidRPr="00610088">
        <w:rPr>
          <w:sz w:val="18"/>
          <w:szCs w:val="18"/>
          <w:lang w:val="en-GB"/>
        </w:rPr>
        <w:t xml:space="preserve"> undergraduate students in 2016 found a median BMI of 21.7, with a significant difference between males (21.3) and females (23.4). 13.9% were overweight, while 4.2% were obese </w:t>
      </w:r>
      <w:r w:rsidRPr="00610088">
        <w:rPr>
          <w:sz w:val="18"/>
          <w:szCs w:val="18"/>
          <w:vertAlign w:val="superscript"/>
          <w:lang w:val="en-GB"/>
        </w:rPr>
        <w:fldChar w:fldCharType="begin"/>
      </w:r>
      <w:r w:rsidRPr="00610088">
        <w:rPr>
          <w:sz w:val="18"/>
          <w:szCs w:val="18"/>
          <w:vertAlign w:val="superscript"/>
          <w:lang w:val="en-GB"/>
        </w:rPr>
        <w:instrText xml:space="preserve"> NOTEREF _Ref17027544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198</w:t>
      </w:r>
      <w:r w:rsidRPr="00610088">
        <w:rPr>
          <w:sz w:val="18"/>
          <w:szCs w:val="18"/>
          <w:vertAlign w:val="superscript"/>
          <w:lang w:val="en-GB"/>
        </w:rPr>
        <w:fldChar w:fldCharType="end"/>
      </w:r>
    </w:p>
    <w:p w14:paraId="0259E0D3" w14:textId="77777777" w:rsidR="007A5E46" w:rsidRPr="00610088" w:rsidRDefault="007A5E46" w:rsidP="007A5E46">
      <w:pPr>
        <w:tabs>
          <w:tab w:val="num" w:pos="720"/>
        </w:tabs>
        <w:rPr>
          <w:sz w:val="18"/>
          <w:szCs w:val="18"/>
          <w:lang w:val="en-GB"/>
        </w:rPr>
      </w:pPr>
    </w:p>
    <w:p w14:paraId="4D12A82A" w14:textId="7EB2C38B" w:rsidR="007A5E46" w:rsidRPr="00610088" w:rsidRDefault="007A5E46" w:rsidP="007A5E46">
      <w:pPr>
        <w:tabs>
          <w:tab w:val="num" w:pos="720"/>
        </w:tabs>
        <w:rPr>
          <w:sz w:val="18"/>
          <w:szCs w:val="18"/>
          <w:lang w:val="en-GB"/>
        </w:rPr>
      </w:pPr>
      <w:r w:rsidRPr="00610088">
        <w:rPr>
          <w:sz w:val="18"/>
          <w:szCs w:val="18"/>
          <w:lang w:val="en-GB"/>
        </w:rPr>
        <w:lastRenderedPageBreak/>
        <w:t xml:space="preserve">A recent Bo </w:t>
      </w:r>
      <w:r w:rsidR="002F142B" w:rsidRPr="00610088">
        <w:rPr>
          <w:sz w:val="18"/>
          <w:szCs w:val="18"/>
          <w:lang w:val="en-GB"/>
        </w:rPr>
        <w:t xml:space="preserve">District </w:t>
      </w:r>
      <w:r w:rsidRPr="00610088">
        <w:rPr>
          <w:sz w:val="18"/>
          <w:szCs w:val="18"/>
          <w:lang w:val="en-GB"/>
        </w:rPr>
        <w:t xml:space="preserve">CVD risk factor study </w:t>
      </w:r>
      <w:r w:rsidRPr="00610088">
        <w:rPr>
          <w:sz w:val="18"/>
          <w:szCs w:val="18"/>
          <w:vertAlign w:val="superscript"/>
          <w:lang w:val="en-GB"/>
        </w:rPr>
        <w:fldChar w:fldCharType="begin"/>
      </w:r>
      <w:r w:rsidRPr="00610088">
        <w:rPr>
          <w:sz w:val="18"/>
          <w:szCs w:val="18"/>
          <w:vertAlign w:val="superscript"/>
          <w:lang w:val="en-GB"/>
        </w:rPr>
        <w:instrText xml:space="preserve"> NOTEREF _Ref17030981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157</w:t>
      </w:r>
      <w:r w:rsidRPr="00610088">
        <w:rPr>
          <w:sz w:val="18"/>
          <w:szCs w:val="18"/>
          <w:vertAlign w:val="superscript"/>
          <w:lang w:val="en-GB"/>
        </w:rPr>
        <w:fldChar w:fldCharType="end"/>
      </w:r>
      <w:r w:rsidRPr="00610088">
        <w:rPr>
          <w:sz w:val="18"/>
          <w:szCs w:val="18"/>
          <w:lang w:val="en-GB"/>
        </w:rPr>
        <w:t xml:space="preserve"> in Bo District in 2071 adults aged over 40 years found that 27% was overweight or had obesity, with significantly higher proportions among urban adults, females (36%), younger people, and wealthier respondents in the multivariate analysis using population weights.</w:t>
      </w:r>
    </w:p>
    <w:p w14:paraId="5FCA1EDC" w14:textId="77777777" w:rsidR="007A5E46" w:rsidRPr="00610088" w:rsidRDefault="007A5E46" w:rsidP="007A5E46">
      <w:pPr>
        <w:tabs>
          <w:tab w:val="num" w:pos="720"/>
        </w:tabs>
        <w:rPr>
          <w:sz w:val="18"/>
          <w:szCs w:val="18"/>
          <w:lang w:val="en-GB"/>
        </w:rPr>
      </w:pPr>
    </w:p>
    <w:p w14:paraId="680ED954" w14:textId="77777777" w:rsidR="007A5E46" w:rsidRPr="00610088" w:rsidRDefault="007A5E46" w:rsidP="007A5E46">
      <w:pPr>
        <w:pStyle w:val="Heading4"/>
        <w:numPr>
          <w:ilvl w:val="0"/>
          <w:numId w:val="0"/>
        </w:numPr>
        <w:rPr>
          <w:rFonts w:asciiTheme="minorHAnsi" w:eastAsiaTheme="minorEastAsia" w:hAnsiTheme="minorHAnsi" w:cstheme="minorBidi"/>
          <w:b/>
          <w:bCs/>
          <w:i w:val="0"/>
          <w:iCs w:val="0"/>
          <w:color w:val="5A5A5A" w:themeColor="text1" w:themeTint="A5"/>
          <w:spacing w:val="15"/>
          <w:sz w:val="18"/>
          <w:szCs w:val="18"/>
          <w:u w:val="single"/>
          <w:lang w:val="en-GB"/>
        </w:rPr>
      </w:pPr>
      <w:r w:rsidRPr="00610088">
        <w:rPr>
          <w:rFonts w:asciiTheme="minorHAnsi" w:eastAsiaTheme="minorEastAsia" w:hAnsiTheme="minorHAnsi" w:cstheme="minorBidi"/>
          <w:b/>
          <w:bCs/>
          <w:i w:val="0"/>
          <w:iCs w:val="0"/>
          <w:color w:val="5A5A5A" w:themeColor="text1" w:themeTint="A5"/>
          <w:spacing w:val="15"/>
          <w:sz w:val="18"/>
          <w:szCs w:val="18"/>
          <w:u w:val="single"/>
          <w:lang w:val="en-GB"/>
        </w:rPr>
        <w:t>Hyperglycaemia (High blood glucose levels)</w:t>
      </w:r>
    </w:p>
    <w:p w14:paraId="4BC41AFF" w14:textId="16826E23" w:rsidR="007A5E46" w:rsidRPr="00610088" w:rsidRDefault="007A5E46" w:rsidP="007A5E46">
      <w:pPr>
        <w:rPr>
          <w:sz w:val="18"/>
          <w:szCs w:val="18"/>
          <w:lang w:val="en-GB"/>
        </w:rPr>
      </w:pPr>
      <w:r w:rsidRPr="00610088">
        <w:rPr>
          <w:sz w:val="18"/>
          <w:szCs w:val="18"/>
          <w:lang w:val="en-GB"/>
        </w:rPr>
        <w:t xml:space="preserve">Hyperglycaemia, or high blood glucose, is used to diagnose diabetes. The WHO diagnostic criteria for diabetes are fasting plasma glucose ≥ 7.0mmol/l (126mg/dl) or 2–h plasma glucose ≥ 11.1mmol/l (200mg/dl). </w:t>
      </w:r>
      <w:r w:rsidRPr="00610088">
        <w:rPr>
          <w:rStyle w:val="EndnoteReference"/>
          <w:sz w:val="18"/>
          <w:szCs w:val="18"/>
          <w:lang w:val="en-GB"/>
        </w:rPr>
        <w:endnoteReference w:id="211"/>
      </w:r>
      <w:r w:rsidRPr="00610088">
        <w:rPr>
          <w:sz w:val="18"/>
          <w:szCs w:val="18"/>
          <w:lang w:val="en-GB"/>
        </w:rPr>
        <w:t xml:space="preserve"> Diabetes was</w:t>
      </w:r>
      <w:r w:rsidR="004617C8" w:rsidRPr="00610088">
        <w:rPr>
          <w:sz w:val="18"/>
          <w:szCs w:val="18"/>
          <w:lang w:val="en-GB"/>
        </w:rPr>
        <w:t xml:space="preserve"> already</w:t>
      </w:r>
      <w:r w:rsidRPr="00610088">
        <w:rPr>
          <w:sz w:val="18"/>
          <w:szCs w:val="18"/>
          <w:lang w:val="en-GB"/>
        </w:rPr>
        <w:t xml:space="preserve"> discussed in </w:t>
      </w:r>
      <w:r w:rsidR="00DA0AAD" w:rsidRPr="00610088">
        <w:rPr>
          <w:sz w:val="18"/>
          <w:szCs w:val="18"/>
          <w:lang w:val="en-GB"/>
        </w:rPr>
        <w:t>a sub-section in Annex 2.</w:t>
      </w:r>
    </w:p>
    <w:p w14:paraId="3BA0AF35" w14:textId="6A590515" w:rsidR="007A5E46" w:rsidRPr="00610088" w:rsidRDefault="007A5E46" w:rsidP="007A5E46">
      <w:pPr>
        <w:rPr>
          <w:sz w:val="18"/>
          <w:szCs w:val="18"/>
          <w:vertAlign w:val="superscript"/>
          <w:lang w:val="en-GB"/>
        </w:rPr>
      </w:pPr>
      <w:r w:rsidRPr="00610088">
        <w:rPr>
          <w:sz w:val="18"/>
          <w:szCs w:val="18"/>
          <w:lang w:val="en-GB"/>
        </w:rPr>
        <w:t xml:space="preserve">A diabetes prevalence study in Bo district published in 1997 found a mean capillary random blood glucose (RBG) concentration of 5.7 (+/- 1.7) mmol/l for the entire study population, with a not-significantly higher urban RGB (5.8 +/- 2) than rural RBG (5.5 +/- 1.4 mmol/l, P&gt;0.05). The RBG increased significantly with age. </w:t>
      </w:r>
      <w:r w:rsidRPr="00610088">
        <w:rPr>
          <w:sz w:val="18"/>
          <w:szCs w:val="18"/>
          <w:vertAlign w:val="superscript"/>
          <w:lang w:val="en-GB"/>
        </w:rPr>
        <w:fldChar w:fldCharType="begin"/>
      </w:r>
      <w:r w:rsidRPr="00610088">
        <w:rPr>
          <w:sz w:val="18"/>
          <w:szCs w:val="18"/>
          <w:vertAlign w:val="superscript"/>
          <w:lang w:val="en-GB"/>
        </w:rPr>
        <w:instrText xml:space="preserve"> NOTEREF _Ref17204703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155</w:t>
      </w:r>
      <w:r w:rsidRPr="00610088">
        <w:rPr>
          <w:sz w:val="18"/>
          <w:szCs w:val="18"/>
          <w:vertAlign w:val="superscript"/>
          <w:lang w:val="en-GB"/>
        </w:rPr>
        <w:fldChar w:fldCharType="end"/>
      </w:r>
      <w:r w:rsidR="003447AA" w:rsidRPr="00610088">
        <w:rPr>
          <w:sz w:val="18"/>
          <w:szCs w:val="18"/>
          <w:vertAlign w:val="superscript"/>
          <w:lang w:val="en-GB"/>
        </w:rPr>
        <w:t xml:space="preserve">  </w:t>
      </w:r>
    </w:p>
    <w:p w14:paraId="25E568D7" w14:textId="77777777" w:rsidR="00545ED5" w:rsidRPr="00610088" w:rsidRDefault="00545ED5" w:rsidP="007A5E46">
      <w:pPr>
        <w:rPr>
          <w:sz w:val="18"/>
          <w:szCs w:val="18"/>
          <w:vertAlign w:val="superscript"/>
          <w:lang w:val="en-GB"/>
        </w:rPr>
      </w:pPr>
    </w:p>
    <w:p w14:paraId="1DB0ABE1" w14:textId="77777777" w:rsidR="007A5E46" w:rsidRPr="00610088" w:rsidRDefault="007A5E46" w:rsidP="007A5E46">
      <w:pPr>
        <w:pStyle w:val="Subtitle"/>
        <w:rPr>
          <w:b/>
          <w:bCs/>
          <w:sz w:val="18"/>
          <w:szCs w:val="18"/>
          <w:u w:val="single"/>
          <w:lang w:val="en-GB"/>
        </w:rPr>
      </w:pPr>
      <w:r w:rsidRPr="00610088">
        <w:rPr>
          <w:b/>
          <w:bCs/>
          <w:sz w:val="18"/>
          <w:szCs w:val="18"/>
          <w:u w:val="single"/>
          <w:lang w:val="en-GB"/>
        </w:rPr>
        <w:t>Hyperlipidaemia (High levels of fat in the blood) and other metabolic risks</w:t>
      </w:r>
    </w:p>
    <w:p w14:paraId="311CB96A" w14:textId="77777777" w:rsidR="007A5E46" w:rsidRPr="00610088" w:rsidRDefault="007A5E46" w:rsidP="007A5E46">
      <w:pPr>
        <w:rPr>
          <w:sz w:val="18"/>
          <w:szCs w:val="18"/>
          <w:lang w:val="en-GB"/>
        </w:rPr>
      </w:pPr>
      <w:r w:rsidRPr="00610088">
        <w:rPr>
          <w:sz w:val="18"/>
          <w:szCs w:val="18"/>
          <w:lang w:val="en-GB"/>
        </w:rPr>
        <w:t xml:space="preserve">In hyperlipidaemia there are too much fats (lipids), such as cholesterol and triglycerides, in the blood. All NCD (STEPS) and national surveys in Sierra Leone so far have not included cholesterol or other lipid tests, while also the majority of published and recently completed NCD studies did not include lipid testing. </w:t>
      </w:r>
    </w:p>
    <w:p w14:paraId="00531A83" w14:textId="48E1BDC4" w:rsidR="007A5E46" w:rsidRPr="00610088" w:rsidRDefault="007A5E46" w:rsidP="007A5E46">
      <w:pPr>
        <w:rPr>
          <w:sz w:val="18"/>
          <w:szCs w:val="18"/>
          <w:lang w:val="en-GB"/>
        </w:rPr>
      </w:pPr>
      <w:r w:rsidRPr="00610088">
        <w:rPr>
          <w:sz w:val="18"/>
          <w:szCs w:val="18"/>
          <w:lang w:val="en-GB"/>
        </w:rPr>
        <w:t xml:space="preserve">A recent Bo </w:t>
      </w:r>
      <w:r w:rsidR="002F142B" w:rsidRPr="00610088">
        <w:rPr>
          <w:sz w:val="18"/>
          <w:szCs w:val="18"/>
          <w:lang w:val="en-GB"/>
        </w:rPr>
        <w:t xml:space="preserve">District </w:t>
      </w:r>
      <w:r w:rsidRPr="00610088">
        <w:rPr>
          <w:sz w:val="18"/>
          <w:szCs w:val="18"/>
          <w:lang w:val="en-GB"/>
        </w:rPr>
        <w:t xml:space="preserve">CVD risk factor study </w:t>
      </w:r>
      <w:r w:rsidRPr="00610088">
        <w:rPr>
          <w:sz w:val="18"/>
          <w:szCs w:val="18"/>
          <w:vertAlign w:val="superscript"/>
          <w:lang w:val="en-GB"/>
        </w:rPr>
        <w:fldChar w:fldCharType="begin"/>
      </w:r>
      <w:r w:rsidRPr="00610088">
        <w:rPr>
          <w:sz w:val="18"/>
          <w:szCs w:val="18"/>
          <w:vertAlign w:val="superscript"/>
          <w:lang w:val="en-GB"/>
        </w:rPr>
        <w:instrText xml:space="preserve"> NOTEREF _Ref17030981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157</w:t>
      </w:r>
      <w:r w:rsidRPr="00610088">
        <w:rPr>
          <w:sz w:val="18"/>
          <w:szCs w:val="18"/>
          <w:vertAlign w:val="superscript"/>
          <w:lang w:val="en-GB"/>
        </w:rPr>
        <w:fldChar w:fldCharType="end"/>
      </w:r>
      <w:r w:rsidRPr="00610088">
        <w:rPr>
          <w:sz w:val="18"/>
          <w:szCs w:val="18"/>
          <w:lang w:val="en-GB"/>
        </w:rPr>
        <w:t xml:space="preserve"> found hypercholesterolaemia in 6.7% of the 840 over </w:t>
      </w:r>
      <w:proofErr w:type="gramStart"/>
      <w:r w:rsidRPr="00610088">
        <w:rPr>
          <w:sz w:val="18"/>
          <w:szCs w:val="18"/>
          <w:lang w:val="en-GB"/>
        </w:rPr>
        <w:t>40 year</w:t>
      </w:r>
      <w:proofErr w:type="gramEnd"/>
      <w:r w:rsidRPr="00610088">
        <w:rPr>
          <w:sz w:val="18"/>
          <w:szCs w:val="18"/>
          <w:lang w:val="en-GB"/>
        </w:rPr>
        <w:t xml:space="preserve"> age adult respondents, with slightly higher proportions in rural residents, males and older people. The risk increased substantially with increased wealth. </w:t>
      </w:r>
    </w:p>
    <w:p w14:paraId="44AC9F8A" w14:textId="77777777" w:rsidR="007A5E46" w:rsidRPr="00610088" w:rsidRDefault="007A5E46" w:rsidP="007A5E46">
      <w:pPr>
        <w:rPr>
          <w:sz w:val="18"/>
          <w:szCs w:val="18"/>
          <w:lang w:val="en-GB"/>
        </w:rPr>
      </w:pPr>
      <w:r w:rsidRPr="00610088">
        <w:rPr>
          <w:sz w:val="18"/>
          <w:szCs w:val="18"/>
          <w:lang w:val="en-GB"/>
        </w:rPr>
        <w:t xml:space="preserve">The literature review and stakeholder engagements did also not reveal specific Sierra Leone information on other metabolic risks.  </w:t>
      </w:r>
    </w:p>
    <w:p w14:paraId="2D713CB8" w14:textId="77777777" w:rsidR="007A5E46" w:rsidRPr="00610088" w:rsidRDefault="007A5E46" w:rsidP="007A5E46">
      <w:pPr>
        <w:rPr>
          <w:sz w:val="18"/>
          <w:szCs w:val="18"/>
          <w:lang w:val="en-GB"/>
        </w:rPr>
      </w:pPr>
    </w:p>
    <w:p w14:paraId="6C3324C0" w14:textId="77777777" w:rsidR="007A5E46" w:rsidRPr="00610088" w:rsidRDefault="007A5E46" w:rsidP="007A5E46">
      <w:pPr>
        <w:pStyle w:val="Subtitle"/>
        <w:rPr>
          <w:b/>
          <w:bCs/>
          <w:sz w:val="18"/>
          <w:szCs w:val="18"/>
          <w:u w:val="single"/>
          <w:lang w:val="en-GB"/>
        </w:rPr>
      </w:pPr>
      <w:r w:rsidRPr="00610088">
        <w:rPr>
          <w:b/>
          <w:bCs/>
          <w:sz w:val="18"/>
          <w:szCs w:val="18"/>
          <w:u w:val="single"/>
          <w:lang w:val="en-GB"/>
        </w:rPr>
        <w:t xml:space="preserve">Combined risk factors </w:t>
      </w:r>
    </w:p>
    <w:p w14:paraId="3B4C3A5C" w14:textId="447FF739" w:rsidR="007A5E46" w:rsidRPr="00610088" w:rsidRDefault="007A5E46" w:rsidP="007A5E46">
      <w:pPr>
        <w:rPr>
          <w:color w:val="000000" w:themeColor="text1"/>
          <w:sz w:val="18"/>
          <w:szCs w:val="18"/>
          <w:lang w:val="en-GB"/>
        </w:rPr>
      </w:pPr>
      <w:r w:rsidRPr="00610088">
        <w:rPr>
          <w:color w:val="000000" w:themeColor="text1"/>
          <w:sz w:val="18"/>
          <w:szCs w:val="18"/>
          <w:lang w:val="en-GB"/>
        </w:rPr>
        <w:t xml:space="preserve">27.0% of 25-64 years respondents in the STEPS survey in 2009 had 3 or more NCD risk factors. Detail on combined risk factors in the survey is provided in </w:t>
      </w:r>
      <w:r w:rsidRPr="00610088">
        <w:rPr>
          <w:color w:val="000000" w:themeColor="text1"/>
          <w:sz w:val="18"/>
          <w:szCs w:val="18"/>
          <w:lang w:val="en-GB"/>
        </w:rPr>
        <w:fldChar w:fldCharType="begin"/>
      </w:r>
      <w:r w:rsidRPr="00610088">
        <w:rPr>
          <w:color w:val="000000" w:themeColor="text1"/>
          <w:sz w:val="18"/>
          <w:szCs w:val="18"/>
          <w:lang w:val="en-GB"/>
        </w:rPr>
        <w:instrText xml:space="preserve"> REF _Ref17266652 \h  \* MERGEFORMAT </w:instrText>
      </w:r>
      <w:r w:rsidRPr="00610088">
        <w:rPr>
          <w:color w:val="000000" w:themeColor="text1"/>
          <w:sz w:val="18"/>
          <w:szCs w:val="18"/>
          <w:lang w:val="en-GB"/>
        </w:rPr>
      </w:r>
      <w:r w:rsidRPr="00610088">
        <w:rPr>
          <w:color w:val="000000" w:themeColor="text1"/>
          <w:sz w:val="18"/>
          <w:szCs w:val="18"/>
          <w:lang w:val="en-GB"/>
        </w:rPr>
        <w:fldChar w:fldCharType="separate"/>
      </w:r>
      <w:r w:rsidR="00CB360C" w:rsidRPr="00CB360C">
        <w:rPr>
          <w:sz w:val="18"/>
          <w:szCs w:val="18"/>
          <w:lang w:val="en-GB"/>
        </w:rPr>
        <w:t xml:space="preserve">Table </w:t>
      </w:r>
      <w:r w:rsidR="00CB360C" w:rsidRPr="00CB360C">
        <w:rPr>
          <w:noProof/>
          <w:sz w:val="18"/>
          <w:szCs w:val="18"/>
          <w:lang w:val="en-GB"/>
        </w:rPr>
        <w:t>8</w:t>
      </w:r>
      <w:r w:rsidRPr="00610088">
        <w:rPr>
          <w:color w:val="000000" w:themeColor="text1"/>
          <w:sz w:val="18"/>
          <w:szCs w:val="18"/>
          <w:lang w:val="en-GB"/>
        </w:rPr>
        <w:fldChar w:fldCharType="end"/>
      </w:r>
      <w:r w:rsidRPr="00610088">
        <w:rPr>
          <w:color w:val="000000" w:themeColor="text1"/>
          <w:sz w:val="18"/>
          <w:szCs w:val="18"/>
          <w:lang w:val="en-GB"/>
        </w:rPr>
        <w:t xml:space="preserve">, showing increased combined risk at higher ages. The proportion with 1-2 NCD risk factors was around 70-75%. </w:t>
      </w:r>
    </w:p>
    <w:p w14:paraId="7667B915" w14:textId="77777777" w:rsidR="007A5E46" w:rsidRPr="00610088" w:rsidRDefault="007A5E46" w:rsidP="007A5E46">
      <w:pPr>
        <w:rPr>
          <w:color w:val="000000" w:themeColor="text1"/>
          <w:sz w:val="18"/>
          <w:szCs w:val="18"/>
          <w:lang w:val="en-GB"/>
        </w:rPr>
      </w:pPr>
    </w:p>
    <w:p w14:paraId="043441E2" w14:textId="7587B75C" w:rsidR="007A5E46" w:rsidRPr="00F0634E" w:rsidRDefault="007A5E46" w:rsidP="007A5E46">
      <w:pPr>
        <w:pStyle w:val="Caption"/>
        <w:keepNext/>
        <w:rPr>
          <w:i w:val="0"/>
          <w:iCs w:val="0"/>
          <w:color w:val="4472C4" w:themeColor="accent1"/>
          <w:lang w:val="en-GB"/>
        </w:rPr>
      </w:pPr>
      <w:bookmarkStart w:id="212" w:name="_Ref17266652"/>
      <w:bookmarkStart w:id="213" w:name="_Toc34804986"/>
      <w:r w:rsidRPr="00F0634E">
        <w:rPr>
          <w:i w:val="0"/>
          <w:iCs w:val="0"/>
          <w:color w:val="4472C4" w:themeColor="accent1"/>
          <w:lang w:val="en-GB"/>
        </w:rPr>
        <w:t xml:space="preserve">Table </w:t>
      </w:r>
      <w:r w:rsidR="00A30444" w:rsidRPr="00F0634E">
        <w:rPr>
          <w:i w:val="0"/>
          <w:iCs w:val="0"/>
          <w:color w:val="4472C4" w:themeColor="accent1"/>
          <w:lang w:val="en-GB"/>
        </w:rPr>
        <w:fldChar w:fldCharType="begin"/>
      </w:r>
      <w:r w:rsidR="00A30444" w:rsidRPr="00F0634E">
        <w:rPr>
          <w:i w:val="0"/>
          <w:iCs w:val="0"/>
          <w:color w:val="4472C4" w:themeColor="accent1"/>
          <w:lang w:val="en-GB"/>
        </w:rPr>
        <w:instrText xml:space="preserve"> SEQ Table \* ARABIC </w:instrText>
      </w:r>
      <w:r w:rsidR="00A30444" w:rsidRPr="00F0634E">
        <w:rPr>
          <w:i w:val="0"/>
          <w:iCs w:val="0"/>
          <w:color w:val="4472C4" w:themeColor="accent1"/>
          <w:lang w:val="en-GB"/>
        </w:rPr>
        <w:fldChar w:fldCharType="separate"/>
      </w:r>
      <w:r w:rsidR="00CB360C">
        <w:rPr>
          <w:i w:val="0"/>
          <w:iCs w:val="0"/>
          <w:noProof/>
          <w:color w:val="4472C4" w:themeColor="accent1"/>
          <w:lang w:val="en-GB"/>
        </w:rPr>
        <w:t>8</w:t>
      </w:r>
      <w:r w:rsidR="00A30444" w:rsidRPr="00F0634E">
        <w:rPr>
          <w:i w:val="0"/>
          <w:iCs w:val="0"/>
          <w:noProof/>
          <w:color w:val="4472C4" w:themeColor="accent1"/>
          <w:lang w:val="en-GB"/>
        </w:rPr>
        <w:fldChar w:fldCharType="end"/>
      </w:r>
      <w:bookmarkEnd w:id="212"/>
      <w:r w:rsidRPr="00F0634E">
        <w:rPr>
          <w:i w:val="0"/>
          <w:iCs w:val="0"/>
          <w:color w:val="4472C4" w:themeColor="accent1"/>
          <w:lang w:val="en-GB"/>
        </w:rPr>
        <w:t>: Combined risk factors from STEPS 2009</w:t>
      </w:r>
      <w:bookmarkEnd w:id="213"/>
    </w:p>
    <w:tbl>
      <w:tblPr>
        <w:tblStyle w:val="GridTable4-Accent1"/>
        <w:tblW w:w="0" w:type="auto"/>
        <w:tblLook w:val="04A0" w:firstRow="1" w:lastRow="0" w:firstColumn="1" w:lastColumn="0" w:noHBand="0" w:noVBand="1"/>
      </w:tblPr>
      <w:tblGrid>
        <w:gridCol w:w="5240"/>
        <w:gridCol w:w="1559"/>
        <w:gridCol w:w="1134"/>
        <w:gridCol w:w="1077"/>
      </w:tblGrid>
      <w:tr w:rsidR="007A5E46" w:rsidRPr="00610088" w14:paraId="3488ECCC" w14:textId="77777777" w:rsidTr="00844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gridSpan w:val="4"/>
            <w:tcBorders>
              <w:bottom w:val="single" w:sz="4" w:space="0" w:color="auto"/>
            </w:tcBorders>
          </w:tcPr>
          <w:p w14:paraId="63D03A44" w14:textId="77777777" w:rsidR="007A5E46" w:rsidRPr="00610088" w:rsidRDefault="007A5E46" w:rsidP="00844B57">
            <w:pPr>
              <w:rPr>
                <w:b w:val="0"/>
                <w:bCs w:val="0"/>
                <w:sz w:val="18"/>
                <w:szCs w:val="18"/>
                <w:lang w:val="en-GB"/>
              </w:rPr>
            </w:pPr>
            <w:r w:rsidRPr="00610088">
              <w:rPr>
                <w:sz w:val="18"/>
                <w:szCs w:val="18"/>
                <w:lang w:val="en-GB"/>
              </w:rPr>
              <w:t>Combined risk factors:</w:t>
            </w:r>
          </w:p>
          <w:p w14:paraId="46582143" w14:textId="77777777" w:rsidR="007A5E46" w:rsidRPr="00610088" w:rsidRDefault="007A5E46" w:rsidP="00844B57">
            <w:pPr>
              <w:pStyle w:val="ListParagraph"/>
              <w:numPr>
                <w:ilvl w:val="0"/>
                <w:numId w:val="25"/>
              </w:numPr>
              <w:rPr>
                <w:b w:val="0"/>
                <w:bCs w:val="0"/>
                <w:sz w:val="18"/>
                <w:szCs w:val="18"/>
                <w:lang w:val="en-GB"/>
              </w:rPr>
            </w:pPr>
            <w:r w:rsidRPr="00610088">
              <w:rPr>
                <w:b w:val="0"/>
                <w:bCs w:val="0"/>
                <w:sz w:val="18"/>
                <w:szCs w:val="18"/>
                <w:lang w:val="en-GB"/>
              </w:rPr>
              <w:t>Current daily smoking</w:t>
            </w:r>
          </w:p>
          <w:p w14:paraId="3E00EA05" w14:textId="77777777" w:rsidR="007A5E46" w:rsidRPr="00610088" w:rsidRDefault="007A5E46" w:rsidP="00844B57">
            <w:pPr>
              <w:pStyle w:val="ListParagraph"/>
              <w:numPr>
                <w:ilvl w:val="0"/>
                <w:numId w:val="25"/>
              </w:numPr>
              <w:rPr>
                <w:b w:val="0"/>
                <w:bCs w:val="0"/>
                <w:sz w:val="18"/>
                <w:szCs w:val="18"/>
                <w:lang w:val="en-GB"/>
              </w:rPr>
            </w:pPr>
            <w:r w:rsidRPr="00610088">
              <w:rPr>
                <w:b w:val="0"/>
                <w:bCs w:val="0"/>
                <w:sz w:val="18"/>
                <w:szCs w:val="18"/>
                <w:lang w:val="en-GB"/>
              </w:rPr>
              <w:t>Less than 5 servings of fruits &amp; vegetables per day</w:t>
            </w:r>
          </w:p>
          <w:p w14:paraId="441EA41F" w14:textId="77777777" w:rsidR="007A5E46" w:rsidRPr="00610088" w:rsidRDefault="007A5E46" w:rsidP="00844B57">
            <w:pPr>
              <w:pStyle w:val="ListParagraph"/>
              <w:numPr>
                <w:ilvl w:val="0"/>
                <w:numId w:val="25"/>
              </w:numPr>
              <w:rPr>
                <w:b w:val="0"/>
                <w:bCs w:val="0"/>
                <w:sz w:val="18"/>
                <w:szCs w:val="18"/>
                <w:lang w:val="en-GB"/>
              </w:rPr>
            </w:pPr>
            <w:r w:rsidRPr="00610088">
              <w:rPr>
                <w:b w:val="0"/>
                <w:bCs w:val="0"/>
                <w:sz w:val="18"/>
                <w:szCs w:val="18"/>
                <w:lang w:val="en-GB"/>
              </w:rPr>
              <w:t>Low level of activity</w:t>
            </w:r>
          </w:p>
          <w:p w14:paraId="668B1F16" w14:textId="77777777" w:rsidR="007A5E46" w:rsidRPr="00610088" w:rsidRDefault="007A5E46" w:rsidP="00844B57">
            <w:pPr>
              <w:pStyle w:val="ListParagraph"/>
              <w:numPr>
                <w:ilvl w:val="0"/>
                <w:numId w:val="25"/>
              </w:numPr>
              <w:rPr>
                <w:b w:val="0"/>
                <w:bCs w:val="0"/>
                <w:sz w:val="18"/>
                <w:szCs w:val="18"/>
                <w:lang w:val="en-GB"/>
              </w:rPr>
            </w:pPr>
            <w:r w:rsidRPr="00610088">
              <w:rPr>
                <w:b w:val="0"/>
                <w:bCs w:val="0"/>
                <w:sz w:val="18"/>
                <w:szCs w:val="18"/>
                <w:lang w:val="en-GB"/>
              </w:rPr>
              <w:t xml:space="preserve">Overweight (BMI </w:t>
            </w:r>
            <w:r w:rsidRPr="00610088">
              <w:rPr>
                <w:b w:val="0"/>
                <w:bCs w:val="0"/>
                <w:sz w:val="18"/>
                <w:szCs w:val="18"/>
                <w:lang w:val="en-GB"/>
              </w:rPr>
              <w:sym w:font="Symbol" w:char="F0B3"/>
            </w:r>
            <w:r w:rsidRPr="00610088">
              <w:rPr>
                <w:b w:val="0"/>
                <w:bCs w:val="0"/>
                <w:sz w:val="18"/>
                <w:szCs w:val="18"/>
                <w:lang w:val="en-GB"/>
              </w:rPr>
              <w:t xml:space="preserve"> 25 kg/m</w:t>
            </w:r>
            <w:r w:rsidRPr="00610088">
              <w:rPr>
                <w:b w:val="0"/>
                <w:bCs w:val="0"/>
                <w:sz w:val="18"/>
                <w:szCs w:val="18"/>
                <w:vertAlign w:val="superscript"/>
                <w:lang w:val="en-GB"/>
              </w:rPr>
              <w:t>2</w:t>
            </w:r>
            <w:r w:rsidRPr="00610088">
              <w:rPr>
                <w:b w:val="0"/>
                <w:bCs w:val="0"/>
                <w:sz w:val="18"/>
                <w:szCs w:val="18"/>
                <w:lang w:val="en-GB"/>
              </w:rPr>
              <w:t>)</w:t>
            </w:r>
          </w:p>
          <w:p w14:paraId="0234896E" w14:textId="759E39CB" w:rsidR="007A5E46" w:rsidRPr="00610088" w:rsidRDefault="007A5E46" w:rsidP="00844B57">
            <w:pPr>
              <w:pStyle w:val="ListParagraph"/>
              <w:numPr>
                <w:ilvl w:val="0"/>
                <w:numId w:val="25"/>
              </w:numPr>
              <w:rPr>
                <w:sz w:val="18"/>
                <w:szCs w:val="18"/>
                <w:lang w:val="en-GB"/>
              </w:rPr>
            </w:pPr>
            <w:r w:rsidRPr="00610088">
              <w:rPr>
                <w:b w:val="0"/>
                <w:bCs w:val="0"/>
                <w:sz w:val="18"/>
                <w:szCs w:val="18"/>
                <w:lang w:val="en-GB"/>
              </w:rPr>
              <w:t>Raised B</w:t>
            </w:r>
            <w:r w:rsidR="009A0992">
              <w:rPr>
                <w:b w:val="0"/>
                <w:bCs w:val="0"/>
                <w:sz w:val="18"/>
                <w:szCs w:val="18"/>
                <w:lang w:val="en-GB"/>
              </w:rPr>
              <w:t>lood Pressure</w:t>
            </w:r>
            <w:r w:rsidRPr="00610088">
              <w:rPr>
                <w:b w:val="0"/>
                <w:bCs w:val="0"/>
                <w:sz w:val="18"/>
                <w:szCs w:val="18"/>
                <w:lang w:val="en-GB"/>
              </w:rPr>
              <w:t xml:space="preserve"> (SBP </w:t>
            </w:r>
            <w:r w:rsidRPr="00610088">
              <w:rPr>
                <w:b w:val="0"/>
                <w:bCs w:val="0"/>
                <w:sz w:val="18"/>
                <w:szCs w:val="18"/>
                <w:lang w:val="en-GB"/>
              </w:rPr>
              <w:sym w:font="Symbol" w:char="F0B3"/>
            </w:r>
            <w:r w:rsidRPr="00610088">
              <w:rPr>
                <w:b w:val="0"/>
                <w:bCs w:val="0"/>
                <w:sz w:val="18"/>
                <w:szCs w:val="18"/>
                <w:lang w:val="en-GB"/>
              </w:rPr>
              <w:t xml:space="preserve"> 140 and/or DBP </w:t>
            </w:r>
            <w:r w:rsidRPr="00610088">
              <w:rPr>
                <w:b w:val="0"/>
                <w:bCs w:val="0"/>
                <w:sz w:val="18"/>
                <w:szCs w:val="18"/>
                <w:lang w:val="en-GB"/>
              </w:rPr>
              <w:sym w:font="Symbol" w:char="F0B3"/>
            </w:r>
            <w:r w:rsidRPr="00610088">
              <w:rPr>
                <w:b w:val="0"/>
                <w:bCs w:val="0"/>
                <w:sz w:val="18"/>
                <w:szCs w:val="18"/>
                <w:lang w:val="en-GB"/>
              </w:rPr>
              <w:t xml:space="preserve"> 90 mmHg or currently on medication for raised BP)</w:t>
            </w:r>
          </w:p>
        </w:tc>
      </w:tr>
      <w:tr w:rsidR="007A5E46" w:rsidRPr="00610088" w14:paraId="438E067C"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left w:val="single" w:sz="4" w:space="0" w:color="auto"/>
              <w:bottom w:val="single" w:sz="4" w:space="0" w:color="auto"/>
              <w:right w:val="single" w:sz="4" w:space="0" w:color="auto"/>
            </w:tcBorders>
            <w:shd w:val="clear" w:color="auto" w:fill="4472C4" w:themeFill="accent1"/>
          </w:tcPr>
          <w:p w14:paraId="03F10B8F" w14:textId="77777777" w:rsidR="007A5E46" w:rsidRPr="00610088" w:rsidRDefault="007A5E46" w:rsidP="00844B57">
            <w:pPr>
              <w:rPr>
                <w:color w:val="FFFFFF" w:themeColor="background1"/>
                <w:sz w:val="18"/>
                <w:szCs w:val="18"/>
                <w:lang w:val="en-GB"/>
              </w:rPr>
            </w:pPr>
            <w:r w:rsidRPr="00610088">
              <w:rPr>
                <w:color w:val="FFFFFF" w:themeColor="background1"/>
                <w:sz w:val="18"/>
                <w:szCs w:val="18"/>
                <w:lang w:val="en-GB"/>
              </w:rPr>
              <w:t>Item</w:t>
            </w:r>
          </w:p>
        </w:tc>
        <w:tc>
          <w:tcPr>
            <w:tcW w:w="1559" w:type="dxa"/>
            <w:tcBorders>
              <w:top w:val="single" w:sz="4" w:space="0" w:color="auto"/>
              <w:left w:val="single" w:sz="4" w:space="0" w:color="auto"/>
              <w:bottom w:val="single" w:sz="4" w:space="0" w:color="auto"/>
              <w:right w:val="single" w:sz="4" w:space="0" w:color="auto"/>
            </w:tcBorders>
            <w:shd w:val="clear" w:color="auto" w:fill="4472C4" w:themeFill="accent1"/>
          </w:tcPr>
          <w:p w14:paraId="51550EF7"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GB"/>
              </w:rPr>
            </w:pPr>
            <w:r w:rsidRPr="00610088">
              <w:rPr>
                <w:color w:val="FFFFFF" w:themeColor="background1"/>
                <w:sz w:val="18"/>
                <w:szCs w:val="18"/>
                <w:lang w:val="en-GB"/>
              </w:rPr>
              <w:t>Both Sexes</w:t>
            </w:r>
          </w:p>
        </w:tc>
        <w:tc>
          <w:tcPr>
            <w:tcW w:w="1134" w:type="dxa"/>
            <w:tcBorders>
              <w:top w:val="single" w:sz="4" w:space="0" w:color="auto"/>
              <w:left w:val="single" w:sz="4" w:space="0" w:color="auto"/>
              <w:bottom w:val="single" w:sz="4" w:space="0" w:color="auto"/>
              <w:right w:val="single" w:sz="4" w:space="0" w:color="auto"/>
            </w:tcBorders>
            <w:shd w:val="clear" w:color="auto" w:fill="4472C4" w:themeFill="accent1"/>
          </w:tcPr>
          <w:p w14:paraId="472C0567"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GB"/>
              </w:rPr>
            </w:pPr>
            <w:r w:rsidRPr="00610088">
              <w:rPr>
                <w:color w:val="FFFFFF" w:themeColor="background1"/>
                <w:sz w:val="18"/>
                <w:szCs w:val="18"/>
                <w:lang w:val="en-GB"/>
              </w:rPr>
              <w:t>Male</w:t>
            </w:r>
          </w:p>
        </w:tc>
        <w:tc>
          <w:tcPr>
            <w:tcW w:w="1077" w:type="dxa"/>
            <w:tcBorders>
              <w:top w:val="single" w:sz="4" w:space="0" w:color="auto"/>
              <w:left w:val="single" w:sz="4" w:space="0" w:color="auto"/>
              <w:bottom w:val="single" w:sz="4" w:space="0" w:color="auto"/>
              <w:right w:val="single" w:sz="4" w:space="0" w:color="auto"/>
            </w:tcBorders>
            <w:shd w:val="clear" w:color="auto" w:fill="4472C4" w:themeFill="accent1"/>
          </w:tcPr>
          <w:p w14:paraId="7ED81AEE"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lang w:val="en-GB"/>
              </w:rPr>
            </w:pPr>
            <w:r w:rsidRPr="00610088">
              <w:rPr>
                <w:color w:val="FFFFFF" w:themeColor="background1"/>
                <w:sz w:val="18"/>
                <w:szCs w:val="18"/>
                <w:lang w:val="en-GB"/>
              </w:rPr>
              <w:t>Female</w:t>
            </w:r>
          </w:p>
        </w:tc>
      </w:tr>
      <w:tr w:rsidR="007A5E46" w:rsidRPr="00610088" w14:paraId="3AEBB152" w14:textId="77777777" w:rsidTr="00844B57">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auto"/>
            </w:tcBorders>
          </w:tcPr>
          <w:p w14:paraId="3A9B9DC9" w14:textId="77777777" w:rsidR="007A5E46" w:rsidRPr="00610088" w:rsidRDefault="007A5E46" w:rsidP="00844B57">
            <w:pPr>
              <w:rPr>
                <w:b w:val="0"/>
                <w:bCs w:val="0"/>
                <w:color w:val="000000" w:themeColor="text1"/>
                <w:sz w:val="18"/>
                <w:szCs w:val="18"/>
                <w:lang w:val="en-GB"/>
              </w:rPr>
            </w:pPr>
            <w:r w:rsidRPr="00610088">
              <w:rPr>
                <w:b w:val="0"/>
                <w:bCs w:val="0"/>
                <w:color w:val="000000" w:themeColor="text1"/>
                <w:sz w:val="18"/>
                <w:szCs w:val="18"/>
                <w:lang w:val="en-GB"/>
              </w:rPr>
              <w:t>Percentage with none of the above risk factors</w:t>
            </w:r>
          </w:p>
        </w:tc>
        <w:tc>
          <w:tcPr>
            <w:tcW w:w="1559" w:type="dxa"/>
            <w:tcBorders>
              <w:top w:val="single" w:sz="4" w:space="0" w:color="auto"/>
            </w:tcBorders>
          </w:tcPr>
          <w:p w14:paraId="7F010095"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1.4%</w:t>
            </w:r>
          </w:p>
        </w:tc>
        <w:tc>
          <w:tcPr>
            <w:tcW w:w="1134" w:type="dxa"/>
            <w:tcBorders>
              <w:top w:val="single" w:sz="4" w:space="0" w:color="auto"/>
            </w:tcBorders>
          </w:tcPr>
          <w:p w14:paraId="648048CA"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1.1%</w:t>
            </w:r>
          </w:p>
        </w:tc>
        <w:tc>
          <w:tcPr>
            <w:tcW w:w="1077" w:type="dxa"/>
            <w:tcBorders>
              <w:top w:val="single" w:sz="4" w:space="0" w:color="auto"/>
            </w:tcBorders>
          </w:tcPr>
          <w:p w14:paraId="2875668B"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1.7%</w:t>
            </w:r>
          </w:p>
        </w:tc>
      </w:tr>
      <w:tr w:rsidR="007A5E46" w:rsidRPr="00610088" w14:paraId="2A30F827"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EFE73EC" w14:textId="77777777" w:rsidR="007A5E46" w:rsidRPr="00610088" w:rsidRDefault="007A5E46" w:rsidP="00844B57">
            <w:pPr>
              <w:rPr>
                <w:b w:val="0"/>
                <w:bCs w:val="0"/>
                <w:color w:val="000000" w:themeColor="text1"/>
                <w:sz w:val="18"/>
                <w:szCs w:val="18"/>
                <w:lang w:val="en-GB"/>
              </w:rPr>
            </w:pPr>
            <w:r w:rsidRPr="00610088">
              <w:rPr>
                <w:b w:val="0"/>
                <w:bCs w:val="0"/>
                <w:color w:val="000000" w:themeColor="text1"/>
                <w:sz w:val="18"/>
                <w:szCs w:val="18"/>
                <w:lang w:val="en-GB"/>
              </w:rPr>
              <w:t xml:space="preserve">Percentage with three or more of the above risk factors, </w:t>
            </w:r>
            <w:r w:rsidRPr="00610088">
              <w:rPr>
                <w:color w:val="000000" w:themeColor="text1"/>
                <w:sz w:val="18"/>
                <w:szCs w:val="18"/>
                <w:lang w:val="en-GB"/>
              </w:rPr>
              <w:t>25-44 years</w:t>
            </w:r>
          </w:p>
        </w:tc>
        <w:tc>
          <w:tcPr>
            <w:tcW w:w="1559" w:type="dxa"/>
          </w:tcPr>
          <w:p w14:paraId="02B21C79"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22.7%</w:t>
            </w:r>
          </w:p>
        </w:tc>
        <w:tc>
          <w:tcPr>
            <w:tcW w:w="1134" w:type="dxa"/>
          </w:tcPr>
          <w:p w14:paraId="05FB0BA0"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27.2%</w:t>
            </w:r>
          </w:p>
        </w:tc>
        <w:tc>
          <w:tcPr>
            <w:tcW w:w="1077" w:type="dxa"/>
          </w:tcPr>
          <w:p w14:paraId="0AF9BF6A"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18.6%</w:t>
            </w:r>
          </w:p>
        </w:tc>
      </w:tr>
      <w:tr w:rsidR="007A5E46" w:rsidRPr="00610088" w14:paraId="25CB7EFF" w14:textId="77777777" w:rsidTr="00844B57">
        <w:tc>
          <w:tcPr>
            <w:cnfStyle w:val="001000000000" w:firstRow="0" w:lastRow="0" w:firstColumn="1" w:lastColumn="0" w:oddVBand="0" w:evenVBand="0" w:oddHBand="0" w:evenHBand="0" w:firstRowFirstColumn="0" w:firstRowLastColumn="0" w:lastRowFirstColumn="0" w:lastRowLastColumn="0"/>
            <w:tcW w:w="5240" w:type="dxa"/>
          </w:tcPr>
          <w:p w14:paraId="33ACB2A9" w14:textId="77777777" w:rsidR="007A5E46" w:rsidRPr="00610088" w:rsidRDefault="007A5E46" w:rsidP="00844B57">
            <w:pPr>
              <w:rPr>
                <w:b w:val="0"/>
                <w:bCs w:val="0"/>
                <w:color w:val="000000" w:themeColor="text1"/>
                <w:sz w:val="18"/>
                <w:szCs w:val="18"/>
                <w:lang w:val="en-GB"/>
              </w:rPr>
            </w:pPr>
            <w:r w:rsidRPr="00610088">
              <w:rPr>
                <w:b w:val="0"/>
                <w:bCs w:val="0"/>
                <w:color w:val="000000" w:themeColor="text1"/>
                <w:sz w:val="18"/>
                <w:szCs w:val="18"/>
                <w:lang w:val="en-GB"/>
              </w:rPr>
              <w:t xml:space="preserve">Percentage with three or more of the above risk factors, </w:t>
            </w:r>
            <w:r w:rsidRPr="00610088">
              <w:rPr>
                <w:color w:val="000000" w:themeColor="text1"/>
                <w:sz w:val="18"/>
                <w:szCs w:val="18"/>
                <w:lang w:val="en-GB"/>
              </w:rPr>
              <w:t>45-64 years</w:t>
            </w:r>
          </w:p>
        </w:tc>
        <w:tc>
          <w:tcPr>
            <w:tcW w:w="1559" w:type="dxa"/>
          </w:tcPr>
          <w:p w14:paraId="034EBCB7"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37.2%</w:t>
            </w:r>
          </w:p>
        </w:tc>
        <w:tc>
          <w:tcPr>
            <w:tcW w:w="1134" w:type="dxa"/>
          </w:tcPr>
          <w:p w14:paraId="7EAA583F"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39.9%</w:t>
            </w:r>
          </w:p>
        </w:tc>
        <w:tc>
          <w:tcPr>
            <w:tcW w:w="1077" w:type="dxa"/>
          </w:tcPr>
          <w:p w14:paraId="680869B0" w14:textId="77777777" w:rsidR="007A5E46" w:rsidRPr="00610088" w:rsidRDefault="007A5E46" w:rsidP="00844B57">
            <w:pPr>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33.6%</w:t>
            </w:r>
          </w:p>
        </w:tc>
      </w:tr>
      <w:tr w:rsidR="007A5E46" w:rsidRPr="00610088" w14:paraId="4248F8D2" w14:textId="77777777" w:rsidTr="00844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AD3D25C" w14:textId="77777777" w:rsidR="007A5E46" w:rsidRPr="00610088" w:rsidRDefault="007A5E46" w:rsidP="00844B57">
            <w:pPr>
              <w:rPr>
                <w:b w:val="0"/>
                <w:bCs w:val="0"/>
                <w:color w:val="000000" w:themeColor="text1"/>
                <w:sz w:val="18"/>
                <w:szCs w:val="18"/>
                <w:lang w:val="en-GB"/>
              </w:rPr>
            </w:pPr>
            <w:r w:rsidRPr="00610088">
              <w:rPr>
                <w:color w:val="000000" w:themeColor="text1"/>
                <w:sz w:val="18"/>
                <w:szCs w:val="18"/>
                <w:lang w:val="en-GB"/>
              </w:rPr>
              <w:t>Percentage with three or more of the above risk factors,</w:t>
            </w:r>
            <w:r w:rsidRPr="00610088">
              <w:rPr>
                <w:b w:val="0"/>
                <w:bCs w:val="0"/>
                <w:color w:val="000000" w:themeColor="text1"/>
                <w:sz w:val="18"/>
                <w:szCs w:val="18"/>
                <w:lang w:val="en-GB"/>
              </w:rPr>
              <w:t xml:space="preserve"> </w:t>
            </w:r>
            <w:r w:rsidRPr="00610088">
              <w:rPr>
                <w:color w:val="000000" w:themeColor="text1"/>
                <w:sz w:val="18"/>
                <w:szCs w:val="18"/>
                <w:lang w:val="en-GB"/>
              </w:rPr>
              <w:t>25-64 years</w:t>
            </w:r>
          </w:p>
        </w:tc>
        <w:tc>
          <w:tcPr>
            <w:tcW w:w="1559" w:type="dxa"/>
          </w:tcPr>
          <w:p w14:paraId="7B39BF1A"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27.0%</w:t>
            </w:r>
          </w:p>
        </w:tc>
        <w:tc>
          <w:tcPr>
            <w:tcW w:w="1134" w:type="dxa"/>
          </w:tcPr>
          <w:p w14:paraId="716544AC"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31.5%</w:t>
            </w:r>
          </w:p>
        </w:tc>
        <w:tc>
          <w:tcPr>
            <w:tcW w:w="1077" w:type="dxa"/>
          </w:tcPr>
          <w:p w14:paraId="550880FB" w14:textId="77777777" w:rsidR="007A5E46" w:rsidRPr="00610088" w:rsidRDefault="007A5E46" w:rsidP="00844B57">
            <w:pPr>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610088">
              <w:rPr>
                <w:color w:val="000000" w:themeColor="text1"/>
                <w:sz w:val="18"/>
                <w:szCs w:val="18"/>
                <w:lang w:val="en-GB"/>
              </w:rPr>
              <w:t>22.6%</w:t>
            </w:r>
          </w:p>
        </w:tc>
      </w:tr>
    </w:tbl>
    <w:p w14:paraId="047E6FC0" w14:textId="77777777" w:rsidR="007A5E46" w:rsidRPr="00610088" w:rsidRDefault="007A5E46" w:rsidP="007A5E46">
      <w:pPr>
        <w:rPr>
          <w:color w:val="000000" w:themeColor="text1"/>
          <w:sz w:val="18"/>
          <w:szCs w:val="18"/>
          <w:lang w:val="en-GB"/>
        </w:rPr>
      </w:pPr>
    </w:p>
    <w:p w14:paraId="0191DBF7" w14:textId="2B6D5A32" w:rsidR="007A5E46" w:rsidRPr="00610088" w:rsidRDefault="007A5E46" w:rsidP="007A5E46">
      <w:pPr>
        <w:rPr>
          <w:sz w:val="18"/>
          <w:szCs w:val="18"/>
          <w:lang w:val="en-GB"/>
        </w:rPr>
      </w:pPr>
      <w:r w:rsidRPr="00610088">
        <w:rPr>
          <w:sz w:val="18"/>
          <w:szCs w:val="18"/>
          <w:lang w:val="en-GB"/>
        </w:rPr>
        <w:t xml:space="preserve">A recent Bo </w:t>
      </w:r>
      <w:r w:rsidR="002F142B" w:rsidRPr="00610088">
        <w:rPr>
          <w:sz w:val="18"/>
          <w:szCs w:val="18"/>
          <w:lang w:val="en-GB"/>
        </w:rPr>
        <w:t xml:space="preserve">District </w:t>
      </w:r>
      <w:r w:rsidRPr="00610088">
        <w:rPr>
          <w:sz w:val="18"/>
          <w:szCs w:val="18"/>
          <w:lang w:val="en-GB"/>
        </w:rPr>
        <w:t xml:space="preserve">CVD risk factor study among adults over 40 years found that 77% had at least 1 CVD risk factor (out of hypertension, diabetes, hypercholesterolaemia, obesity and smoking), with higher proportions for males, older people, and wealthier people; but not for urban residents or more educated residents. </w:t>
      </w:r>
      <w:r w:rsidRPr="00610088">
        <w:rPr>
          <w:sz w:val="18"/>
          <w:szCs w:val="18"/>
          <w:vertAlign w:val="superscript"/>
          <w:lang w:val="en-GB"/>
        </w:rPr>
        <w:fldChar w:fldCharType="begin"/>
      </w:r>
      <w:r w:rsidRPr="00610088">
        <w:rPr>
          <w:sz w:val="18"/>
          <w:szCs w:val="18"/>
          <w:vertAlign w:val="superscript"/>
          <w:lang w:val="en-GB"/>
        </w:rPr>
        <w:instrText xml:space="preserve"> NOTEREF _Ref17030981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157</w:t>
      </w:r>
      <w:r w:rsidRPr="00610088">
        <w:rPr>
          <w:sz w:val="18"/>
          <w:szCs w:val="18"/>
          <w:vertAlign w:val="superscript"/>
          <w:lang w:val="en-GB"/>
        </w:rPr>
        <w:fldChar w:fldCharType="end"/>
      </w:r>
    </w:p>
    <w:p w14:paraId="53B04395" w14:textId="77777777" w:rsidR="007A5E46" w:rsidRPr="00610088" w:rsidRDefault="007A5E46" w:rsidP="007A5E46">
      <w:pPr>
        <w:rPr>
          <w:sz w:val="18"/>
          <w:szCs w:val="18"/>
          <w:highlight w:val="yellow"/>
          <w:lang w:val="en-GB"/>
        </w:rPr>
      </w:pPr>
    </w:p>
    <w:p w14:paraId="4000BDF8" w14:textId="0ED21800" w:rsidR="004B0FCF" w:rsidRPr="00610088" w:rsidRDefault="004B0FCF">
      <w:pPr>
        <w:rPr>
          <w:sz w:val="18"/>
          <w:szCs w:val="18"/>
          <w:lang w:val="en-GB"/>
        </w:rPr>
      </w:pPr>
      <w:r w:rsidRPr="00610088">
        <w:rPr>
          <w:sz w:val="18"/>
          <w:szCs w:val="18"/>
          <w:lang w:val="en-GB"/>
        </w:rPr>
        <w:br w:type="page"/>
      </w:r>
    </w:p>
    <w:p w14:paraId="412D5EC9" w14:textId="126AF083" w:rsidR="004B0FCF" w:rsidRPr="00610088" w:rsidRDefault="004B0FCF" w:rsidP="004B0FCF">
      <w:pPr>
        <w:pStyle w:val="Heading1"/>
        <w:numPr>
          <w:ilvl w:val="0"/>
          <w:numId w:val="0"/>
        </w:numPr>
        <w:ind w:left="432" w:hanging="432"/>
        <w:rPr>
          <w:lang w:val="en-GB"/>
        </w:rPr>
      </w:pPr>
      <w:bookmarkStart w:id="214" w:name="_Toc41370576"/>
      <w:r w:rsidRPr="00610088">
        <w:rPr>
          <w:lang w:val="en-GB"/>
        </w:rPr>
        <w:lastRenderedPageBreak/>
        <w:t>Annex 4:  NCD Programs</w:t>
      </w:r>
      <w:r w:rsidR="007E3F1F" w:rsidRPr="00610088">
        <w:rPr>
          <w:lang w:val="en-GB"/>
        </w:rPr>
        <w:t xml:space="preserve"> </w:t>
      </w:r>
      <w:r w:rsidRPr="00610088">
        <w:rPr>
          <w:lang w:val="en-GB"/>
        </w:rPr>
        <w:t xml:space="preserve">and </w:t>
      </w:r>
      <w:r w:rsidR="007E3F1F" w:rsidRPr="00610088">
        <w:rPr>
          <w:lang w:val="en-GB"/>
        </w:rPr>
        <w:t xml:space="preserve">supporters / </w:t>
      </w:r>
      <w:r w:rsidRPr="00610088">
        <w:rPr>
          <w:lang w:val="en-GB"/>
        </w:rPr>
        <w:t>implementers in Sierra Leone</w:t>
      </w:r>
      <w:bookmarkEnd w:id="214"/>
    </w:p>
    <w:p w14:paraId="2CEF627C" w14:textId="77777777" w:rsidR="007A5E46" w:rsidRPr="00610088" w:rsidRDefault="007A5E46" w:rsidP="007A5E46">
      <w:pPr>
        <w:rPr>
          <w:sz w:val="18"/>
          <w:szCs w:val="18"/>
          <w:lang w:val="en-GB"/>
        </w:rPr>
      </w:pPr>
    </w:p>
    <w:tbl>
      <w:tblPr>
        <w:tblStyle w:val="GridTable4-Accent1"/>
        <w:tblW w:w="0" w:type="auto"/>
        <w:tblLook w:val="04A0" w:firstRow="1" w:lastRow="0" w:firstColumn="1" w:lastColumn="0" w:noHBand="0" w:noVBand="1"/>
      </w:tblPr>
      <w:tblGrid>
        <w:gridCol w:w="1358"/>
        <w:gridCol w:w="5016"/>
        <w:gridCol w:w="2636"/>
      </w:tblGrid>
      <w:tr w:rsidR="00AC1C54" w:rsidRPr="00610088" w14:paraId="7093B8D1" w14:textId="77777777" w:rsidTr="00897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599FF94C" w14:textId="77777777" w:rsidR="00AC1C54" w:rsidRPr="00610088" w:rsidRDefault="00AC1C54" w:rsidP="00897D18">
            <w:pPr>
              <w:rPr>
                <w:sz w:val="18"/>
                <w:szCs w:val="18"/>
                <w:lang w:val="en-GB"/>
              </w:rPr>
            </w:pPr>
            <w:r w:rsidRPr="00610088">
              <w:rPr>
                <w:sz w:val="18"/>
                <w:szCs w:val="18"/>
                <w:lang w:val="en-GB"/>
              </w:rPr>
              <w:t>Intervention</w:t>
            </w:r>
          </w:p>
        </w:tc>
        <w:tc>
          <w:tcPr>
            <w:tcW w:w="5016" w:type="dxa"/>
          </w:tcPr>
          <w:p w14:paraId="692BC94D" w14:textId="77777777" w:rsidR="00AC1C54" w:rsidRPr="00610088" w:rsidRDefault="00AC1C54" w:rsidP="00897D18">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Details</w:t>
            </w:r>
          </w:p>
        </w:tc>
        <w:tc>
          <w:tcPr>
            <w:tcW w:w="2636" w:type="dxa"/>
          </w:tcPr>
          <w:p w14:paraId="4FD67001" w14:textId="5B28B620" w:rsidR="00AC1C54" w:rsidRPr="00610088" w:rsidRDefault="00AC1C54" w:rsidP="00897D18">
            <w:pPr>
              <w:cnfStyle w:val="100000000000" w:firstRow="1"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Supporter(s)/ implementers</w:t>
            </w:r>
            <w:r w:rsidR="004E3F73" w:rsidRPr="00610088">
              <w:rPr>
                <w:sz w:val="18"/>
                <w:szCs w:val="18"/>
                <w:lang w:val="en-GB"/>
              </w:rPr>
              <w:t xml:space="preserve"> (beyond the </w:t>
            </w:r>
            <w:proofErr w:type="spellStart"/>
            <w:r w:rsidR="00156C15">
              <w:rPr>
                <w:sz w:val="18"/>
                <w:szCs w:val="18"/>
                <w:lang w:val="en-GB"/>
              </w:rPr>
              <w:t>MoHS</w:t>
            </w:r>
            <w:proofErr w:type="spellEnd"/>
            <w:r w:rsidR="004E3F73" w:rsidRPr="00610088">
              <w:rPr>
                <w:sz w:val="18"/>
                <w:szCs w:val="18"/>
                <w:lang w:val="en-GB"/>
              </w:rPr>
              <w:t>)</w:t>
            </w:r>
          </w:p>
        </w:tc>
      </w:tr>
      <w:tr w:rsidR="00AC1C54" w:rsidRPr="00610088" w14:paraId="5DD61E58"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6E261DB0" w14:textId="77777777" w:rsidR="00AC1C54" w:rsidRPr="00610088" w:rsidRDefault="00AC1C54" w:rsidP="00897D18">
            <w:pPr>
              <w:rPr>
                <w:sz w:val="18"/>
                <w:szCs w:val="18"/>
                <w:lang w:val="en-GB"/>
              </w:rPr>
            </w:pPr>
            <w:r w:rsidRPr="00610088">
              <w:rPr>
                <w:sz w:val="18"/>
                <w:szCs w:val="18"/>
                <w:lang w:val="en-GB"/>
              </w:rPr>
              <w:t>FCTC</w:t>
            </w:r>
          </w:p>
        </w:tc>
        <w:tc>
          <w:tcPr>
            <w:tcW w:w="5016" w:type="dxa"/>
          </w:tcPr>
          <w:p w14:paraId="474DDB34" w14:textId="0DC72EFB" w:rsidR="00AC1C54" w:rsidRPr="00610088" w:rsidRDefault="00AC1C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Support to implementation of the </w:t>
            </w:r>
            <w:r w:rsidR="003561E5">
              <w:rPr>
                <w:sz w:val="18"/>
                <w:szCs w:val="18"/>
                <w:lang w:val="en-GB"/>
              </w:rPr>
              <w:t xml:space="preserve">WHO </w:t>
            </w:r>
            <w:r w:rsidRPr="00610088">
              <w:rPr>
                <w:sz w:val="18"/>
                <w:szCs w:val="18"/>
                <w:lang w:val="en-GB"/>
              </w:rPr>
              <w:t>Framework Convention of Tobacco Control (FCTC) including Tobacco investment case, Tobacco legislation</w:t>
            </w:r>
          </w:p>
        </w:tc>
        <w:tc>
          <w:tcPr>
            <w:tcW w:w="2636" w:type="dxa"/>
          </w:tcPr>
          <w:p w14:paraId="10DF33E2" w14:textId="77777777" w:rsidR="00AC1C54" w:rsidRPr="00610088" w:rsidRDefault="00AC1C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WHO, UNDP</w:t>
            </w:r>
          </w:p>
        </w:tc>
      </w:tr>
      <w:tr w:rsidR="00AC1C54" w:rsidRPr="00610088" w14:paraId="1AE872C2" w14:textId="77777777" w:rsidTr="00897D18">
        <w:tc>
          <w:tcPr>
            <w:cnfStyle w:val="001000000000" w:firstRow="0" w:lastRow="0" w:firstColumn="1" w:lastColumn="0" w:oddVBand="0" w:evenVBand="0" w:oddHBand="0" w:evenHBand="0" w:firstRowFirstColumn="0" w:firstRowLastColumn="0" w:lastRowFirstColumn="0" w:lastRowLastColumn="0"/>
            <w:tcW w:w="1358" w:type="dxa"/>
          </w:tcPr>
          <w:p w14:paraId="7A570D7A" w14:textId="77777777" w:rsidR="00AC1C54" w:rsidRPr="00610088" w:rsidRDefault="00AC1C54" w:rsidP="00897D18">
            <w:pPr>
              <w:rPr>
                <w:sz w:val="18"/>
                <w:szCs w:val="18"/>
                <w:lang w:val="en-GB"/>
              </w:rPr>
            </w:pPr>
            <w:r w:rsidRPr="00610088">
              <w:rPr>
                <w:sz w:val="18"/>
                <w:szCs w:val="18"/>
                <w:lang w:val="en-GB"/>
              </w:rPr>
              <w:t>NCDI</w:t>
            </w:r>
          </w:p>
        </w:tc>
        <w:tc>
          <w:tcPr>
            <w:tcW w:w="5016" w:type="dxa"/>
          </w:tcPr>
          <w:p w14:paraId="78ACF6A8"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Establishment, launch and support of National NCD and Injuries commission</w:t>
            </w:r>
          </w:p>
        </w:tc>
        <w:tc>
          <w:tcPr>
            <w:tcW w:w="2636" w:type="dxa"/>
          </w:tcPr>
          <w:p w14:paraId="1E7F7642" w14:textId="7F6F7614"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PIH, The Lancet commission</w:t>
            </w:r>
            <w:r w:rsidR="004E3F73" w:rsidRPr="00610088">
              <w:rPr>
                <w:sz w:val="18"/>
                <w:szCs w:val="18"/>
                <w:lang w:val="en-GB"/>
              </w:rPr>
              <w:t xml:space="preserve">, </w:t>
            </w:r>
          </w:p>
        </w:tc>
      </w:tr>
      <w:tr w:rsidR="00AC1C54" w:rsidRPr="00610088" w14:paraId="793F951D"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62873977" w14:textId="77777777" w:rsidR="00AC1C54" w:rsidRPr="00610088" w:rsidRDefault="00AC1C54" w:rsidP="00897D18">
            <w:pPr>
              <w:rPr>
                <w:sz w:val="18"/>
                <w:szCs w:val="18"/>
                <w:lang w:val="en-GB"/>
              </w:rPr>
            </w:pPr>
            <w:r w:rsidRPr="00610088">
              <w:rPr>
                <w:sz w:val="18"/>
                <w:szCs w:val="18"/>
                <w:lang w:val="en-GB"/>
              </w:rPr>
              <w:t>Policy</w:t>
            </w:r>
          </w:p>
        </w:tc>
        <w:tc>
          <w:tcPr>
            <w:tcW w:w="5016" w:type="dxa"/>
          </w:tcPr>
          <w:p w14:paraId="78B484E3" w14:textId="77777777" w:rsidR="00AC1C54" w:rsidRPr="00610088" w:rsidRDefault="00AC1C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Development of new NCD policy and strategic plan</w:t>
            </w:r>
          </w:p>
        </w:tc>
        <w:tc>
          <w:tcPr>
            <w:tcW w:w="2636" w:type="dxa"/>
          </w:tcPr>
          <w:p w14:paraId="405ADF91" w14:textId="7211E7BB" w:rsidR="00AC1C54" w:rsidRPr="00610088" w:rsidRDefault="00AC1C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World Bank</w:t>
            </w:r>
          </w:p>
        </w:tc>
      </w:tr>
      <w:tr w:rsidR="00AC1C54" w:rsidRPr="00610088" w14:paraId="4E270570" w14:textId="77777777" w:rsidTr="00897D18">
        <w:tc>
          <w:tcPr>
            <w:cnfStyle w:val="001000000000" w:firstRow="0" w:lastRow="0" w:firstColumn="1" w:lastColumn="0" w:oddVBand="0" w:evenVBand="0" w:oddHBand="0" w:evenHBand="0" w:firstRowFirstColumn="0" w:firstRowLastColumn="0" w:lastRowFirstColumn="0" w:lastRowLastColumn="0"/>
            <w:tcW w:w="1358" w:type="dxa"/>
          </w:tcPr>
          <w:p w14:paraId="174878C4" w14:textId="77777777" w:rsidR="00AC1C54" w:rsidRPr="00610088" w:rsidRDefault="00AC1C54" w:rsidP="00897D18">
            <w:pPr>
              <w:rPr>
                <w:sz w:val="18"/>
                <w:szCs w:val="18"/>
                <w:lang w:val="en-GB"/>
              </w:rPr>
            </w:pPr>
            <w:r w:rsidRPr="00610088">
              <w:rPr>
                <w:sz w:val="18"/>
                <w:szCs w:val="18"/>
                <w:lang w:val="en-GB"/>
              </w:rPr>
              <w:t>Salt reduction</w:t>
            </w:r>
          </w:p>
        </w:tc>
        <w:tc>
          <w:tcPr>
            <w:tcW w:w="5016" w:type="dxa"/>
          </w:tcPr>
          <w:p w14:paraId="524DBB2A"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Salt reduction campaign, focus on health promotion</w:t>
            </w:r>
          </w:p>
        </w:tc>
        <w:tc>
          <w:tcPr>
            <w:tcW w:w="2636" w:type="dxa"/>
          </w:tcPr>
          <w:p w14:paraId="0B120A6F"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WAHO</w:t>
            </w:r>
          </w:p>
        </w:tc>
      </w:tr>
      <w:tr w:rsidR="00AC1C54" w:rsidRPr="00610088" w14:paraId="6A513537"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4A086D9B" w14:textId="77777777" w:rsidR="00AC1C54" w:rsidRPr="00610088" w:rsidRDefault="00AC1C54" w:rsidP="00897D18">
            <w:pPr>
              <w:rPr>
                <w:sz w:val="18"/>
                <w:szCs w:val="18"/>
                <w:lang w:val="en-GB"/>
              </w:rPr>
            </w:pPr>
            <w:r w:rsidRPr="00610088">
              <w:rPr>
                <w:sz w:val="18"/>
                <w:szCs w:val="18"/>
                <w:lang w:val="en-GB"/>
              </w:rPr>
              <w:t>Transform Freetown</w:t>
            </w:r>
          </w:p>
        </w:tc>
        <w:tc>
          <w:tcPr>
            <w:tcW w:w="5016" w:type="dxa"/>
          </w:tcPr>
          <w:p w14:paraId="479CA71F" w14:textId="6C95CAA9" w:rsidR="004E3F73" w:rsidRPr="00610088" w:rsidRDefault="004E3F73" w:rsidP="004E3F73">
            <w:pPr>
              <w:pStyle w:val="No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Transform Freetown 2019-2022 </w:t>
            </w:r>
            <w:r w:rsidRPr="00610088">
              <w:rPr>
                <w:sz w:val="18"/>
                <w:szCs w:val="18"/>
                <w:vertAlign w:val="superscript"/>
                <w:lang w:val="en-GB"/>
              </w:rPr>
              <w:fldChar w:fldCharType="begin"/>
            </w:r>
            <w:r w:rsidRPr="00610088">
              <w:rPr>
                <w:sz w:val="18"/>
                <w:szCs w:val="18"/>
                <w:vertAlign w:val="superscript"/>
                <w:lang w:val="en-GB"/>
              </w:rPr>
              <w:instrText xml:space="preserve"> NOTEREF _Ref32689145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87</w:t>
            </w:r>
            <w:r w:rsidRPr="00610088">
              <w:rPr>
                <w:sz w:val="18"/>
                <w:szCs w:val="18"/>
                <w:vertAlign w:val="superscript"/>
                <w:lang w:val="en-GB"/>
              </w:rPr>
              <w:fldChar w:fldCharType="end"/>
            </w:r>
            <w:r w:rsidRPr="00610088">
              <w:rPr>
                <w:sz w:val="18"/>
                <w:szCs w:val="18"/>
                <w:lang w:val="en-GB"/>
              </w:rPr>
              <w:t xml:space="preserve"> - initiative of the Freetown city council in the areas of Resilience, Human Development, Healthy City and Urban mobility. </w:t>
            </w:r>
          </w:p>
          <w:p w14:paraId="5D48D9C9" w14:textId="4ED7CB3C" w:rsidR="004E3F73" w:rsidRPr="00610088" w:rsidRDefault="004E3F73" w:rsidP="004E3F73">
            <w:pPr>
              <w:pStyle w:val="No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Specific target for NCDs (target 2: By 2022, increase by 20% the adoption of healthy behaviours to reduce specific non-communicable conditions (</w:t>
            </w:r>
            <w:r w:rsidRPr="00610088">
              <w:rPr>
                <w:i/>
                <w:iCs/>
                <w:sz w:val="18"/>
                <w:szCs w:val="18"/>
                <w:lang w:val="en-GB"/>
              </w:rPr>
              <w:t>diabetes, hypertension, reproductive cancers, mental health and substance abuse</w:t>
            </w:r>
            <w:r w:rsidRPr="00610088">
              <w:rPr>
                <w:sz w:val="18"/>
                <w:szCs w:val="18"/>
                <w:lang w:val="en-GB"/>
              </w:rPr>
              <w:t xml:space="preserve">). </w:t>
            </w:r>
          </w:p>
          <w:p w14:paraId="4061BDEF" w14:textId="626218FF" w:rsidR="00AC1C54" w:rsidRPr="00610088" w:rsidRDefault="004E3F73" w:rsidP="004E3F73">
            <w:pPr>
              <w:pStyle w:val="NoSpacing"/>
              <w:cnfStyle w:val="000000100000" w:firstRow="0" w:lastRow="0" w:firstColumn="0" w:lastColumn="0" w:oddVBand="0" w:evenVBand="0" w:oddHBand="1" w:evenHBand="0" w:firstRowFirstColumn="0" w:firstRowLastColumn="0" w:lastRowFirstColumn="0" w:lastRowLastColumn="0"/>
              <w:rPr>
                <w:lang w:val="en-GB"/>
              </w:rPr>
            </w:pPr>
            <w:r w:rsidRPr="00610088">
              <w:rPr>
                <w:sz w:val="18"/>
                <w:szCs w:val="18"/>
                <w:lang w:val="en-GB"/>
              </w:rPr>
              <w:t xml:space="preserve">NCD Transform Freetown Health Working Group is working on a screening and referral pathway and on the Healthy </w:t>
            </w:r>
            <w:proofErr w:type="spellStart"/>
            <w:r w:rsidRPr="00610088">
              <w:rPr>
                <w:sz w:val="18"/>
                <w:szCs w:val="18"/>
                <w:lang w:val="en-GB"/>
              </w:rPr>
              <w:t>Freetonians</w:t>
            </w:r>
            <w:proofErr w:type="spellEnd"/>
            <w:r w:rsidRPr="00610088">
              <w:rPr>
                <w:sz w:val="18"/>
                <w:szCs w:val="18"/>
                <w:lang w:val="en-GB"/>
              </w:rPr>
              <w:t xml:space="preserve">’ Campaign: </w:t>
            </w:r>
            <w:proofErr w:type="spellStart"/>
            <w:proofErr w:type="gramStart"/>
            <w:r w:rsidRPr="00610088">
              <w:rPr>
                <w:i/>
                <w:iCs/>
                <w:sz w:val="18"/>
                <w:szCs w:val="18"/>
                <w:lang w:val="en-GB"/>
              </w:rPr>
              <w:t>You</w:t>
            </w:r>
            <w:proofErr w:type="spellEnd"/>
            <w:proofErr w:type="gramEnd"/>
            <w:r w:rsidRPr="00610088">
              <w:rPr>
                <w:i/>
                <w:iCs/>
                <w:sz w:val="18"/>
                <w:szCs w:val="18"/>
                <w:lang w:val="en-GB"/>
              </w:rPr>
              <w:t xml:space="preserve"> life depend pan you lifestyle</w:t>
            </w:r>
            <w:r w:rsidRPr="00610088">
              <w:rPr>
                <w:sz w:val="18"/>
                <w:szCs w:val="18"/>
                <w:lang w:val="en-GB"/>
              </w:rPr>
              <w:t xml:space="preserve">! which includes health awareness days, health festivals and health promoting schools. </w:t>
            </w:r>
            <w:r w:rsidRPr="00610088">
              <w:rPr>
                <w:sz w:val="18"/>
                <w:szCs w:val="18"/>
                <w:vertAlign w:val="superscript"/>
                <w:lang w:val="en-GB"/>
              </w:rPr>
              <w:fldChar w:fldCharType="begin"/>
            </w:r>
            <w:r w:rsidRPr="00610088">
              <w:rPr>
                <w:sz w:val="18"/>
                <w:szCs w:val="18"/>
                <w:vertAlign w:val="superscript"/>
                <w:lang w:val="en-GB"/>
              </w:rPr>
              <w:instrText xml:space="preserve"> NOTEREF _Ref32689240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88</w:t>
            </w:r>
            <w:r w:rsidRPr="00610088">
              <w:rPr>
                <w:sz w:val="18"/>
                <w:szCs w:val="18"/>
                <w:vertAlign w:val="superscript"/>
                <w:lang w:val="en-GB"/>
              </w:rPr>
              <w:fldChar w:fldCharType="end"/>
            </w:r>
            <w:r w:rsidRPr="00610088">
              <w:rPr>
                <w:sz w:val="18"/>
                <w:szCs w:val="18"/>
                <w:vertAlign w:val="superscript"/>
                <w:lang w:val="en-GB"/>
              </w:rPr>
              <w:t>,</w:t>
            </w:r>
            <w:r w:rsidRPr="00610088">
              <w:rPr>
                <w:sz w:val="18"/>
                <w:szCs w:val="18"/>
                <w:vertAlign w:val="superscript"/>
                <w:lang w:val="en-GB"/>
              </w:rPr>
              <w:fldChar w:fldCharType="begin"/>
            </w:r>
            <w:r w:rsidRPr="00610088">
              <w:rPr>
                <w:sz w:val="18"/>
                <w:szCs w:val="18"/>
                <w:vertAlign w:val="superscript"/>
                <w:lang w:val="en-GB"/>
              </w:rPr>
              <w:instrText xml:space="preserve"> NOTEREF _Ref32689255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89</w:t>
            </w:r>
            <w:r w:rsidRPr="00610088">
              <w:rPr>
                <w:sz w:val="18"/>
                <w:szCs w:val="18"/>
                <w:vertAlign w:val="superscript"/>
                <w:lang w:val="en-GB"/>
              </w:rPr>
              <w:fldChar w:fldCharType="end"/>
            </w:r>
          </w:p>
        </w:tc>
        <w:tc>
          <w:tcPr>
            <w:tcW w:w="2636" w:type="dxa"/>
          </w:tcPr>
          <w:p w14:paraId="00C03F83" w14:textId="4A389B04" w:rsidR="00AC1C54" w:rsidRPr="00610088" w:rsidRDefault="004E3F7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NCD </w:t>
            </w:r>
            <w:r w:rsidR="00AC1C54" w:rsidRPr="00610088">
              <w:rPr>
                <w:sz w:val="18"/>
                <w:szCs w:val="18"/>
                <w:lang w:val="en-GB"/>
              </w:rPr>
              <w:t xml:space="preserve">Transform Freetown </w:t>
            </w:r>
            <w:r w:rsidRPr="00610088">
              <w:rPr>
                <w:sz w:val="18"/>
                <w:szCs w:val="18"/>
                <w:lang w:val="en-GB"/>
              </w:rPr>
              <w:t>Health Working Group (Freetown City Council)</w:t>
            </w:r>
          </w:p>
        </w:tc>
      </w:tr>
      <w:tr w:rsidR="00AC1C54" w:rsidRPr="00610088" w14:paraId="29073CD4" w14:textId="77777777" w:rsidTr="00897D18">
        <w:tc>
          <w:tcPr>
            <w:cnfStyle w:val="001000000000" w:firstRow="0" w:lastRow="0" w:firstColumn="1" w:lastColumn="0" w:oddVBand="0" w:evenVBand="0" w:oddHBand="0" w:evenHBand="0" w:firstRowFirstColumn="0" w:firstRowLastColumn="0" w:lastRowFirstColumn="0" w:lastRowLastColumn="0"/>
            <w:tcW w:w="1358" w:type="dxa"/>
          </w:tcPr>
          <w:p w14:paraId="48737AC3" w14:textId="77777777" w:rsidR="00AC1C54" w:rsidRPr="00610088" w:rsidRDefault="00AC1C54" w:rsidP="00897D18">
            <w:pPr>
              <w:rPr>
                <w:sz w:val="18"/>
                <w:szCs w:val="18"/>
                <w:lang w:val="en-GB"/>
              </w:rPr>
            </w:pPr>
            <w:r w:rsidRPr="00610088">
              <w:rPr>
                <w:sz w:val="18"/>
                <w:szCs w:val="18"/>
                <w:lang w:val="en-GB"/>
              </w:rPr>
              <w:t>Mental Health</w:t>
            </w:r>
          </w:p>
        </w:tc>
        <w:tc>
          <w:tcPr>
            <w:tcW w:w="5016" w:type="dxa"/>
          </w:tcPr>
          <w:p w14:paraId="113972D8"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Several activities</w:t>
            </w:r>
          </w:p>
        </w:tc>
        <w:tc>
          <w:tcPr>
            <w:tcW w:w="2636" w:type="dxa"/>
          </w:tcPr>
          <w:p w14:paraId="63F78070"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WHO, Handicap International</w:t>
            </w:r>
          </w:p>
        </w:tc>
      </w:tr>
      <w:tr w:rsidR="004E3F73" w:rsidRPr="00610088" w14:paraId="50F31A6E"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val="restart"/>
          </w:tcPr>
          <w:p w14:paraId="15B55953" w14:textId="2EE67267" w:rsidR="004E3F73" w:rsidRPr="00610088" w:rsidRDefault="004E3F73" w:rsidP="00897D18">
            <w:pPr>
              <w:rPr>
                <w:sz w:val="18"/>
                <w:szCs w:val="18"/>
                <w:highlight w:val="yellow"/>
                <w:lang w:val="en-GB"/>
              </w:rPr>
            </w:pPr>
            <w:r w:rsidRPr="00610088">
              <w:rPr>
                <w:sz w:val="18"/>
                <w:szCs w:val="18"/>
                <w:lang w:val="en-GB"/>
              </w:rPr>
              <w:t>NCD training</w:t>
            </w:r>
          </w:p>
        </w:tc>
        <w:tc>
          <w:tcPr>
            <w:tcW w:w="5016" w:type="dxa"/>
          </w:tcPr>
          <w:p w14:paraId="6930837E" w14:textId="28970AA4" w:rsidR="004E3F73" w:rsidRPr="00610088" w:rsidRDefault="004E3F7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CHO-MLTP - Management leadership and training program for CHOs in 12 districts. In 10 districts in 69 CHCs also hypertension screening and BP equipment provision (</w:t>
            </w:r>
            <w:r w:rsidRPr="00610088">
              <w:rPr>
                <w:i/>
                <w:iCs/>
                <w:sz w:val="18"/>
                <w:szCs w:val="18"/>
                <w:lang w:val="en-GB"/>
              </w:rPr>
              <w:t xml:space="preserve">see description under section </w:t>
            </w:r>
            <w:r w:rsidRPr="00610088">
              <w:rPr>
                <w:i/>
                <w:iCs/>
                <w:sz w:val="18"/>
                <w:szCs w:val="18"/>
                <w:lang w:val="en-GB"/>
              </w:rPr>
              <w:fldChar w:fldCharType="begin"/>
            </w:r>
            <w:r w:rsidRPr="00610088">
              <w:rPr>
                <w:i/>
                <w:iCs/>
                <w:sz w:val="18"/>
                <w:szCs w:val="18"/>
                <w:lang w:val="en-GB"/>
              </w:rPr>
              <w:instrText xml:space="preserve"> REF _Ref17258916 \w \h  \* MERGEFORMAT </w:instrText>
            </w:r>
            <w:r w:rsidRPr="00610088">
              <w:rPr>
                <w:i/>
                <w:iCs/>
                <w:sz w:val="18"/>
                <w:szCs w:val="18"/>
                <w:lang w:val="en-GB"/>
              </w:rPr>
            </w:r>
            <w:r w:rsidRPr="00610088">
              <w:rPr>
                <w:i/>
                <w:iCs/>
                <w:sz w:val="18"/>
                <w:szCs w:val="18"/>
                <w:lang w:val="en-GB"/>
              </w:rPr>
              <w:fldChar w:fldCharType="separate"/>
            </w:r>
            <w:r w:rsidR="00CB360C">
              <w:rPr>
                <w:i/>
                <w:iCs/>
                <w:sz w:val="18"/>
                <w:szCs w:val="18"/>
                <w:lang w:val="en-GB"/>
              </w:rPr>
              <w:t>3.3.4</w:t>
            </w:r>
            <w:r w:rsidRPr="00610088">
              <w:rPr>
                <w:i/>
                <w:iCs/>
                <w:sz w:val="18"/>
                <w:szCs w:val="18"/>
                <w:lang w:val="en-GB"/>
              </w:rPr>
              <w:fldChar w:fldCharType="end"/>
            </w:r>
            <w:r w:rsidRPr="00610088">
              <w:rPr>
                <w:i/>
                <w:iCs/>
                <w:sz w:val="18"/>
                <w:szCs w:val="18"/>
                <w:lang w:val="en-GB"/>
              </w:rPr>
              <w:t>)</w:t>
            </w:r>
          </w:p>
        </w:tc>
        <w:tc>
          <w:tcPr>
            <w:tcW w:w="2636" w:type="dxa"/>
          </w:tcPr>
          <w:p w14:paraId="05315769" w14:textId="77777777" w:rsidR="004E3F73" w:rsidRPr="00610088" w:rsidRDefault="004E3F73" w:rsidP="00897D18">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sz w:val="18"/>
                <w:szCs w:val="18"/>
                <w:lang w:val="en-GB"/>
              </w:rPr>
              <w:t>CDC, eHealth Africa</w:t>
            </w:r>
          </w:p>
        </w:tc>
      </w:tr>
      <w:tr w:rsidR="004E3F73" w:rsidRPr="00610088" w14:paraId="01F7765E"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1949CC26" w14:textId="518BD907" w:rsidR="004E3F73" w:rsidRPr="00610088" w:rsidRDefault="004E3F73" w:rsidP="00897D18">
            <w:pPr>
              <w:rPr>
                <w:sz w:val="18"/>
                <w:szCs w:val="18"/>
                <w:highlight w:val="yellow"/>
                <w:lang w:val="en-GB"/>
              </w:rPr>
            </w:pPr>
          </w:p>
        </w:tc>
        <w:tc>
          <w:tcPr>
            <w:tcW w:w="5016" w:type="dxa"/>
          </w:tcPr>
          <w:p w14:paraId="3F298DA5" w14:textId="77777777" w:rsidR="004E3F73" w:rsidRPr="00610088" w:rsidRDefault="004E3F7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NCD training and equipment for CHCs, </w:t>
            </w:r>
            <w:proofErr w:type="spellStart"/>
            <w:r w:rsidRPr="00610088">
              <w:rPr>
                <w:sz w:val="18"/>
                <w:szCs w:val="18"/>
                <w:lang w:val="en-GB"/>
              </w:rPr>
              <w:t>Bombali</w:t>
            </w:r>
            <w:proofErr w:type="spellEnd"/>
          </w:p>
        </w:tc>
        <w:tc>
          <w:tcPr>
            <w:tcW w:w="2636" w:type="dxa"/>
          </w:tcPr>
          <w:p w14:paraId="382BC37D" w14:textId="77777777" w:rsidR="004E3F73" w:rsidRPr="00610088" w:rsidRDefault="004E3F7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VSO, WHO (equipment and supplies for WHO-PEN)</w:t>
            </w:r>
          </w:p>
        </w:tc>
      </w:tr>
      <w:tr w:rsidR="00AC1C54" w:rsidRPr="00610088" w14:paraId="72257A0E"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0D84B377" w14:textId="6C0B7D17" w:rsidR="00AC1C54" w:rsidRPr="00610088" w:rsidRDefault="004E3F73" w:rsidP="00897D18">
            <w:pPr>
              <w:rPr>
                <w:sz w:val="18"/>
                <w:szCs w:val="18"/>
                <w:lang w:val="en-GB"/>
              </w:rPr>
            </w:pPr>
            <w:r w:rsidRPr="00610088">
              <w:rPr>
                <w:sz w:val="18"/>
                <w:szCs w:val="18"/>
                <w:lang w:val="en-GB"/>
              </w:rPr>
              <w:t xml:space="preserve">NCD </w:t>
            </w:r>
            <w:r w:rsidR="00AC1C54" w:rsidRPr="00610088">
              <w:rPr>
                <w:sz w:val="18"/>
                <w:szCs w:val="18"/>
                <w:lang w:val="en-GB"/>
              </w:rPr>
              <w:t>Desk guide</w:t>
            </w:r>
          </w:p>
        </w:tc>
        <w:tc>
          <w:tcPr>
            <w:tcW w:w="5016" w:type="dxa"/>
          </w:tcPr>
          <w:p w14:paraId="36E5A25E" w14:textId="77777777" w:rsidR="00AC1C54" w:rsidRPr="00610088" w:rsidRDefault="00AC1C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Development NCD desk guide</w:t>
            </w:r>
          </w:p>
        </w:tc>
        <w:tc>
          <w:tcPr>
            <w:tcW w:w="2636" w:type="dxa"/>
          </w:tcPr>
          <w:p w14:paraId="2292BB3B" w14:textId="7F467F14" w:rsidR="004E3F73" w:rsidRPr="00610088" w:rsidRDefault="004E3F73" w:rsidP="00BB1D05">
            <w:pPr>
              <w:pStyle w:val="NormalWeb"/>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rFonts w:asciiTheme="minorHAnsi" w:eastAsiaTheme="minorHAnsi" w:hAnsiTheme="minorHAnsi" w:cstheme="minorBidi"/>
                <w:sz w:val="18"/>
                <w:szCs w:val="18"/>
                <w:lang w:val="en-GB"/>
              </w:rPr>
              <w:t xml:space="preserve">VSO/RCGP; PIH, LIHS/Nuffield, NIHR Research Unit on Health in Fragility’s (RUHF) partners </w:t>
            </w:r>
            <w:proofErr w:type="spellStart"/>
            <w:r w:rsidR="005505BF">
              <w:rPr>
                <w:rFonts w:asciiTheme="minorHAnsi" w:eastAsiaTheme="minorHAnsi" w:hAnsiTheme="minorHAnsi" w:cstheme="minorBidi"/>
                <w:sz w:val="18"/>
                <w:szCs w:val="18"/>
                <w:lang w:val="en-GB"/>
              </w:rPr>
              <w:t>a</w:t>
            </w:r>
            <w:r w:rsidRPr="00610088">
              <w:rPr>
                <w:rFonts w:asciiTheme="minorHAnsi" w:eastAsiaTheme="minorHAnsi" w:hAnsiTheme="minorHAnsi" w:cstheme="minorBidi"/>
                <w:sz w:val="18"/>
                <w:szCs w:val="18"/>
                <w:lang w:val="en-GB"/>
              </w:rPr>
              <w:t>Q</w:t>
            </w:r>
            <w:r w:rsidR="005505BF">
              <w:rPr>
                <w:rFonts w:asciiTheme="minorHAnsi" w:eastAsiaTheme="minorHAnsi" w:hAnsiTheme="minorHAnsi" w:cstheme="minorBidi"/>
                <w:sz w:val="18"/>
                <w:szCs w:val="18"/>
                <w:lang w:val="en-GB"/>
              </w:rPr>
              <w:t>ueen</w:t>
            </w:r>
            <w:proofErr w:type="spellEnd"/>
            <w:r w:rsidR="005505BF">
              <w:rPr>
                <w:rFonts w:asciiTheme="minorHAnsi" w:eastAsiaTheme="minorHAnsi" w:hAnsiTheme="minorHAnsi" w:cstheme="minorBidi"/>
                <w:sz w:val="18"/>
                <w:szCs w:val="18"/>
                <w:lang w:val="en-GB"/>
              </w:rPr>
              <w:t xml:space="preserve"> Margaret University</w:t>
            </w:r>
            <w:r w:rsidRPr="00610088">
              <w:rPr>
                <w:rFonts w:asciiTheme="minorHAnsi" w:eastAsiaTheme="minorHAnsi" w:hAnsiTheme="minorHAnsi" w:cstheme="minorBidi"/>
                <w:sz w:val="18"/>
                <w:szCs w:val="18"/>
                <w:lang w:val="en-GB"/>
              </w:rPr>
              <w:t xml:space="preserve"> and COMAHS</w:t>
            </w:r>
          </w:p>
        </w:tc>
      </w:tr>
      <w:tr w:rsidR="00842154" w:rsidRPr="00610088" w14:paraId="7BDB43CE"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val="restart"/>
          </w:tcPr>
          <w:p w14:paraId="22C8710F" w14:textId="77777777" w:rsidR="00842154" w:rsidRPr="00610088" w:rsidRDefault="00842154" w:rsidP="00897D18">
            <w:pPr>
              <w:rPr>
                <w:sz w:val="18"/>
                <w:szCs w:val="18"/>
                <w:lang w:val="en-GB"/>
              </w:rPr>
            </w:pPr>
            <w:r w:rsidRPr="00610088">
              <w:rPr>
                <w:sz w:val="18"/>
                <w:szCs w:val="18"/>
                <w:lang w:val="en-GB"/>
              </w:rPr>
              <w:t>NCD services</w:t>
            </w:r>
          </w:p>
        </w:tc>
        <w:tc>
          <w:tcPr>
            <w:tcW w:w="5016" w:type="dxa"/>
          </w:tcPr>
          <w:p w14:paraId="7EA61D98" w14:textId="77777777" w:rsidR="00842154" w:rsidRPr="00610088" w:rsidRDefault="008421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Support to in/outpatient NCD patient care, including NCD clinic days, diagnosis, management, provision of drugs/supplies, special data tools and home based-management of Diabetes patients – </w:t>
            </w:r>
            <w:proofErr w:type="spellStart"/>
            <w:r w:rsidRPr="00610088">
              <w:rPr>
                <w:sz w:val="18"/>
                <w:szCs w:val="18"/>
                <w:lang w:val="en-GB"/>
              </w:rPr>
              <w:t>Kono</w:t>
            </w:r>
            <w:proofErr w:type="spellEnd"/>
            <w:r w:rsidRPr="00610088">
              <w:rPr>
                <w:sz w:val="18"/>
                <w:szCs w:val="18"/>
                <w:lang w:val="en-GB"/>
              </w:rPr>
              <w:t xml:space="preserve"> Government Hospital</w:t>
            </w:r>
          </w:p>
        </w:tc>
        <w:tc>
          <w:tcPr>
            <w:tcW w:w="2636" w:type="dxa"/>
          </w:tcPr>
          <w:p w14:paraId="45CA458E" w14:textId="77777777" w:rsidR="00842154" w:rsidRPr="00610088" w:rsidRDefault="008421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PIH</w:t>
            </w:r>
          </w:p>
        </w:tc>
      </w:tr>
      <w:tr w:rsidR="00842154" w:rsidRPr="00610088" w14:paraId="0A025614"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25C53345" w14:textId="77777777" w:rsidR="00842154" w:rsidRPr="00610088" w:rsidRDefault="00842154" w:rsidP="00897D18">
            <w:pPr>
              <w:rPr>
                <w:sz w:val="18"/>
                <w:szCs w:val="18"/>
                <w:lang w:val="en-GB"/>
              </w:rPr>
            </w:pPr>
          </w:p>
        </w:tc>
        <w:tc>
          <w:tcPr>
            <w:tcW w:w="5016" w:type="dxa"/>
          </w:tcPr>
          <w:p w14:paraId="194C943E" w14:textId="217DBB09" w:rsidR="00842154" w:rsidRPr="00610088" w:rsidRDefault="008421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Support to setting up stroke register (April 2019), </w:t>
            </w:r>
            <w:r w:rsidR="00440F58" w:rsidRPr="00610088">
              <w:rPr>
                <w:sz w:val="18"/>
                <w:szCs w:val="18"/>
                <w:lang w:val="en-GB"/>
              </w:rPr>
              <w:t>specialised stroke care</w:t>
            </w:r>
            <w:r w:rsidRPr="00610088">
              <w:rPr>
                <w:sz w:val="18"/>
                <w:szCs w:val="18"/>
                <w:lang w:val="en-GB"/>
              </w:rPr>
              <w:t xml:space="preserve"> (2020) while disseminating lessons learnt (2021) and conducting stroke research (results by 2022) at Connaught Hospital </w:t>
            </w:r>
          </w:p>
        </w:tc>
        <w:tc>
          <w:tcPr>
            <w:tcW w:w="2636" w:type="dxa"/>
          </w:tcPr>
          <w:p w14:paraId="29DFCE84" w14:textId="5CED8CC4" w:rsidR="00842154" w:rsidRPr="00610088" w:rsidRDefault="008421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King’s Sierra Leone Partnership, COMAHS </w:t>
            </w:r>
            <w:r w:rsidRPr="00610088">
              <w:rPr>
                <w:sz w:val="18"/>
                <w:szCs w:val="18"/>
                <w:vertAlign w:val="superscript"/>
                <w:lang w:val="en-GB"/>
              </w:rPr>
              <w:fldChar w:fldCharType="begin"/>
            </w:r>
            <w:r w:rsidRPr="00610088">
              <w:rPr>
                <w:sz w:val="18"/>
                <w:szCs w:val="18"/>
                <w:vertAlign w:val="superscript"/>
                <w:lang w:val="en-GB"/>
              </w:rPr>
              <w:instrText xml:space="preserve"> NOTEREF _Ref17397286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130</w:t>
            </w:r>
            <w:r w:rsidRPr="00610088">
              <w:rPr>
                <w:sz w:val="18"/>
                <w:szCs w:val="18"/>
                <w:vertAlign w:val="superscript"/>
                <w:lang w:val="en-GB"/>
              </w:rPr>
              <w:fldChar w:fldCharType="end"/>
            </w:r>
            <w:r w:rsidRPr="00610088">
              <w:rPr>
                <w:sz w:val="18"/>
                <w:szCs w:val="18"/>
                <w:vertAlign w:val="superscript"/>
                <w:lang w:val="en-GB"/>
              </w:rPr>
              <w:t xml:space="preserve">, </w:t>
            </w:r>
            <w:bookmarkStart w:id="215" w:name="_Ref17397459"/>
            <w:r w:rsidRPr="00610088">
              <w:rPr>
                <w:rStyle w:val="EndnoteReference"/>
                <w:sz w:val="18"/>
                <w:szCs w:val="18"/>
                <w:lang w:val="en-GB"/>
              </w:rPr>
              <w:endnoteReference w:id="212"/>
            </w:r>
            <w:bookmarkEnd w:id="215"/>
          </w:p>
        </w:tc>
      </w:tr>
      <w:tr w:rsidR="00842154" w:rsidRPr="00610088" w14:paraId="0AB03462"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16ACF29E" w14:textId="77777777" w:rsidR="00842154" w:rsidRPr="00610088" w:rsidRDefault="00842154" w:rsidP="00897D18">
            <w:pPr>
              <w:rPr>
                <w:sz w:val="18"/>
                <w:szCs w:val="18"/>
                <w:lang w:val="en-GB"/>
              </w:rPr>
            </w:pPr>
          </w:p>
        </w:tc>
        <w:tc>
          <w:tcPr>
            <w:tcW w:w="5016" w:type="dxa"/>
          </w:tcPr>
          <w:p w14:paraId="03E45777" w14:textId="1563F7D0" w:rsidR="00F12DA5" w:rsidRPr="00610088" w:rsidRDefault="00842154" w:rsidP="00F12DA5">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Support to in/outpatient NCD patient care at </w:t>
            </w:r>
            <w:proofErr w:type="spellStart"/>
            <w:r w:rsidRPr="00610088">
              <w:rPr>
                <w:sz w:val="18"/>
                <w:szCs w:val="18"/>
                <w:lang w:val="en-GB"/>
              </w:rPr>
              <w:t>Masanga</w:t>
            </w:r>
            <w:proofErr w:type="spellEnd"/>
            <w:r w:rsidRPr="00610088">
              <w:rPr>
                <w:sz w:val="18"/>
                <w:szCs w:val="18"/>
                <w:lang w:val="en-GB"/>
              </w:rPr>
              <w:t xml:space="preserve"> hospital</w:t>
            </w:r>
            <w:r w:rsidR="00F12DA5" w:rsidRPr="00610088">
              <w:rPr>
                <w:sz w:val="18"/>
                <w:szCs w:val="18"/>
                <w:lang w:val="en-GB"/>
              </w:rPr>
              <w:t xml:space="preserve">. </w:t>
            </w:r>
            <w:proofErr w:type="spellStart"/>
            <w:r w:rsidR="00F12DA5" w:rsidRPr="00610088">
              <w:rPr>
                <w:sz w:val="18"/>
                <w:szCs w:val="18"/>
                <w:lang w:val="en-GB"/>
              </w:rPr>
              <w:t>Capacare</w:t>
            </w:r>
            <w:proofErr w:type="spellEnd"/>
            <w:r w:rsidR="00F12DA5" w:rsidRPr="00610088">
              <w:rPr>
                <w:sz w:val="18"/>
                <w:szCs w:val="18"/>
                <w:lang w:val="en-GB"/>
              </w:rPr>
              <w:t xml:space="preserve"> supports CHO surgical training program and hospital running costs (including drugs).</w:t>
            </w:r>
            <w:r w:rsidR="00F12DA5" w:rsidRPr="00610088">
              <w:rPr>
                <w:lang w:val="en-GB"/>
              </w:rPr>
              <w:t xml:space="preserve"> </w:t>
            </w:r>
          </w:p>
        </w:tc>
        <w:tc>
          <w:tcPr>
            <w:tcW w:w="2636" w:type="dxa"/>
          </w:tcPr>
          <w:p w14:paraId="69FC2F51" w14:textId="3EAB5CDE" w:rsidR="00842154" w:rsidRPr="00610088" w:rsidRDefault="00F12DA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Insulin for Life, </w:t>
            </w:r>
            <w:proofErr w:type="spellStart"/>
            <w:r w:rsidRPr="00610088">
              <w:rPr>
                <w:sz w:val="18"/>
                <w:szCs w:val="18"/>
                <w:lang w:val="en-GB"/>
              </w:rPr>
              <w:t>CapaCare</w:t>
            </w:r>
            <w:proofErr w:type="spellEnd"/>
          </w:p>
        </w:tc>
      </w:tr>
      <w:tr w:rsidR="00842154" w:rsidRPr="00610088" w14:paraId="35F27212"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24D6540B" w14:textId="77777777" w:rsidR="00842154" w:rsidRPr="00610088" w:rsidRDefault="00842154" w:rsidP="00897D18">
            <w:pPr>
              <w:rPr>
                <w:sz w:val="18"/>
                <w:szCs w:val="18"/>
                <w:lang w:val="en-GB"/>
              </w:rPr>
            </w:pPr>
          </w:p>
        </w:tc>
        <w:tc>
          <w:tcPr>
            <w:tcW w:w="5016" w:type="dxa"/>
          </w:tcPr>
          <w:p w14:paraId="4D62E590" w14:textId="2D1183B9" w:rsidR="00842154" w:rsidRPr="00610088" w:rsidRDefault="008421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Sickle cell services (see description under section </w:t>
            </w:r>
            <w:r w:rsidRPr="00610088">
              <w:rPr>
                <w:sz w:val="18"/>
                <w:szCs w:val="18"/>
                <w:lang w:val="en-GB"/>
              </w:rPr>
              <w:fldChar w:fldCharType="begin"/>
            </w:r>
            <w:r w:rsidRPr="00610088">
              <w:rPr>
                <w:sz w:val="18"/>
                <w:szCs w:val="18"/>
                <w:lang w:val="en-GB"/>
              </w:rPr>
              <w:instrText xml:space="preserve"> REF _Ref17258916 \h  \* MERGEFORMAT </w:instrText>
            </w:r>
            <w:r w:rsidRPr="00610088">
              <w:rPr>
                <w:sz w:val="18"/>
                <w:szCs w:val="18"/>
                <w:lang w:val="en-GB"/>
              </w:rPr>
            </w:r>
            <w:r w:rsidRPr="00610088">
              <w:rPr>
                <w:sz w:val="18"/>
                <w:szCs w:val="18"/>
                <w:lang w:val="en-GB"/>
              </w:rPr>
              <w:fldChar w:fldCharType="separate"/>
            </w:r>
            <w:r w:rsidR="00CB360C" w:rsidRPr="00CB360C">
              <w:rPr>
                <w:sz w:val="18"/>
                <w:szCs w:val="18"/>
                <w:lang w:val="en-GB"/>
              </w:rPr>
              <w:t>NCD Service delivery</w:t>
            </w:r>
            <w:r w:rsidRPr="00610088">
              <w:rPr>
                <w:sz w:val="18"/>
                <w:szCs w:val="18"/>
                <w:lang w:val="en-GB"/>
              </w:rPr>
              <w:fldChar w:fldCharType="end"/>
            </w:r>
            <w:r w:rsidRPr="00610088">
              <w:rPr>
                <w:sz w:val="18"/>
                <w:szCs w:val="18"/>
                <w:lang w:val="en-GB"/>
              </w:rPr>
              <w:fldChar w:fldCharType="begin"/>
            </w:r>
            <w:r w:rsidRPr="00610088">
              <w:rPr>
                <w:sz w:val="18"/>
                <w:szCs w:val="18"/>
                <w:lang w:val="en-GB"/>
              </w:rPr>
              <w:instrText xml:space="preserve"> REF _Ref17258916 \w \h  \* MERGEFORMAT </w:instrText>
            </w:r>
            <w:r w:rsidRPr="00610088">
              <w:rPr>
                <w:sz w:val="18"/>
                <w:szCs w:val="18"/>
                <w:lang w:val="en-GB"/>
              </w:rPr>
            </w:r>
            <w:r w:rsidRPr="00610088">
              <w:rPr>
                <w:sz w:val="18"/>
                <w:szCs w:val="18"/>
                <w:lang w:val="en-GB"/>
              </w:rPr>
              <w:fldChar w:fldCharType="separate"/>
            </w:r>
            <w:r w:rsidR="00CB360C">
              <w:rPr>
                <w:sz w:val="18"/>
                <w:szCs w:val="18"/>
                <w:lang w:val="en-GB"/>
              </w:rPr>
              <w:t>3.3.4</w:t>
            </w:r>
            <w:r w:rsidRPr="00610088">
              <w:rPr>
                <w:sz w:val="18"/>
                <w:szCs w:val="18"/>
                <w:lang w:val="en-GB"/>
              </w:rPr>
              <w:fldChar w:fldCharType="end"/>
            </w:r>
            <w:r w:rsidRPr="00610088">
              <w:rPr>
                <w:sz w:val="18"/>
                <w:szCs w:val="18"/>
                <w:lang w:val="en-GB"/>
              </w:rPr>
              <w:t>)</w:t>
            </w:r>
          </w:p>
        </w:tc>
        <w:tc>
          <w:tcPr>
            <w:tcW w:w="2636" w:type="dxa"/>
          </w:tcPr>
          <w:p w14:paraId="660DAEA9" w14:textId="77777777" w:rsidR="00842154" w:rsidRPr="00610088" w:rsidRDefault="008421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Sierra Leone Sickle Cell Society (SLSCS)</w:t>
            </w:r>
          </w:p>
        </w:tc>
      </w:tr>
      <w:tr w:rsidR="00842154" w:rsidRPr="00610088" w14:paraId="275C3E75"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5108107A" w14:textId="77777777" w:rsidR="00842154" w:rsidRPr="00610088" w:rsidRDefault="00842154" w:rsidP="00897D18">
            <w:pPr>
              <w:rPr>
                <w:sz w:val="18"/>
                <w:szCs w:val="18"/>
                <w:lang w:val="en-GB"/>
              </w:rPr>
            </w:pPr>
          </w:p>
        </w:tc>
        <w:tc>
          <w:tcPr>
            <w:tcW w:w="5016" w:type="dxa"/>
          </w:tcPr>
          <w:p w14:paraId="3D6D0BEF" w14:textId="3286BC19" w:rsidR="00842154" w:rsidRPr="00610088" w:rsidRDefault="00842154" w:rsidP="00842154">
            <w:pPr>
              <w:pStyle w:val="CommentText"/>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Diabetes awareness creation </w:t>
            </w:r>
          </w:p>
        </w:tc>
        <w:tc>
          <w:tcPr>
            <w:tcW w:w="2636" w:type="dxa"/>
          </w:tcPr>
          <w:p w14:paraId="1B6FB415" w14:textId="027B94DC" w:rsidR="00842154" w:rsidRPr="00610088" w:rsidRDefault="008421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Friends of Diabetes</w:t>
            </w:r>
          </w:p>
        </w:tc>
      </w:tr>
      <w:tr w:rsidR="00842154" w:rsidRPr="00610088" w14:paraId="4B44BFB6"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4485D395" w14:textId="77777777" w:rsidR="00842154" w:rsidRPr="00610088" w:rsidRDefault="00842154" w:rsidP="00897D18">
            <w:pPr>
              <w:rPr>
                <w:sz w:val="18"/>
                <w:szCs w:val="18"/>
                <w:lang w:val="en-GB"/>
              </w:rPr>
            </w:pPr>
          </w:p>
        </w:tc>
        <w:tc>
          <w:tcPr>
            <w:tcW w:w="5016" w:type="dxa"/>
          </w:tcPr>
          <w:p w14:paraId="5D12C72E" w14:textId="679FD3D4" w:rsidR="00842154" w:rsidRPr="00610088" w:rsidRDefault="00842154" w:rsidP="00842154">
            <w:pPr>
              <w:pStyle w:val="CommentText"/>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Gestational Diabetes pilot project</w:t>
            </w:r>
          </w:p>
        </w:tc>
        <w:tc>
          <w:tcPr>
            <w:tcW w:w="2636" w:type="dxa"/>
          </w:tcPr>
          <w:p w14:paraId="34701790" w14:textId="586EB6AD" w:rsidR="00842154" w:rsidRPr="00610088" w:rsidRDefault="00842154"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CUAMM</w:t>
            </w:r>
          </w:p>
        </w:tc>
      </w:tr>
      <w:tr w:rsidR="00BB1D05" w:rsidRPr="00610088" w14:paraId="43479FD0"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val="restart"/>
          </w:tcPr>
          <w:p w14:paraId="4CB4C7D7" w14:textId="700EAA02" w:rsidR="00BB1D05" w:rsidRPr="00610088" w:rsidRDefault="00BB1D05" w:rsidP="00897D18">
            <w:pPr>
              <w:rPr>
                <w:sz w:val="18"/>
                <w:szCs w:val="18"/>
                <w:lang w:val="en-GB"/>
              </w:rPr>
            </w:pPr>
            <w:r w:rsidRPr="00610088">
              <w:rPr>
                <w:sz w:val="18"/>
                <w:szCs w:val="18"/>
                <w:lang w:val="en-GB"/>
              </w:rPr>
              <w:t>Cancer</w:t>
            </w:r>
            <w:r w:rsidR="00842154" w:rsidRPr="00610088">
              <w:rPr>
                <w:sz w:val="18"/>
                <w:szCs w:val="18"/>
                <w:lang w:val="en-GB"/>
              </w:rPr>
              <w:t xml:space="preserve"> </w:t>
            </w:r>
            <w:r w:rsidRPr="00610088">
              <w:rPr>
                <w:sz w:val="18"/>
                <w:szCs w:val="18"/>
                <w:lang w:val="en-GB"/>
              </w:rPr>
              <w:t xml:space="preserve">services </w:t>
            </w:r>
          </w:p>
        </w:tc>
        <w:tc>
          <w:tcPr>
            <w:tcW w:w="5016" w:type="dxa"/>
          </w:tcPr>
          <w:p w14:paraId="4E636E54" w14:textId="6A84EA2C" w:rsidR="00BB1D05" w:rsidRPr="00610088" w:rsidRDefault="00842154" w:rsidP="00842154">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Breast and Oncology service at the Connaught hospital</w:t>
            </w:r>
          </w:p>
        </w:tc>
        <w:tc>
          <w:tcPr>
            <w:tcW w:w="2636" w:type="dxa"/>
          </w:tcPr>
          <w:p w14:paraId="578C7A96" w14:textId="18D1D1F1" w:rsidR="00BB1D05" w:rsidRPr="00610088" w:rsidRDefault="00842154"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Sierra Leone Cancer Charity</w:t>
            </w:r>
          </w:p>
        </w:tc>
      </w:tr>
      <w:tr w:rsidR="002F142B" w:rsidRPr="00610088" w14:paraId="15F947CC"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29A67E2E" w14:textId="77777777" w:rsidR="002F142B" w:rsidRPr="00610088" w:rsidRDefault="002F142B" w:rsidP="002F142B">
            <w:pPr>
              <w:rPr>
                <w:sz w:val="18"/>
                <w:szCs w:val="18"/>
                <w:lang w:val="en-GB"/>
              </w:rPr>
            </w:pPr>
          </w:p>
        </w:tc>
        <w:tc>
          <w:tcPr>
            <w:tcW w:w="5016" w:type="dxa"/>
          </w:tcPr>
          <w:p w14:paraId="73438107" w14:textId="008DA15F" w:rsidR="002579F7" w:rsidRPr="00610088" w:rsidRDefault="002579F7" w:rsidP="002579F7">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Children’s Cancer service at </w:t>
            </w:r>
            <w:r w:rsidR="002F142B" w:rsidRPr="00610088">
              <w:rPr>
                <w:sz w:val="18"/>
                <w:szCs w:val="18"/>
                <w:lang w:val="en-GB"/>
              </w:rPr>
              <w:t>Ola During Children’s Hospital; Freetown: Paediatric cancer: systemic therapy and palliative care</w:t>
            </w:r>
            <w:r w:rsidRPr="00610088">
              <w:rPr>
                <w:sz w:val="18"/>
                <w:szCs w:val="18"/>
                <w:lang w:val="en-GB"/>
              </w:rPr>
              <w:t xml:space="preserve">. Treating curable cancers </w:t>
            </w:r>
            <w:proofErr w:type="gramStart"/>
            <w:r w:rsidRPr="00610088">
              <w:rPr>
                <w:sz w:val="18"/>
                <w:szCs w:val="18"/>
                <w:lang w:val="en-GB"/>
              </w:rPr>
              <w:t>i.e.</w:t>
            </w:r>
            <w:proofErr w:type="gramEnd"/>
            <w:r w:rsidRPr="00610088">
              <w:rPr>
                <w:sz w:val="18"/>
                <w:szCs w:val="18"/>
                <w:lang w:val="en-GB"/>
              </w:rPr>
              <w:t> Burkitt’s, Retinoblastoma and Wilms</w:t>
            </w:r>
            <w:r w:rsidR="00826E74">
              <w:rPr>
                <w:sz w:val="18"/>
                <w:szCs w:val="18"/>
                <w:lang w:val="en-GB"/>
              </w:rPr>
              <w:t>’ nephroblastoma</w:t>
            </w:r>
            <w:r w:rsidRPr="00610088">
              <w:rPr>
                <w:sz w:val="18"/>
                <w:szCs w:val="18"/>
                <w:lang w:val="en-GB"/>
              </w:rPr>
              <w:t xml:space="preserve"> and supporting palliative care for others.  Funding for chemotherapy from Wales and for staff training from Wales and World Child Cancer.  </w:t>
            </w:r>
          </w:p>
        </w:tc>
        <w:tc>
          <w:tcPr>
            <w:tcW w:w="2636" w:type="dxa"/>
          </w:tcPr>
          <w:p w14:paraId="7FB9CCF8" w14:textId="28DAEA5E" w:rsidR="002F142B" w:rsidRPr="00610088" w:rsidRDefault="002F142B" w:rsidP="002F142B">
            <w:pPr>
              <w:cnfStyle w:val="000000100000" w:firstRow="0" w:lastRow="0" w:firstColumn="0" w:lastColumn="0" w:oddVBand="0" w:evenVBand="0" w:oddHBand="1" w:evenHBand="0" w:firstRowFirstColumn="0" w:firstRowLastColumn="0" w:lastRowFirstColumn="0" w:lastRowLastColumn="0"/>
              <w:rPr>
                <w:sz w:val="18"/>
                <w:szCs w:val="18"/>
                <w:lang w:val="en-GB"/>
              </w:rPr>
            </w:pPr>
            <w:proofErr w:type="spellStart"/>
            <w:r w:rsidRPr="00610088">
              <w:rPr>
                <w:sz w:val="18"/>
                <w:szCs w:val="18"/>
                <w:lang w:val="en-GB"/>
              </w:rPr>
              <w:t>Welbodi</w:t>
            </w:r>
            <w:proofErr w:type="spellEnd"/>
            <w:r w:rsidRPr="00610088">
              <w:rPr>
                <w:sz w:val="18"/>
                <w:szCs w:val="18"/>
                <w:lang w:val="en-GB"/>
              </w:rPr>
              <w:t xml:space="preserve">, </w:t>
            </w:r>
            <w:r w:rsidR="002579F7" w:rsidRPr="00610088">
              <w:rPr>
                <w:sz w:val="18"/>
                <w:szCs w:val="18"/>
                <w:lang w:val="en-GB"/>
              </w:rPr>
              <w:t xml:space="preserve">Cardiff and Vale University Health Board </w:t>
            </w:r>
            <w:r w:rsidRPr="00610088">
              <w:rPr>
                <w:sz w:val="18"/>
                <w:szCs w:val="18"/>
                <w:lang w:val="en-GB"/>
              </w:rPr>
              <w:t>World Child Cancer, South Wales Sierra Leone Cancer Care</w:t>
            </w:r>
            <w:r w:rsidR="002579F7" w:rsidRPr="00610088">
              <w:rPr>
                <w:sz w:val="18"/>
                <w:szCs w:val="18"/>
                <w:lang w:val="en-GB"/>
              </w:rPr>
              <w:t xml:space="preserve"> Link</w:t>
            </w:r>
            <w:r w:rsidRPr="00610088">
              <w:rPr>
                <w:sz w:val="18"/>
                <w:szCs w:val="18"/>
                <w:lang w:val="en-GB"/>
              </w:rPr>
              <w:t xml:space="preserve">. </w:t>
            </w:r>
          </w:p>
        </w:tc>
      </w:tr>
      <w:tr w:rsidR="00842154" w:rsidRPr="00610088" w14:paraId="227C1621"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6B9C0DFD" w14:textId="77777777" w:rsidR="00842154" w:rsidRPr="00610088" w:rsidRDefault="00842154" w:rsidP="00842154">
            <w:pPr>
              <w:rPr>
                <w:sz w:val="18"/>
                <w:szCs w:val="18"/>
                <w:lang w:val="en-GB"/>
              </w:rPr>
            </w:pPr>
          </w:p>
        </w:tc>
        <w:tc>
          <w:tcPr>
            <w:tcW w:w="5016" w:type="dxa"/>
          </w:tcPr>
          <w:p w14:paraId="5CD18E22" w14:textId="33E63EF7" w:rsidR="00842154" w:rsidRPr="00610088" w:rsidRDefault="00842154" w:rsidP="00842154">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Sierra Leone Cancer Society (2012)- Mission: To reduce cancer, while providing the highest level of safe, innovative and compassionate clinical care for patients with cancer and making prevention knowledge and early detection services accessible for every Sierra Leonian </w:t>
            </w:r>
          </w:p>
        </w:tc>
        <w:tc>
          <w:tcPr>
            <w:tcW w:w="2636" w:type="dxa"/>
          </w:tcPr>
          <w:p w14:paraId="6E46857E" w14:textId="230A4659" w:rsidR="00842154" w:rsidRPr="00610088" w:rsidRDefault="00842154" w:rsidP="00842154">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Sierra Leone Cancer Society</w:t>
            </w:r>
          </w:p>
        </w:tc>
      </w:tr>
      <w:tr w:rsidR="00BB1D05" w:rsidRPr="00610088" w14:paraId="220E6625"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37D39BB4" w14:textId="77777777" w:rsidR="00BB1D05" w:rsidRPr="00610088" w:rsidRDefault="00BB1D05" w:rsidP="00897D18">
            <w:pPr>
              <w:rPr>
                <w:sz w:val="18"/>
                <w:szCs w:val="18"/>
                <w:lang w:val="en-GB"/>
              </w:rPr>
            </w:pPr>
          </w:p>
        </w:tc>
        <w:tc>
          <w:tcPr>
            <w:tcW w:w="5016" w:type="dxa"/>
          </w:tcPr>
          <w:p w14:paraId="4C0911D2" w14:textId="1D53ABCF" w:rsidR="00BB1D05" w:rsidRPr="00610088" w:rsidRDefault="00BB1D05" w:rsidP="00BB1D05">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Sierra Leone Cancer Charity (Viji): UK &amp; SL charity established 2010; providing initial funding for the development of the cancer registry. Now focused upon cancer diagnosis, treatment and palliation.</w:t>
            </w:r>
          </w:p>
        </w:tc>
        <w:tc>
          <w:tcPr>
            <w:tcW w:w="2636" w:type="dxa"/>
          </w:tcPr>
          <w:p w14:paraId="12FD7F6E" w14:textId="1598D80B" w:rsidR="00BB1D05" w:rsidRPr="00610088" w:rsidRDefault="00BB1D05"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Sierra Leone Cancer Charity (Viji)</w:t>
            </w:r>
          </w:p>
        </w:tc>
      </w:tr>
      <w:tr w:rsidR="00BB1D05" w:rsidRPr="00610088" w14:paraId="0CB30C27"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6A648284" w14:textId="77777777" w:rsidR="00BB1D05" w:rsidRPr="00610088" w:rsidRDefault="00BB1D05" w:rsidP="00897D18">
            <w:pPr>
              <w:rPr>
                <w:sz w:val="18"/>
                <w:szCs w:val="18"/>
                <w:lang w:val="en-GB"/>
              </w:rPr>
            </w:pPr>
          </w:p>
        </w:tc>
        <w:tc>
          <w:tcPr>
            <w:tcW w:w="5016" w:type="dxa"/>
          </w:tcPr>
          <w:p w14:paraId="2CEFF32C" w14:textId="15026E0D" w:rsidR="00BB1D05" w:rsidRPr="00610088" w:rsidRDefault="00BB1D05" w:rsidP="00BB1D05">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Thinking Pink: SL charity established 2008: Provides advocacy for breast cancer awareness, early detection and treatment for patients with breast cancer.</w:t>
            </w:r>
          </w:p>
        </w:tc>
        <w:tc>
          <w:tcPr>
            <w:tcW w:w="2636" w:type="dxa"/>
          </w:tcPr>
          <w:p w14:paraId="0C50A412" w14:textId="2C563A78" w:rsidR="00BB1D05" w:rsidRPr="00610088" w:rsidRDefault="00BB1D0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Thinking Pink</w:t>
            </w:r>
          </w:p>
        </w:tc>
      </w:tr>
      <w:tr w:rsidR="00BB1D05" w:rsidRPr="00610088" w14:paraId="67959F42"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4BE5DDD4" w14:textId="77777777" w:rsidR="00BB1D05" w:rsidRPr="00610088" w:rsidRDefault="00BB1D05" w:rsidP="00897D18">
            <w:pPr>
              <w:rPr>
                <w:sz w:val="18"/>
                <w:szCs w:val="18"/>
                <w:lang w:val="en-GB"/>
              </w:rPr>
            </w:pPr>
          </w:p>
        </w:tc>
        <w:tc>
          <w:tcPr>
            <w:tcW w:w="5016" w:type="dxa"/>
          </w:tcPr>
          <w:p w14:paraId="4C7BE78E" w14:textId="11CBA74B" w:rsidR="00BB1D05" w:rsidRPr="00610088" w:rsidRDefault="00BB1D05" w:rsidP="00BB1D05">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Well Woman Clinic: Women’s health including early cancer detection for breast and cervical cancer.</w:t>
            </w:r>
          </w:p>
        </w:tc>
        <w:tc>
          <w:tcPr>
            <w:tcW w:w="2636" w:type="dxa"/>
          </w:tcPr>
          <w:p w14:paraId="486F0EBF" w14:textId="74FDF679" w:rsidR="00BB1D05" w:rsidRPr="00610088" w:rsidRDefault="00BB1D05"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Well Women Clinic</w:t>
            </w:r>
          </w:p>
        </w:tc>
      </w:tr>
      <w:tr w:rsidR="00BB1D05" w:rsidRPr="00610088" w14:paraId="5CC57BE2"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720B9A10" w14:textId="77777777" w:rsidR="00BB1D05" w:rsidRPr="00610088" w:rsidRDefault="00BB1D05" w:rsidP="00897D18">
            <w:pPr>
              <w:rPr>
                <w:sz w:val="18"/>
                <w:szCs w:val="18"/>
                <w:lang w:val="en-GB"/>
              </w:rPr>
            </w:pPr>
          </w:p>
        </w:tc>
        <w:tc>
          <w:tcPr>
            <w:tcW w:w="5016" w:type="dxa"/>
          </w:tcPr>
          <w:p w14:paraId="42225804" w14:textId="350EE2E3" w:rsidR="00BB1D05" w:rsidRPr="00610088" w:rsidRDefault="00BB1D05" w:rsidP="00BB1D05">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South Wales Sierra Leone Cancer Care Link (SWSLC</w:t>
            </w:r>
            <w:r w:rsidR="002F142B" w:rsidRPr="00610088">
              <w:rPr>
                <w:sz w:val="18"/>
                <w:szCs w:val="18"/>
                <w:lang w:val="en-GB"/>
              </w:rPr>
              <w:t>C</w:t>
            </w:r>
            <w:r w:rsidRPr="00610088">
              <w:rPr>
                <w:sz w:val="18"/>
                <w:szCs w:val="18"/>
                <w:lang w:val="en-GB"/>
              </w:rPr>
              <w:t>) - (UK) based Health Care Professionals voluntary organisation, established under MoU 2010 providing training, mentorship and strategic support for: Cancer registry, palliative care and affordable cancer care in children and adults.</w:t>
            </w:r>
            <w:r w:rsidR="002F142B" w:rsidRPr="00610088">
              <w:rPr>
                <w:sz w:val="18"/>
                <w:szCs w:val="18"/>
                <w:lang w:val="en-GB"/>
              </w:rPr>
              <w:t xml:space="preserve"> (Supported by Cardiff and Vale University Health Board and </w:t>
            </w:r>
            <w:proofErr w:type="spellStart"/>
            <w:r w:rsidR="002F142B" w:rsidRPr="00610088">
              <w:rPr>
                <w:sz w:val="18"/>
                <w:szCs w:val="18"/>
                <w:lang w:val="en-GB"/>
              </w:rPr>
              <w:t>Velindre</w:t>
            </w:r>
            <w:proofErr w:type="spellEnd"/>
            <w:r w:rsidR="002F142B" w:rsidRPr="00610088">
              <w:rPr>
                <w:sz w:val="18"/>
                <w:szCs w:val="18"/>
                <w:lang w:val="en-GB"/>
              </w:rPr>
              <w:t xml:space="preserve"> University NHS Trust – South Wales- UK)</w:t>
            </w:r>
          </w:p>
        </w:tc>
        <w:tc>
          <w:tcPr>
            <w:tcW w:w="2636" w:type="dxa"/>
          </w:tcPr>
          <w:p w14:paraId="3A976333" w14:textId="01720C8B" w:rsidR="00BB1D05" w:rsidRPr="00610088" w:rsidRDefault="00BB1D0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South Wales Sierra Leone Cancer Care Link (SWSL</w:t>
            </w:r>
            <w:r w:rsidR="002F142B" w:rsidRPr="00610088">
              <w:rPr>
                <w:sz w:val="18"/>
                <w:szCs w:val="18"/>
                <w:lang w:val="en-GB"/>
              </w:rPr>
              <w:t>CC</w:t>
            </w:r>
            <w:r w:rsidRPr="00610088">
              <w:rPr>
                <w:sz w:val="18"/>
                <w:szCs w:val="18"/>
                <w:lang w:val="en-GB"/>
              </w:rPr>
              <w:t>)</w:t>
            </w:r>
          </w:p>
        </w:tc>
      </w:tr>
      <w:tr w:rsidR="00842154" w:rsidRPr="00610088" w14:paraId="7D81A306"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val="restart"/>
          </w:tcPr>
          <w:p w14:paraId="310EECDD" w14:textId="77777777" w:rsidR="00AC1C54" w:rsidRPr="00610088" w:rsidRDefault="00AC1C54" w:rsidP="00897D18">
            <w:pPr>
              <w:rPr>
                <w:sz w:val="18"/>
                <w:szCs w:val="18"/>
                <w:lang w:val="en-GB"/>
              </w:rPr>
            </w:pPr>
            <w:r w:rsidRPr="00610088">
              <w:rPr>
                <w:sz w:val="18"/>
                <w:szCs w:val="18"/>
                <w:lang w:val="en-GB"/>
              </w:rPr>
              <w:t>Palliative care</w:t>
            </w:r>
          </w:p>
        </w:tc>
        <w:tc>
          <w:tcPr>
            <w:tcW w:w="5016" w:type="dxa"/>
          </w:tcPr>
          <w:p w14:paraId="13C2C759" w14:textId="6597A71E" w:rsidR="00BB1D05" w:rsidRPr="00610088" w:rsidRDefault="00CA291F" w:rsidP="00CA291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lang w:val="en-GB" w:eastAsia="en-GB"/>
              </w:rPr>
            </w:pPr>
            <w:r w:rsidRPr="00610088">
              <w:rPr>
                <w:b/>
                <w:bCs/>
                <w:sz w:val="18"/>
                <w:szCs w:val="18"/>
                <w:lang w:val="en-GB"/>
              </w:rPr>
              <w:t xml:space="preserve">Connaught Palliative Care </w:t>
            </w:r>
            <w:r w:rsidR="00D71C9B" w:rsidRPr="00610088">
              <w:rPr>
                <w:b/>
                <w:bCs/>
                <w:sz w:val="18"/>
                <w:szCs w:val="18"/>
                <w:lang w:val="en-GB"/>
              </w:rPr>
              <w:t xml:space="preserve">Unit </w:t>
            </w:r>
            <w:r w:rsidRPr="00610088">
              <w:rPr>
                <w:b/>
                <w:bCs/>
                <w:sz w:val="18"/>
                <w:szCs w:val="18"/>
                <w:lang w:val="en-GB"/>
              </w:rPr>
              <w:t>(CPC</w:t>
            </w:r>
            <w:r w:rsidR="00D71C9B" w:rsidRPr="00610088">
              <w:rPr>
                <w:b/>
                <w:bCs/>
                <w:sz w:val="18"/>
                <w:szCs w:val="18"/>
                <w:lang w:val="en-GB"/>
              </w:rPr>
              <w:t>U</w:t>
            </w:r>
            <w:r w:rsidRPr="00610088">
              <w:rPr>
                <w:b/>
                <w:bCs/>
                <w:sz w:val="18"/>
                <w:szCs w:val="18"/>
                <w:lang w:val="en-GB"/>
              </w:rPr>
              <w:t>):</w:t>
            </w:r>
            <w:r w:rsidRPr="00610088">
              <w:rPr>
                <w:sz w:val="18"/>
                <w:szCs w:val="18"/>
                <w:lang w:val="en-GB"/>
              </w:rPr>
              <w:t xml:space="preserve"> </w:t>
            </w:r>
            <w:r w:rsidR="00BB1D05" w:rsidRPr="00610088">
              <w:rPr>
                <w:sz w:val="18"/>
                <w:szCs w:val="18"/>
                <w:lang w:val="en-GB"/>
              </w:rPr>
              <w:t>Connaught Hospital based palliative care team with outreach to Ola During children’s hospital</w:t>
            </w:r>
            <w:r w:rsidRPr="00610088">
              <w:rPr>
                <w:sz w:val="18"/>
                <w:szCs w:val="18"/>
                <w:lang w:val="en-GB"/>
              </w:rPr>
              <w:t xml:space="preserve"> for PC and cancer care and PC home based care service. Sourcing immediate release morphine for the public sector. Ongoing training of PCT, nurses, undergraduate HCW, medical students. </w:t>
            </w:r>
            <w:r w:rsidR="00BB1D05" w:rsidRPr="00610088">
              <w:rPr>
                <w:sz w:val="18"/>
                <w:szCs w:val="18"/>
                <w:lang w:val="en-GB"/>
              </w:rPr>
              <w:t xml:space="preserve"> </w:t>
            </w:r>
          </w:p>
          <w:p w14:paraId="36A67E92" w14:textId="3004A705" w:rsidR="00BB1D05" w:rsidRPr="00610088" w:rsidRDefault="00BB1D05" w:rsidP="00CA291F">
            <w:pPr>
              <w:pStyle w:val="No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Research – scoping exercise in conjunction with NCD directorate, independently funded, and TACPOS, </w:t>
            </w:r>
            <w:proofErr w:type="spellStart"/>
            <w:r w:rsidRPr="00610088">
              <w:rPr>
                <w:sz w:val="18"/>
                <w:szCs w:val="18"/>
                <w:lang w:val="en-GB"/>
              </w:rPr>
              <w:t>iPOS</w:t>
            </w:r>
            <w:proofErr w:type="spellEnd"/>
            <w:r w:rsidRPr="00610088">
              <w:rPr>
                <w:sz w:val="18"/>
                <w:szCs w:val="18"/>
                <w:lang w:val="en-GB"/>
              </w:rPr>
              <w:t xml:space="preserve"> translation for evaluation of service and clinical use, which has SLESRC approval.</w:t>
            </w:r>
          </w:p>
          <w:p w14:paraId="24A1A956" w14:textId="303E40CF" w:rsidR="00BB1D05" w:rsidRPr="00610088" w:rsidRDefault="00CA291F" w:rsidP="00CA291F">
            <w:pPr>
              <w:pStyle w:val="NoSpacing"/>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Networking with: </w:t>
            </w:r>
            <w:r w:rsidR="00BB1D05" w:rsidRPr="00610088">
              <w:rPr>
                <w:sz w:val="18"/>
                <w:szCs w:val="18"/>
                <w:lang w:val="en-GB"/>
              </w:rPr>
              <w:t xml:space="preserve"> Well woman</w:t>
            </w:r>
            <w:r w:rsidRPr="00610088">
              <w:rPr>
                <w:sz w:val="18"/>
                <w:szCs w:val="18"/>
                <w:lang w:val="en-GB"/>
              </w:rPr>
              <w:t>, Thinking pink, Cancer Society, Cancer Registry, SWSLC</w:t>
            </w:r>
            <w:r w:rsidR="002F142B" w:rsidRPr="00610088">
              <w:rPr>
                <w:sz w:val="18"/>
                <w:szCs w:val="18"/>
                <w:lang w:val="en-GB"/>
              </w:rPr>
              <w:t>C</w:t>
            </w:r>
            <w:r w:rsidRPr="00610088">
              <w:rPr>
                <w:sz w:val="18"/>
                <w:szCs w:val="18"/>
                <w:lang w:val="en-GB"/>
              </w:rPr>
              <w:t xml:space="preserve">, (Friends of the) Shepherd’s hospice and Sierra Leone Association for Person’s with Albinism (SLAPWA). </w:t>
            </w:r>
          </w:p>
        </w:tc>
        <w:tc>
          <w:tcPr>
            <w:tcW w:w="2636" w:type="dxa"/>
          </w:tcPr>
          <w:p w14:paraId="770B09BE" w14:textId="2C12865E" w:rsidR="00D71C9B" w:rsidRPr="00610088" w:rsidRDefault="00D71C9B"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UK Friends of The Shepherds hospice (UKFTSH)</w:t>
            </w:r>
          </w:p>
        </w:tc>
      </w:tr>
      <w:tr w:rsidR="00842154" w:rsidRPr="00610088" w14:paraId="2741D8DE"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715817AF" w14:textId="77777777" w:rsidR="00AC1C54" w:rsidRPr="00610088" w:rsidRDefault="00AC1C54" w:rsidP="00897D18">
            <w:pPr>
              <w:rPr>
                <w:sz w:val="18"/>
                <w:szCs w:val="18"/>
                <w:lang w:val="en-GB"/>
              </w:rPr>
            </w:pPr>
          </w:p>
        </w:tc>
        <w:tc>
          <w:tcPr>
            <w:tcW w:w="5016" w:type="dxa"/>
          </w:tcPr>
          <w:p w14:paraId="5B91942D" w14:textId="4D7F1018" w:rsidR="00BB1D05" w:rsidRPr="00610088" w:rsidRDefault="00AC1C54" w:rsidP="00CA291F">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Palliative care (in/outpatient and homebased)</w:t>
            </w:r>
            <w:r w:rsidR="00CA291F" w:rsidRPr="00610088">
              <w:rPr>
                <w:sz w:val="18"/>
                <w:szCs w:val="18"/>
                <w:lang w:val="en-GB"/>
              </w:rPr>
              <w:t xml:space="preserve"> providing physical and psychological support</w:t>
            </w:r>
            <w:r w:rsidRPr="00610088">
              <w:rPr>
                <w:sz w:val="18"/>
                <w:szCs w:val="18"/>
                <w:lang w:val="en-GB"/>
              </w:rPr>
              <w:t xml:space="preserve"> and training from base at Shepherd’s Hospice in MacDonald, Western Area</w:t>
            </w:r>
          </w:p>
        </w:tc>
        <w:tc>
          <w:tcPr>
            <w:tcW w:w="2636" w:type="dxa"/>
          </w:tcPr>
          <w:p w14:paraId="7AEE6912" w14:textId="77777777" w:rsidR="00AC1C54" w:rsidRPr="00610088" w:rsidRDefault="00AC1C54" w:rsidP="00897D18">
            <w:pPr>
              <w:cnfStyle w:val="000000000000" w:firstRow="0" w:lastRow="0" w:firstColumn="0" w:lastColumn="0" w:oddVBand="0" w:evenVBand="0" w:oddHBand="0" w:evenHBand="0" w:firstRowFirstColumn="0" w:firstRowLastColumn="0" w:lastRowFirstColumn="0" w:lastRowLastColumn="0"/>
              <w:rPr>
                <w:sz w:val="18"/>
                <w:szCs w:val="18"/>
                <w:highlight w:val="yellow"/>
                <w:lang w:val="en-GB"/>
              </w:rPr>
            </w:pPr>
            <w:r w:rsidRPr="00610088">
              <w:rPr>
                <w:sz w:val="18"/>
                <w:szCs w:val="18"/>
                <w:lang w:val="en-GB"/>
              </w:rPr>
              <w:t>Friends of Shepherd’s Hospice and other donors</w:t>
            </w:r>
          </w:p>
        </w:tc>
      </w:tr>
      <w:tr w:rsidR="00BB1D05" w:rsidRPr="00610088" w14:paraId="1DA2432E"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val="restart"/>
          </w:tcPr>
          <w:p w14:paraId="242983E8" w14:textId="77777777" w:rsidR="00BB1D05" w:rsidRPr="00610088" w:rsidRDefault="00BB1D05" w:rsidP="00897D18">
            <w:pPr>
              <w:rPr>
                <w:sz w:val="18"/>
                <w:szCs w:val="18"/>
                <w:lang w:val="en-GB"/>
              </w:rPr>
            </w:pPr>
            <w:r w:rsidRPr="00610088">
              <w:rPr>
                <w:sz w:val="18"/>
                <w:szCs w:val="18"/>
                <w:lang w:val="en-GB"/>
              </w:rPr>
              <w:t>Substance abuse</w:t>
            </w:r>
          </w:p>
        </w:tc>
        <w:tc>
          <w:tcPr>
            <w:tcW w:w="5016" w:type="dxa"/>
          </w:tcPr>
          <w:p w14:paraId="3BA821C2" w14:textId="6EBCA084" w:rsidR="00BB1D05" w:rsidRPr="00610088" w:rsidRDefault="00BB1D05" w:rsidP="00BB1D05">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Community engagement program (closed) </w:t>
            </w:r>
          </w:p>
        </w:tc>
        <w:tc>
          <w:tcPr>
            <w:tcW w:w="2636" w:type="dxa"/>
          </w:tcPr>
          <w:p w14:paraId="331A93BB" w14:textId="657B1402" w:rsidR="00BB1D05" w:rsidRPr="00610088" w:rsidRDefault="00BB1D05" w:rsidP="00BB1D05">
            <w:pPr>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610088">
              <w:rPr>
                <w:sz w:val="18"/>
                <w:szCs w:val="18"/>
                <w:lang w:val="en-GB"/>
              </w:rPr>
              <w:t>GOAL</w:t>
            </w:r>
          </w:p>
        </w:tc>
      </w:tr>
      <w:tr w:rsidR="00BB1D05" w:rsidRPr="00610088" w14:paraId="22549A28"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1ABA9B76" w14:textId="77777777" w:rsidR="00BB1D05" w:rsidRPr="00610088" w:rsidRDefault="00BB1D05" w:rsidP="00897D18">
            <w:pPr>
              <w:rPr>
                <w:sz w:val="18"/>
                <w:szCs w:val="18"/>
                <w:lang w:val="en-GB"/>
              </w:rPr>
            </w:pPr>
          </w:p>
        </w:tc>
        <w:tc>
          <w:tcPr>
            <w:tcW w:w="5016" w:type="dxa"/>
          </w:tcPr>
          <w:p w14:paraId="03EACBF2" w14:textId="5FFEB1B7" w:rsidR="00BB1D05" w:rsidRPr="00610088" w:rsidRDefault="00BB1D0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Cessation services</w:t>
            </w:r>
          </w:p>
        </w:tc>
        <w:tc>
          <w:tcPr>
            <w:tcW w:w="2636" w:type="dxa"/>
          </w:tcPr>
          <w:p w14:paraId="6AE0B123" w14:textId="02D7987D" w:rsidR="00BB1D05" w:rsidRPr="00610088" w:rsidRDefault="00BB1D05" w:rsidP="00BB1D05">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SL Psychiatric Teaching Hospital, </w:t>
            </w:r>
          </w:p>
          <w:p w14:paraId="619EC0BA" w14:textId="48F87B82" w:rsidR="00BB1D05" w:rsidRPr="00610088" w:rsidRDefault="00BB1D05" w:rsidP="00BB1D05">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Medical Missionary Board</w:t>
            </w:r>
          </w:p>
        </w:tc>
      </w:tr>
      <w:tr w:rsidR="00BB1D05" w:rsidRPr="00610088" w14:paraId="6397B990"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2E5450AC" w14:textId="77777777" w:rsidR="00BB1D05" w:rsidRPr="00610088" w:rsidRDefault="00BB1D05" w:rsidP="00897D18">
            <w:pPr>
              <w:rPr>
                <w:sz w:val="18"/>
                <w:szCs w:val="18"/>
                <w:lang w:val="en-GB"/>
              </w:rPr>
            </w:pPr>
          </w:p>
        </w:tc>
        <w:tc>
          <w:tcPr>
            <w:tcW w:w="5016" w:type="dxa"/>
          </w:tcPr>
          <w:p w14:paraId="73A7AD53" w14:textId="3C6FD774" w:rsidR="00BB1D05" w:rsidRPr="00610088" w:rsidRDefault="00BB1D05" w:rsidP="00BB1D05">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SLAPA - </w:t>
            </w:r>
            <w:proofErr w:type="spellStart"/>
            <w:r w:rsidRPr="00610088">
              <w:rPr>
                <w:sz w:val="18"/>
                <w:szCs w:val="18"/>
                <w:lang w:val="en-GB"/>
              </w:rPr>
              <w:t>FoRUT</w:t>
            </w:r>
            <w:proofErr w:type="spellEnd"/>
            <w:r w:rsidRPr="00610088">
              <w:rPr>
                <w:sz w:val="18"/>
                <w:szCs w:val="18"/>
                <w:lang w:val="en-GB"/>
              </w:rPr>
              <w:t xml:space="preserve"> (Foundation for Rural and Urban Transformation) was established in 2015 as a national NGO, emerging from FORUT-Sierra Leone, established in 1991 as a Programme of FORUT-Norway.</w:t>
            </w:r>
            <w:r w:rsidRPr="00610088">
              <w:rPr>
                <w:rStyle w:val="EndnoteReference"/>
                <w:sz w:val="18"/>
                <w:szCs w:val="18"/>
                <w:lang w:val="en-GB"/>
              </w:rPr>
              <w:endnoteReference w:id="213"/>
            </w:r>
            <w:r w:rsidRPr="00610088">
              <w:rPr>
                <w:sz w:val="18"/>
                <w:szCs w:val="18"/>
                <w:lang w:val="en-GB"/>
              </w:rPr>
              <w:t xml:space="preserve"> </w:t>
            </w:r>
            <w:proofErr w:type="spellStart"/>
            <w:r w:rsidRPr="00610088">
              <w:rPr>
                <w:sz w:val="18"/>
                <w:szCs w:val="18"/>
                <w:lang w:val="en-GB"/>
              </w:rPr>
              <w:t>FoRUT</w:t>
            </w:r>
            <w:proofErr w:type="spellEnd"/>
            <w:r w:rsidRPr="00610088">
              <w:rPr>
                <w:sz w:val="18"/>
                <w:szCs w:val="18"/>
                <w:lang w:val="en-GB"/>
              </w:rPr>
              <w:t xml:space="preserve"> is the lead agency in the Sierra Leone Alcohol Policy Alliance (SLAPA) launched 28</w:t>
            </w:r>
            <w:r w:rsidRPr="00610088">
              <w:rPr>
                <w:sz w:val="18"/>
                <w:szCs w:val="18"/>
                <w:vertAlign w:val="superscript"/>
                <w:lang w:val="en-GB"/>
              </w:rPr>
              <w:t>th</w:t>
            </w:r>
            <w:r w:rsidRPr="00610088">
              <w:rPr>
                <w:sz w:val="18"/>
                <w:szCs w:val="18"/>
                <w:lang w:val="en-GB"/>
              </w:rPr>
              <w:t xml:space="preserve"> October 2015. SLAPA advocates for changes to Alcohol and Drugs Development policies in Sierra Leone to contribute to reduction of harmful of effects of alcohol and drugs. </w:t>
            </w:r>
            <w:proofErr w:type="spellStart"/>
            <w:r w:rsidRPr="00610088">
              <w:rPr>
                <w:sz w:val="18"/>
                <w:szCs w:val="18"/>
                <w:lang w:val="en-GB"/>
              </w:rPr>
              <w:t>FoRUT</w:t>
            </w:r>
            <w:proofErr w:type="spellEnd"/>
            <w:r w:rsidRPr="00610088">
              <w:rPr>
                <w:sz w:val="18"/>
                <w:szCs w:val="18"/>
                <w:lang w:val="en-GB"/>
              </w:rPr>
              <w:t xml:space="preserve"> builds multi-purpose centres at schools to support recreational activities with the objective to reduce harm from alcohol and drug abuse among school children and youths.</w:t>
            </w:r>
          </w:p>
        </w:tc>
        <w:tc>
          <w:tcPr>
            <w:tcW w:w="2636" w:type="dxa"/>
          </w:tcPr>
          <w:p w14:paraId="02B13700" w14:textId="3DDAD2F2" w:rsidR="00BB1D05" w:rsidRPr="00610088" w:rsidRDefault="00BB1D05"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proofErr w:type="spellStart"/>
            <w:r w:rsidRPr="00610088">
              <w:rPr>
                <w:sz w:val="18"/>
                <w:szCs w:val="18"/>
                <w:lang w:val="en-GB"/>
              </w:rPr>
              <w:t>FoRUT</w:t>
            </w:r>
            <w:proofErr w:type="spellEnd"/>
          </w:p>
        </w:tc>
      </w:tr>
      <w:tr w:rsidR="00842154" w:rsidRPr="00610088" w14:paraId="29E43E82" w14:textId="77777777" w:rsidTr="00897D18">
        <w:tc>
          <w:tcPr>
            <w:cnfStyle w:val="001000000000" w:firstRow="0" w:lastRow="0" w:firstColumn="1" w:lastColumn="0" w:oddVBand="0" w:evenVBand="0" w:oddHBand="0" w:evenHBand="0" w:firstRowFirstColumn="0" w:firstRowLastColumn="0" w:lastRowFirstColumn="0" w:lastRowLastColumn="0"/>
            <w:tcW w:w="1358" w:type="dxa"/>
          </w:tcPr>
          <w:p w14:paraId="74F7F1CE" w14:textId="77777777" w:rsidR="00AC1C54" w:rsidRPr="00610088" w:rsidRDefault="00AC1C54" w:rsidP="00897D18">
            <w:pPr>
              <w:rPr>
                <w:sz w:val="18"/>
                <w:szCs w:val="18"/>
                <w:lang w:val="en-GB"/>
              </w:rPr>
            </w:pPr>
            <w:r w:rsidRPr="00610088">
              <w:rPr>
                <w:sz w:val="18"/>
                <w:szCs w:val="18"/>
                <w:lang w:val="en-GB"/>
              </w:rPr>
              <w:t>Village Medical Project</w:t>
            </w:r>
          </w:p>
        </w:tc>
        <w:tc>
          <w:tcPr>
            <w:tcW w:w="5016" w:type="dxa"/>
          </w:tcPr>
          <w:p w14:paraId="67047195" w14:textId="72881071" w:rsidR="00AC1C54" w:rsidRPr="00610088" w:rsidRDefault="00F12DA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Project in chiefdom </w:t>
            </w:r>
            <w:proofErr w:type="spellStart"/>
            <w:r w:rsidRPr="00610088">
              <w:rPr>
                <w:sz w:val="18"/>
                <w:szCs w:val="18"/>
                <w:lang w:val="en-GB"/>
              </w:rPr>
              <w:t>Gorama</w:t>
            </w:r>
            <w:proofErr w:type="spellEnd"/>
            <w:r w:rsidRPr="00610088">
              <w:rPr>
                <w:sz w:val="18"/>
                <w:szCs w:val="18"/>
                <w:lang w:val="en-GB"/>
              </w:rPr>
              <w:t xml:space="preserve"> Mende in </w:t>
            </w:r>
            <w:proofErr w:type="spellStart"/>
            <w:r w:rsidRPr="00610088">
              <w:rPr>
                <w:sz w:val="18"/>
                <w:szCs w:val="18"/>
                <w:lang w:val="en-GB"/>
              </w:rPr>
              <w:t>Kono</w:t>
            </w:r>
            <w:proofErr w:type="spellEnd"/>
            <w:r w:rsidRPr="00610088">
              <w:rPr>
                <w:sz w:val="18"/>
                <w:szCs w:val="18"/>
                <w:lang w:val="en-GB"/>
              </w:rPr>
              <w:t xml:space="preserve"> district, </w:t>
            </w:r>
            <w:r w:rsidR="00AC1C54" w:rsidRPr="00610088">
              <w:rPr>
                <w:sz w:val="18"/>
                <w:szCs w:val="18"/>
                <w:lang w:val="en-GB"/>
              </w:rPr>
              <w:t xml:space="preserve">NCD screening and treatment 1 or several times per year. </w:t>
            </w:r>
            <w:r w:rsidR="00AC1C54" w:rsidRPr="00610088">
              <w:rPr>
                <w:rStyle w:val="EndnoteReference"/>
                <w:sz w:val="18"/>
                <w:szCs w:val="18"/>
                <w:lang w:val="en-GB"/>
              </w:rPr>
              <w:endnoteReference w:id="214"/>
            </w:r>
          </w:p>
        </w:tc>
        <w:tc>
          <w:tcPr>
            <w:tcW w:w="2636" w:type="dxa"/>
          </w:tcPr>
          <w:p w14:paraId="308643D0" w14:textId="3D438C8C" w:rsidR="00AC1C54" w:rsidRPr="00610088" w:rsidRDefault="00F12DA5"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Village Medical Project Sierra Leone (VMPSL)</w:t>
            </w:r>
          </w:p>
        </w:tc>
      </w:tr>
      <w:tr w:rsidR="00E149E3" w:rsidRPr="00610088" w14:paraId="48A1838F"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val="restart"/>
          </w:tcPr>
          <w:p w14:paraId="343EC0B1" w14:textId="77777777" w:rsidR="00E149E3" w:rsidRPr="00610088" w:rsidRDefault="00E149E3" w:rsidP="00897D18">
            <w:pPr>
              <w:rPr>
                <w:sz w:val="18"/>
                <w:szCs w:val="18"/>
                <w:lang w:val="en-GB"/>
              </w:rPr>
            </w:pPr>
            <w:r w:rsidRPr="00610088">
              <w:rPr>
                <w:sz w:val="18"/>
                <w:szCs w:val="18"/>
                <w:lang w:val="en-GB"/>
              </w:rPr>
              <w:t>Research / Data</w:t>
            </w:r>
          </w:p>
        </w:tc>
        <w:tc>
          <w:tcPr>
            <w:tcW w:w="5016" w:type="dxa"/>
          </w:tcPr>
          <w:p w14:paraId="66731A5E" w14:textId="77777777" w:rsidR="00E149E3" w:rsidRPr="00610088" w:rsidRDefault="00E149E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A Scoping Study on Non-Communicable Diseases (NCDs) in Sierra Leone. </w:t>
            </w:r>
            <w:proofErr w:type="spellStart"/>
            <w:r w:rsidRPr="00610088">
              <w:rPr>
                <w:sz w:val="18"/>
                <w:szCs w:val="18"/>
                <w:lang w:val="en-GB"/>
              </w:rPr>
              <w:t>Idriss</w:t>
            </w:r>
            <w:proofErr w:type="spellEnd"/>
            <w:r w:rsidRPr="00610088">
              <w:rPr>
                <w:sz w:val="18"/>
                <w:szCs w:val="18"/>
                <w:lang w:val="en-GB"/>
              </w:rPr>
              <w:t xml:space="preserve"> et al - Published. </w:t>
            </w:r>
          </w:p>
        </w:tc>
        <w:tc>
          <w:tcPr>
            <w:tcW w:w="2636" w:type="dxa"/>
          </w:tcPr>
          <w:p w14:paraId="68C780B5" w14:textId="0ACD2EC7" w:rsidR="00E149E3" w:rsidRPr="00610088" w:rsidRDefault="00E149E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NIHR Research Unit on Health in Fragility at Queen Margaret University, Edinburgh; COMAHS (USL), American University of Beirut, Lebanon </w:t>
            </w:r>
            <w:r w:rsidRPr="00610088">
              <w:rPr>
                <w:sz w:val="18"/>
                <w:szCs w:val="18"/>
                <w:lang w:val="en-GB"/>
              </w:rPr>
              <w:fldChar w:fldCharType="begin"/>
            </w:r>
            <w:r w:rsidRPr="00610088">
              <w:rPr>
                <w:sz w:val="18"/>
                <w:szCs w:val="18"/>
                <w:lang w:val="en-GB"/>
              </w:rPr>
              <w:instrText xml:space="preserve"> NOTEREF _Ref17614544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75</w:t>
            </w:r>
            <w:r w:rsidRPr="00610088">
              <w:rPr>
                <w:sz w:val="18"/>
                <w:szCs w:val="18"/>
                <w:lang w:val="en-GB"/>
              </w:rPr>
              <w:fldChar w:fldCharType="end"/>
            </w:r>
          </w:p>
        </w:tc>
      </w:tr>
      <w:tr w:rsidR="00E149E3" w:rsidRPr="00610088" w14:paraId="14AA5F9D"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7740DCB0" w14:textId="77777777" w:rsidR="00E149E3" w:rsidRPr="00610088" w:rsidRDefault="00E149E3" w:rsidP="00897D18">
            <w:pPr>
              <w:rPr>
                <w:sz w:val="18"/>
                <w:szCs w:val="18"/>
                <w:lang w:val="en-GB"/>
              </w:rPr>
            </w:pPr>
          </w:p>
        </w:tc>
        <w:tc>
          <w:tcPr>
            <w:tcW w:w="5016" w:type="dxa"/>
          </w:tcPr>
          <w:p w14:paraId="0E5F40AE" w14:textId="3B918D7F" w:rsidR="00E149E3" w:rsidRPr="00610088" w:rsidRDefault="00E149E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Bo </w:t>
            </w:r>
            <w:r w:rsidR="002F142B" w:rsidRPr="00610088">
              <w:rPr>
                <w:sz w:val="18"/>
                <w:szCs w:val="18"/>
                <w:lang w:val="en-GB"/>
              </w:rPr>
              <w:t xml:space="preserve">District </w:t>
            </w:r>
            <w:r w:rsidRPr="00610088">
              <w:rPr>
                <w:sz w:val="18"/>
                <w:szCs w:val="18"/>
                <w:lang w:val="en-GB"/>
              </w:rPr>
              <w:t xml:space="preserve">CVD risk factor study among over 40 years adults – 2018 – in analysis phase </w:t>
            </w:r>
          </w:p>
        </w:tc>
        <w:tc>
          <w:tcPr>
            <w:tcW w:w="2636" w:type="dxa"/>
          </w:tcPr>
          <w:p w14:paraId="774106AF" w14:textId="12C2B6B9" w:rsidR="00E149E3" w:rsidRPr="00610088" w:rsidRDefault="00E149E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 xml:space="preserve">University of Birmingham / </w:t>
            </w:r>
            <w:proofErr w:type="spellStart"/>
            <w:r w:rsidRPr="00610088">
              <w:rPr>
                <w:sz w:val="18"/>
                <w:szCs w:val="18"/>
                <w:lang w:val="en-GB"/>
              </w:rPr>
              <w:t>Wellcome</w:t>
            </w:r>
            <w:proofErr w:type="spellEnd"/>
            <w:r w:rsidRPr="00610088">
              <w:rPr>
                <w:sz w:val="18"/>
                <w:szCs w:val="18"/>
                <w:lang w:val="en-GB"/>
              </w:rPr>
              <w:t xml:space="preserve"> Trust </w:t>
            </w:r>
            <w:r w:rsidRPr="00610088">
              <w:rPr>
                <w:sz w:val="18"/>
                <w:szCs w:val="18"/>
                <w:lang w:val="en-GB"/>
              </w:rPr>
              <w:fldChar w:fldCharType="begin"/>
            </w:r>
            <w:r w:rsidRPr="00610088">
              <w:rPr>
                <w:sz w:val="18"/>
                <w:szCs w:val="18"/>
                <w:lang w:val="en-GB"/>
              </w:rPr>
              <w:instrText xml:space="preserve"> NOTEREF _Ref17030981 \f \h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157</w:t>
            </w:r>
            <w:r w:rsidRPr="00610088">
              <w:rPr>
                <w:sz w:val="18"/>
                <w:szCs w:val="18"/>
                <w:lang w:val="en-GB"/>
              </w:rPr>
              <w:fldChar w:fldCharType="end"/>
            </w:r>
          </w:p>
        </w:tc>
      </w:tr>
      <w:tr w:rsidR="00E149E3" w:rsidRPr="00610088" w14:paraId="47B10659"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6722BD36" w14:textId="77777777" w:rsidR="00E149E3" w:rsidRPr="00610088" w:rsidRDefault="00E149E3" w:rsidP="00897D18">
            <w:pPr>
              <w:rPr>
                <w:sz w:val="18"/>
                <w:szCs w:val="18"/>
                <w:lang w:val="en-GB"/>
              </w:rPr>
            </w:pPr>
          </w:p>
        </w:tc>
        <w:tc>
          <w:tcPr>
            <w:tcW w:w="5016" w:type="dxa"/>
          </w:tcPr>
          <w:p w14:paraId="3AC19CC8" w14:textId="77777777" w:rsidR="00E149E3" w:rsidRPr="00610088" w:rsidRDefault="00E149E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Stroke study at Connaught hospital based on longitudinal prospective stroke register launched in April 2019 – in preparatory phases, results expected by 2022. </w:t>
            </w:r>
          </w:p>
        </w:tc>
        <w:tc>
          <w:tcPr>
            <w:tcW w:w="2636" w:type="dxa"/>
          </w:tcPr>
          <w:p w14:paraId="30A8682B" w14:textId="4ECDF390" w:rsidR="00E149E3" w:rsidRPr="00610088" w:rsidRDefault="00E149E3"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 xml:space="preserve">King’s Sierra Leone Partnership, COMAHS </w:t>
            </w:r>
            <w:r w:rsidRPr="00610088">
              <w:rPr>
                <w:sz w:val="18"/>
                <w:szCs w:val="18"/>
                <w:vertAlign w:val="superscript"/>
                <w:lang w:val="en-GB"/>
              </w:rPr>
              <w:fldChar w:fldCharType="begin"/>
            </w:r>
            <w:r w:rsidRPr="00610088">
              <w:rPr>
                <w:sz w:val="18"/>
                <w:szCs w:val="18"/>
                <w:vertAlign w:val="superscript"/>
                <w:lang w:val="en-GB"/>
              </w:rPr>
              <w:instrText xml:space="preserve"> NOTEREF _Ref17397286 \h  \* MERGEFORMAT </w:instrText>
            </w:r>
            <w:r w:rsidRPr="00610088">
              <w:rPr>
                <w:sz w:val="18"/>
                <w:szCs w:val="18"/>
                <w:vertAlign w:val="superscript"/>
                <w:lang w:val="en-GB"/>
              </w:rPr>
            </w:r>
            <w:r w:rsidRPr="00610088">
              <w:rPr>
                <w:sz w:val="18"/>
                <w:szCs w:val="18"/>
                <w:vertAlign w:val="superscript"/>
                <w:lang w:val="en-GB"/>
              </w:rPr>
              <w:fldChar w:fldCharType="separate"/>
            </w:r>
            <w:r w:rsidR="00CB360C">
              <w:rPr>
                <w:sz w:val="18"/>
                <w:szCs w:val="18"/>
                <w:vertAlign w:val="superscript"/>
                <w:lang w:val="en-GB"/>
              </w:rPr>
              <w:t>130</w:t>
            </w:r>
            <w:r w:rsidRPr="00610088">
              <w:rPr>
                <w:sz w:val="18"/>
                <w:szCs w:val="18"/>
                <w:vertAlign w:val="superscript"/>
                <w:lang w:val="en-GB"/>
              </w:rPr>
              <w:fldChar w:fldCharType="end"/>
            </w:r>
            <w:r w:rsidRPr="00610088">
              <w:rPr>
                <w:sz w:val="18"/>
                <w:szCs w:val="18"/>
                <w:vertAlign w:val="superscript"/>
                <w:lang w:val="en-GB"/>
              </w:rPr>
              <w:t xml:space="preserve">, </w:t>
            </w:r>
            <w:r w:rsidRPr="00610088">
              <w:rPr>
                <w:sz w:val="18"/>
                <w:szCs w:val="18"/>
                <w:lang w:val="en-GB"/>
              </w:rPr>
              <w:fldChar w:fldCharType="begin"/>
            </w:r>
            <w:r w:rsidRPr="00610088">
              <w:rPr>
                <w:sz w:val="18"/>
                <w:szCs w:val="18"/>
                <w:vertAlign w:val="superscript"/>
                <w:lang w:val="en-GB"/>
              </w:rPr>
              <w:instrText xml:space="preserve"> NOTEREF _Ref17397459 \f \h </w:instrText>
            </w:r>
            <w:r w:rsidRPr="00610088">
              <w:rPr>
                <w:sz w:val="18"/>
                <w:szCs w:val="18"/>
                <w:lang w:val="en-GB"/>
              </w:rPr>
              <w:instrText xml:space="preserve"> \* MERGEFORMAT </w:instrText>
            </w:r>
            <w:r w:rsidRPr="00610088">
              <w:rPr>
                <w:sz w:val="18"/>
                <w:szCs w:val="18"/>
                <w:lang w:val="en-GB"/>
              </w:rPr>
            </w:r>
            <w:r w:rsidRPr="00610088">
              <w:rPr>
                <w:sz w:val="18"/>
                <w:szCs w:val="18"/>
                <w:lang w:val="en-GB"/>
              </w:rPr>
              <w:fldChar w:fldCharType="separate"/>
            </w:r>
            <w:r w:rsidR="00CB360C" w:rsidRPr="00CB360C">
              <w:rPr>
                <w:rStyle w:val="EndnoteReference"/>
                <w:sz w:val="18"/>
                <w:szCs w:val="18"/>
                <w:lang w:val="en-GB"/>
              </w:rPr>
              <w:t>212</w:t>
            </w:r>
            <w:r w:rsidRPr="00610088">
              <w:rPr>
                <w:sz w:val="18"/>
                <w:szCs w:val="18"/>
                <w:lang w:val="en-GB"/>
              </w:rPr>
              <w:fldChar w:fldCharType="end"/>
            </w:r>
          </w:p>
        </w:tc>
      </w:tr>
      <w:tr w:rsidR="00E149E3" w:rsidRPr="00610088" w14:paraId="188C3234" w14:textId="77777777" w:rsidTr="00897D18">
        <w:tc>
          <w:tcPr>
            <w:cnfStyle w:val="001000000000" w:firstRow="0" w:lastRow="0" w:firstColumn="1" w:lastColumn="0" w:oddVBand="0" w:evenVBand="0" w:oddHBand="0" w:evenHBand="0" w:firstRowFirstColumn="0" w:firstRowLastColumn="0" w:lastRowFirstColumn="0" w:lastRowLastColumn="0"/>
            <w:tcW w:w="1358" w:type="dxa"/>
            <w:vMerge/>
          </w:tcPr>
          <w:p w14:paraId="6D4D5E2B" w14:textId="77777777" w:rsidR="00E149E3" w:rsidRPr="00610088" w:rsidRDefault="00E149E3" w:rsidP="00897D18">
            <w:pPr>
              <w:rPr>
                <w:sz w:val="18"/>
                <w:szCs w:val="18"/>
                <w:lang w:val="en-GB"/>
              </w:rPr>
            </w:pPr>
          </w:p>
        </w:tc>
        <w:tc>
          <w:tcPr>
            <w:tcW w:w="5016" w:type="dxa"/>
          </w:tcPr>
          <w:p w14:paraId="4C228FA8" w14:textId="77777777" w:rsidR="00E149E3" w:rsidRPr="00610088" w:rsidRDefault="00E149E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Cancer registry in Freetown</w:t>
            </w:r>
          </w:p>
        </w:tc>
        <w:tc>
          <w:tcPr>
            <w:tcW w:w="2636" w:type="dxa"/>
          </w:tcPr>
          <w:p w14:paraId="64EDF992" w14:textId="77777777" w:rsidR="00E149E3" w:rsidRPr="00610088" w:rsidRDefault="00E149E3" w:rsidP="00897D18">
            <w:pPr>
              <w:cnfStyle w:val="000000000000" w:firstRow="0" w:lastRow="0" w:firstColumn="0" w:lastColumn="0" w:oddVBand="0" w:evenVBand="0" w:oddHBand="0" w:evenHBand="0" w:firstRowFirstColumn="0" w:firstRowLastColumn="0" w:lastRowFirstColumn="0" w:lastRowLastColumn="0"/>
              <w:rPr>
                <w:sz w:val="18"/>
                <w:szCs w:val="18"/>
                <w:lang w:val="en-GB"/>
              </w:rPr>
            </w:pPr>
            <w:r w:rsidRPr="00610088">
              <w:rPr>
                <w:sz w:val="18"/>
                <w:szCs w:val="18"/>
                <w:lang w:val="en-GB"/>
              </w:rPr>
              <w:t>SL Cancer Charity</w:t>
            </w:r>
          </w:p>
        </w:tc>
      </w:tr>
      <w:tr w:rsidR="00E149E3" w:rsidRPr="00610088" w14:paraId="23A3A6B8" w14:textId="77777777" w:rsidTr="00897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vMerge/>
          </w:tcPr>
          <w:p w14:paraId="68CF0E8B" w14:textId="77777777" w:rsidR="00E149E3" w:rsidRPr="00610088" w:rsidRDefault="00E149E3" w:rsidP="00897D18">
            <w:pPr>
              <w:rPr>
                <w:sz w:val="18"/>
                <w:szCs w:val="18"/>
                <w:lang w:val="en-GB"/>
              </w:rPr>
            </w:pPr>
          </w:p>
        </w:tc>
        <w:tc>
          <w:tcPr>
            <w:tcW w:w="5016" w:type="dxa"/>
          </w:tcPr>
          <w:p w14:paraId="6A6DD1D2" w14:textId="7A1F63D4" w:rsidR="00E149E3" w:rsidRPr="00610088" w:rsidRDefault="00E149E3" w:rsidP="00B10B90">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Preventing NCDs, with a focus on hypertension, using</w:t>
            </w:r>
            <w:r w:rsidR="00B10B90" w:rsidRPr="00610088">
              <w:rPr>
                <w:sz w:val="18"/>
                <w:szCs w:val="18"/>
                <w:lang w:val="en-GB"/>
              </w:rPr>
              <w:t xml:space="preserve"> local structures and</w:t>
            </w:r>
            <w:r w:rsidRPr="00610088">
              <w:rPr>
                <w:sz w:val="18"/>
                <w:szCs w:val="18"/>
                <w:lang w:val="en-GB"/>
              </w:rPr>
              <w:t xml:space="preserve"> social mobilisation in a</w:t>
            </w:r>
            <w:r w:rsidR="00B10B90" w:rsidRPr="00610088">
              <w:rPr>
                <w:sz w:val="18"/>
                <w:szCs w:val="18"/>
                <w:lang w:val="en-GB"/>
              </w:rPr>
              <w:t xml:space="preserve"> salt reduction behavioural </w:t>
            </w:r>
            <w:r w:rsidRPr="00610088">
              <w:rPr>
                <w:sz w:val="18"/>
                <w:szCs w:val="18"/>
                <w:lang w:val="en-GB"/>
              </w:rPr>
              <w:t xml:space="preserve">intervention in </w:t>
            </w:r>
            <w:proofErr w:type="spellStart"/>
            <w:r w:rsidRPr="00610088">
              <w:rPr>
                <w:sz w:val="18"/>
                <w:szCs w:val="18"/>
                <w:lang w:val="en-GB"/>
              </w:rPr>
              <w:t>Bombali</w:t>
            </w:r>
            <w:proofErr w:type="spellEnd"/>
            <w:r w:rsidRPr="00610088">
              <w:rPr>
                <w:sz w:val="18"/>
                <w:szCs w:val="18"/>
                <w:lang w:val="en-GB"/>
              </w:rPr>
              <w:t xml:space="preserve"> district</w:t>
            </w:r>
            <w:r w:rsidR="00B10B90" w:rsidRPr="00610088">
              <w:rPr>
                <w:sz w:val="18"/>
                <w:szCs w:val="18"/>
                <w:lang w:val="en-GB"/>
              </w:rPr>
              <w:t xml:space="preserve"> (in development, expected start mid 2020)</w:t>
            </w:r>
            <w:r w:rsidRPr="00610088">
              <w:rPr>
                <w:sz w:val="18"/>
                <w:szCs w:val="18"/>
                <w:lang w:val="en-GB"/>
              </w:rPr>
              <w:t xml:space="preserve"> </w:t>
            </w:r>
          </w:p>
        </w:tc>
        <w:tc>
          <w:tcPr>
            <w:tcW w:w="2636" w:type="dxa"/>
          </w:tcPr>
          <w:p w14:paraId="121751A3" w14:textId="5131AF50" w:rsidR="00E149E3" w:rsidRPr="00610088" w:rsidRDefault="00B10B90" w:rsidP="00897D18">
            <w:pPr>
              <w:cnfStyle w:val="000000100000" w:firstRow="0" w:lastRow="0" w:firstColumn="0" w:lastColumn="0" w:oddVBand="0" w:evenVBand="0" w:oddHBand="1" w:evenHBand="0" w:firstRowFirstColumn="0" w:firstRowLastColumn="0" w:lastRowFirstColumn="0" w:lastRowLastColumn="0"/>
              <w:rPr>
                <w:sz w:val="18"/>
                <w:szCs w:val="18"/>
                <w:lang w:val="en-GB"/>
              </w:rPr>
            </w:pPr>
            <w:r w:rsidRPr="00610088">
              <w:rPr>
                <w:sz w:val="18"/>
                <w:szCs w:val="18"/>
                <w:lang w:val="en-GB"/>
              </w:rPr>
              <w:t>Queen Margaret University, Edinburgh, UK (funded by: National Institute of Health Research, UK)</w:t>
            </w:r>
          </w:p>
        </w:tc>
      </w:tr>
    </w:tbl>
    <w:p w14:paraId="4DE94078" w14:textId="77777777" w:rsidR="00136C5E" w:rsidRPr="00610088" w:rsidRDefault="00136C5E" w:rsidP="00FA2345">
      <w:pPr>
        <w:pStyle w:val="Heading1"/>
        <w:numPr>
          <w:ilvl w:val="0"/>
          <w:numId w:val="0"/>
        </w:numPr>
        <w:ind w:left="432" w:hanging="432"/>
        <w:rPr>
          <w:lang w:val="en-GB"/>
        </w:rPr>
        <w:sectPr w:rsidR="00136C5E" w:rsidRPr="00610088" w:rsidSect="00136C5E">
          <w:endnotePr>
            <w:numFmt w:val="decimal"/>
          </w:endnotePr>
          <w:pgSz w:w="11900" w:h="16840"/>
          <w:pgMar w:top="1440" w:right="1440" w:bottom="1440" w:left="1440" w:header="708" w:footer="708" w:gutter="0"/>
          <w:cols w:space="708"/>
          <w:docGrid w:linePitch="360"/>
        </w:sectPr>
      </w:pPr>
    </w:p>
    <w:p w14:paraId="642B1131" w14:textId="20F1DB23" w:rsidR="00FA2345" w:rsidRPr="00610088" w:rsidRDefault="00FA2345" w:rsidP="00FA2345">
      <w:pPr>
        <w:pStyle w:val="Heading1"/>
        <w:numPr>
          <w:ilvl w:val="0"/>
          <w:numId w:val="0"/>
        </w:numPr>
        <w:ind w:left="432" w:hanging="432"/>
        <w:rPr>
          <w:lang w:val="en-GB"/>
        </w:rPr>
      </w:pPr>
      <w:bookmarkStart w:id="216" w:name="_Toc41370577"/>
      <w:r w:rsidRPr="00610088">
        <w:rPr>
          <w:lang w:val="en-GB"/>
        </w:rPr>
        <w:lastRenderedPageBreak/>
        <w:t xml:space="preserve">Annex </w:t>
      </w:r>
      <w:r w:rsidR="004B0FCF" w:rsidRPr="00610088">
        <w:rPr>
          <w:lang w:val="en-GB"/>
        </w:rPr>
        <w:t>5</w:t>
      </w:r>
      <w:r w:rsidR="00A46540" w:rsidRPr="00610088">
        <w:rPr>
          <w:lang w:val="en-GB"/>
        </w:rPr>
        <w:t xml:space="preserve">: </w:t>
      </w:r>
      <w:r w:rsidRPr="00610088">
        <w:rPr>
          <w:lang w:val="en-GB"/>
        </w:rPr>
        <w:t xml:space="preserve"> Proposed M&amp;E framework - Indicator definitions and calculations</w:t>
      </w:r>
      <w:bookmarkEnd w:id="216"/>
    </w:p>
    <w:p w14:paraId="7ED1685B" w14:textId="429D6F62" w:rsidR="00FA2345" w:rsidRPr="00610088" w:rsidRDefault="00FA2345" w:rsidP="00FA2345">
      <w:pPr>
        <w:rPr>
          <w:lang w:val="en-GB"/>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624"/>
      </w:tblGrid>
      <w:tr w:rsidR="00FA2345" w:rsidRPr="00610088" w14:paraId="0ABF3623" w14:textId="77777777" w:rsidTr="006837ED">
        <w:trPr>
          <w:trHeight w:val="256"/>
          <w:tblHeader/>
        </w:trPr>
        <w:tc>
          <w:tcPr>
            <w:tcW w:w="3397" w:type="dxa"/>
            <w:vMerge w:val="restart"/>
            <w:shd w:val="clear" w:color="000000" w:fill="4472C4"/>
            <w:hideMark/>
          </w:tcPr>
          <w:p w14:paraId="3D37BAD8" w14:textId="77777777" w:rsidR="00FA2345" w:rsidRPr="001B16D1" w:rsidRDefault="00FA2345" w:rsidP="00B645C7">
            <w:pPr>
              <w:pStyle w:val="NoSpacing"/>
              <w:rPr>
                <w:rFonts w:cstheme="minorHAnsi"/>
                <w:color w:val="FFFFFF" w:themeColor="background1"/>
                <w:sz w:val="18"/>
                <w:szCs w:val="18"/>
                <w:lang w:val="en-GB"/>
              </w:rPr>
            </w:pPr>
            <w:r w:rsidRPr="001B16D1">
              <w:rPr>
                <w:rFonts w:cstheme="minorHAnsi"/>
                <w:color w:val="FFFFFF" w:themeColor="background1"/>
                <w:sz w:val="18"/>
                <w:szCs w:val="18"/>
                <w:lang w:val="en-GB"/>
              </w:rPr>
              <w:t>Indicator number &amp; name</w:t>
            </w:r>
          </w:p>
        </w:tc>
        <w:tc>
          <w:tcPr>
            <w:tcW w:w="11624" w:type="dxa"/>
            <w:vMerge w:val="restart"/>
            <w:shd w:val="clear" w:color="000000" w:fill="4472C4"/>
            <w:noWrap/>
            <w:hideMark/>
          </w:tcPr>
          <w:p w14:paraId="1E07BB1A" w14:textId="77777777" w:rsidR="00FA2345" w:rsidRPr="001B16D1" w:rsidRDefault="00FA2345" w:rsidP="00B645C7">
            <w:pPr>
              <w:pStyle w:val="NoSpacing"/>
              <w:rPr>
                <w:rFonts w:cstheme="minorHAnsi"/>
                <w:color w:val="FFFFFF" w:themeColor="background1"/>
                <w:sz w:val="18"/>
                <w:szCs w:val="18"/>
                <w:lang w:val="en-GB"/>
              </w:rPr>
            </w:pPr>
            <w:r w:rsidRPr="001B16D1">
              <w:rPr>
                <w:rFonts w:cstheme="minorHAnsi"/>
                <w:color w:val="FFFFFF" w:themeColor="background1"/>
                <w:sz w:val="18"/>
                <w:szCs w:val="18"/>
                <w:lang w:val="en-GB"/>
              </w:rPr>
              <w:t>Definition and calculation</w:t>
            </w:r>
          </w:p>
        </w:tc>
      </w:tr>
      <w:tr w:rsidR="00FA2345" w:rsidRPr="00610088" w14:paraId="7CFEEDEE" w14:textId="77777777" w:rsidTr="006837ED">
        <w:trPr>
          <w:trHeight w:val="256"/>
          <w:tblHeader/>
        </w:trPr>
        <w:tc>
          <w:tcPr>
            <w:tcW w:w="3397" w:type="dxa"/>
            <w:vMerge/>
            <w:hideMark/>
          </w:tcPr>
          <w:p w14:paraId="01140780" w14:textId="77777777" w:rsidR="00FA2345" w:rsidRPr="001B16D1" w:rsidRDefault="00FA2345" w:rsidP="00B645C7">
            <w:pPr>
              <w:pStyle w:val="NoSpacing"/>
              <w:rPr>
                <w:rFonts w:cstheme="minorHAnsi"/>
                <w:color w:val="FFFFFF" w:themeColor="background1"/>
                <w:sz w:val="18"/>
                <w:szCs w:val="18"/>
                <w:lang w:val="en-GB"/>
              </w:rPr>
            </w:pPr>
          </w:p>
        </w:tc>
        <w:tc>
          <w:tcPr>
            <w:tcW w:w="11624" w:type="dxa"/>
            <w:vMerge/>
            <w:hideMark/>
          </w:tcPr>
          <w:p w14:paraId="78706F25" w14:textId="77777777" w:rsidR="00FA2345" w:rsidRPr="001B16D1" w:rsidRDefault="00FA2345" w:rsidP="00B645C7">
            <w:pPr>
              <w:pStyle w:val="NoSpacing"/>
              <w:rPr>
                <w:rFonts w:cstheme="minorHAnsi"/>
                <w:color w:val="FFFFFF" w:themeColor="background1"/>
                <w:sz w:val="18"/>
                <w:szCs w:val="18"/>
                <w:lang w:val="en-GB"/>
              </w:rPr>
            </w:pPr>
          </w:p>
        </w:tc>
      </w:tr>
      <w:tr w:rsidR="00FA2345" w:rsidRPr="00610088" w14:paraId="24FBC2DF" w14:textId="77777777" w:rsidTr="006837ED">
        <w:trPr>
          <w:trHeight w:val="397"/>
        </w:trPr>
        <w:tc>
          <w:tcPr>
            <w:tcW w:w="3397" w:type="dxa"/>
            <w:shd w:val="clear" w:color="auto" w:fill="auto"/>
            <w:hideMark/>
          </w:tcPr>
          <w:p w14:paraId="5E17C63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Impact 1. Premature NCD Mortality</w:t>
            </w:r>
          </w:p>
        </w:tc>
        <w:tc>
          <w:tcPr>
            <w:tcW w:w="11624" w:type="dxa"/>
            <w:shd w:val="clear" w:color="auto" w:fill="auto"/>
            <w:hideMark/>
          </w:tcPr>
          <w:p w14:paraId="511B656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Unconditional probability of dying between the exact ages 30 and 70 years from cardiovascular diseases, cancer, diabetes, or chronic respiratory diseases. </w:t>
            </w:r>
          </w:p>
          <w:p w14:paraId="230DCFDA" w14:textId="787CF629" w:rsidR="00FA2345" w:rsidRPr="001B16D1" w:rsidRDefault="00FA2345" w:rsidP="00B645C7">
            <w:pPr>
              <w:pStyle w:val="NoSpacing"/>
              <w:rPr>
                <w:rFonts w:cstheme="minorHAnsi"/>
                <w:sz w:val="18"/>
                <w:szCs w:val="18"/>
                <w:lang w:val="en-GB"/>
              </w:rPr>
            </w:pPr>
            <w:r w:rsidRPr="001B16D1">
              <w:rPr>
                <w:rFonts w:cstheme="minorHAnsi"/>
                <w:sz w:val="18"/>
                <w:szCs w:val="18"/>
                <w:lang w:val="en-GB"/>
              </w:rPr>
              <w:t>Calculation: Deaths from these four causes will be based on the following ICD codes: I00-I99, C00-C97, E10-E14, and J30-J98. Age-specific death rates for the combined four cause categories (typically in terms of 5- year age groups 30-</w:t>
            </w:r>
            <w:r w:rsidR="006837ED" w:rsidRPr="001B16D1">
              <w:rPr>
                <w:rFonts w:cstheme="minorHAnsi"/>
                <w:sz w:val="18"/>
                <w:szCs w:val="18"/>
                <w:lang w:val="en-GB"/>
              </w:rPr>
              <w:t>34 up to</w:t>
            </w:r>
            <w:r w:rsidRPr="001B16D1">
              <w:rPr>
                <w:rFonts w:cstheme="minorHAnsi"/>
                <w:sz w:val="18"/>
                <w:szCs w:val="18"/>
                <w:lang w:val="en-GB"/>
              </w:rPr>
              <w:t xml:space="preserve"> 65-69). A life table method allows calculation of the risk of death between exact ages 30 and 70 from any of these causes, in the absence of other causes of death. </w:t>
            </w:r>
            <w:dir w:val="ltr">
              <w:r w:rsidRPr="001B16D1">
                <w:rPr>
                  <w:rFonts w:cstheme="minorHAnsi"/>
                  <w:sz w:val="18"/>
                  <w:szCs w:val="18"/>
                  <w:lang w:val="en-GB"/>
                </w:rPr>
                <w:t xml:space="preserve"> Then conversion of death rates to probability of dying, combining all 5-year age groups (more detail in Global </w:t>
              </w:r>
              <w:r w:rsidR="006837ED" w:rsidRPr="001B16D1">
                <w:rPr>
                  <w:rFonts w:cstheme="minorHAnsi"/>
                  <w:sz w:val="18"/>
                  <w:szCs w:val="18"/>
                  <w:lang w:val="en-GB"/>
                </w:rPr>
                <w:t>Framework)</w:t>
              </w:r>
              <w:r w:rsidR="006837ED" w:rsidRPr="001B16D1">
                <w:rPr>
                  <w:rFonts w:cstheme="minorHAnsi"/>
                  <w:sz w:val="18"/>
                  <w:szCs w:val="18"/>
                  <w:lang w:val="en-GB"/>
                </w:rPr>
                <w:t xml:space="preserve">‬ </w:t>
              </w:r>
              <w:r w:rsidR="006837ED"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Pr="001B16D1">
                <w:rPr>
                  <w:rFonts w:cstheme="minorHAnsi"/>
                  <w:sz w:val="18"/>
                  <w:szCs w:val="18"/>
                  <w:lang w:val="en-GB"/>
                </w:rPr>
                <w:t>‬</w:t>
              </w:r>
              <w:r w:rsidR="00FC35CF" w:rsidRPr="001B16D1">
                <w:rPr>
                  <w:rFonts w:cstheme="minorHAnsi"/>
                  <w:sz w:val="18"/>
                  <w:szCs w:val="18"/>
                  <w:lang w:val="en-GB"/>
                </w:rPr>
                <w:t>‬</w:t>
              </w:r>
              <w:r w:rsidR="004B1F85" w:rsidRPr="001B16D1">
                <w:rPr>
                  <w:rFonts w:cstheme="minorHAnsi"/>
                  <w:sz w:val="18"/>
                  <w:szCs w:val="18"/>
                  <w:lang w:val="en-GB"/>
                </w:rPr>
                <w:t>‬</w:t>
              </w:r>
              <w:r w:rsidR="002C0824" w:rsidRPr="001B16D1">
                <w:rPr>
                  <w:rFonts w:cstheme="minorHAnsi"/>
                  <w:sz w:val="18"/>
                  <w:szCs w:val="18"/>
                  <w:lang w:val="en-GB"/>
                </w:rPr>
                <w:t>‬</w:t>
              </w:r>
              <w:r w:rsidR="00435967" w:rsidRPr="001B16D1">
                <w:rPr>
                  <w:rFonts w:cstheme="minorHAnsi"/>
                  <w:sz w:val="18"/>
                  <w:szCs w:val="18"/>
                  <w:lang w:val="en-GB"/>
                </w:rPr>
                <w:t>‬</w:t>
              </w:r>
              <w:r w:rsidR="0039514C" w:rsidRPr="001B16D1">
                <w:rPr>
                  <w:rFonts w:cstheme="minorHAnsi"/>
                  <w:sz w:val="18"/>
                  <w:szCs w:val="18"/>
                  <w:lang w:val="en-GB"/>
                </w:rPr>
                <w:t>‬</w:t>
              </w:r>
              <w:r w:rsidR="005D0E96" w:rsidRPr="001B16D1">
                <w:rPr>
                  <w:rFonts w:cstheme="minorHAnsi"/>
                  <w:sz w:val="18"/>
                  <w:szCs w:val="18"/>
                  <w:lang w:val="en-GB"/>
                </w:rPr>
                <w:t>‬</w:t>
              </w:r>
              <w:r w:rsidR="00847993" w:rsidRPr="001B16D1">
                <w:rPr>
                  <w:rFonts w:cstheme="minorHAnsi"/>
                  <w:sz w:val="18"/>
                  <w:szCs w:val="18"/>
                  <w:lang w:val="en-GB"/>
                </w:rPr>
                <w:t>‬</w:t>
              </w:r>
              <w:r w:rsidR="00D820D6" w:rsidRPr="001B16D1">
                <w:rPr>
                  <w:rFonts w:cstheme="minorHAnsi"/>
                  <w:sz w:val="18"/>
                  <w:szCs w:val="18"/>
                  <w:lang w:val="en-GB"/>
                </w:rPr>
                <w:t>‬</w:t>
              </w:r>
              <w:r w:rsidR="00E45D44" w:rsidRPr="001B16D1">
                <w:rPr>
                  <w:rFonts w:cstheme="minorHAnsi"/>
                  <w:sz w:val="18"/>
                  <w:szCs w:val="18"/>
                  <w:lang w:val="en-GB"/>
                </w:rPr>
                <w:t>‬</w:t>
              </w:r>
              <w:r w:rsidR="001954A5" w:rsidRPr="001B16D1">
                <w:rPr>
                  <w:rFonts w:cstheme="minorHAnsi"/>
                  <w:sz w:val="18"/>
                  <w:szCs w:val="18"/>
                  <w:lang w:val="en-GB"/>
                </w:rPr>
                <w:t>‬</w:t>
              </w:r>
              <w:r w:rsidR="00481CF0" w:rsidRPr="001B16D1">
                <w:rPr>
                  <w:rFonts w:cstheme="minorHAnsi"/>
                  <w:sz w:val="18"/>
                  <w:szCs w:val="18"/>
                  <w:lang w:val="en-GB"/>
                </w:rPr>
                <w:t>‬</w:t>
              </w:r>
              <w:r w:rsidR="00A30444" w:rsidRPr="001B16D1">
                <w:rPr>
                  <w:rFonts w:cstheme="minorHAnsi"/>
                  <w:sz w:val="18"/>
                  <w:szCs w:val="18"/>
                  <w:lang w:val="en-GB"/>
                </w:rPr>
                <w:t>‬</w:t>
              </w:r>
              <w:r w:rsidR="002173A2" w:rsidRPr="001B16D1">
                <w:rPr>
                  <w:rFonts w:cstheme="minorHAnsi"/>
                  <w:sz w:val="18"/>
                  <w:szCs w:val="18"/>
                  <w:lang w:val="en-GB"/>
                </w:rPr>
                <w:t>‬</w:t>
              </w:r>
              <w:r w:rsidR="00610088" w:rsidRPr="001B16D1">
                <w:rPr>
                  <w:rFonts w:cstheme="minorHAnsi"/>
                  <w:sz w:val="18"/>
                  <w:szCs w:val="18"/>
                  <w:lang w:val="en-GB"/>
                </w:rPr>
                <w:t>‬</w:t>
              </w:r>
              <w:r w:rsidR="001C492E" w:rsidRPr="001B16D1">
                <w:rPr>
                  <w:rFonts w:cstheme="minorHAnsi"/>
                  <w:sz w:val="18"/>
                  <w:szCs w:val="18"/>
                </w:rPr>
                <w:t>‬</w:t>
              </w:r>
              <w:r w:rsidR="001B16D1" w:rsidRPr="001B16D1">
                <w:rPr>
                  <w:rFonts w:cstheme="minorHAnsi"/>
                  <w:sz w:val="18"/>
                  <w:szCs w:val="18"/>
                </w:rPr>
                <w:t>‬</w:t>
              </w:r>
              <w:r w:rsidR="00B84C19">
                <w:t>‬</w:t>
              </w:r>
              <w:r w:rsidR="00E32FDE">
                <w:t>‬</w:t>
              </w:r>
              <w:r w:rsidR="004A3765">
                <w:t>‬</w:t>
              </w:r>
              <w:r w:rsidR="00214CBF">
                <w:t>‬</w:t>
              </w:r>
              <w:r w:rsidR="001C45B5">
                <w:t>‬</w:t>
              </w:r>
              <w:r w:rsidR="00504B06">
                <w:t>‬</w:t>
              </w:r>
            </w:dir>
          </w:p>
        </w:tc>
      </w:tr>
      <w:tr w:rsidR="00FA2345" w:rsidRPr="00610088" w14:paraId="608D13C3" w14:textId="77777777" w:rsidTr="006837ED">
        <w:trPr>
          <w:trHeight w:val="397"/>
        </w:trPr>
        <w:tc>
          <w:tcPr>
            <w:tcW w:w="3397" w:type="dxa"/>
            <w:shd w:val="clear" w:color="auto" w:fill="auto"/>
            <w:hideMark/>
          </w:tcPr>
          <w:p w14:paraId="7CBD7C9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Impact 2. Cancer incidence, by type</w:t>
            </w:r>
          </w:p>
        </w:tc>
        <w:tc>
          <w:tcPr>
            <w:tcW w:w="11624" w:type="dxa"/>
            <w:shd w:val="clear" w:color="auto" w:fill="auto"/>
            <w:hideMark/>
          </w:tcPr>
          <w:p w14:paraId="0C6207C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new cancers of a specific site/type occurring in the population per year, usually expressed as the number of new cancers per 100,000 population. Numerator: Number of new cancer cases diagnosed in a specific year. This may include multiple primary cancers occurring in one patient. The primary site reported is the site of origin and not the metastatic site. In general, the incidence rate would not include recurrences.</w:t>
            </w:r>
            <w:r w:rsidRPr="001B16D1">
              <w:rPr>
                <w:rFonts w:cstheme="minorHAnsi"/>
                <w:sz w:val="18"/>
                <w:szCs w:val="18"/>
                <w:lang w:val="en-GB"/>
              </w:rPr>
              <w:br/>
              <w:t xml:space="preserve">Denominator:  At-risk population for the given category of cancer. The population used depends on the rate to be calculated. For cancer sites that occur in only one sex, the sex-specific population (e.g., females for cervical cancer) </w:t>
            </w:r>
            <w:proofErr w:type="gramStart"/>
            <w:r w:rsidRPr="001B16D1">
              <w:rPr>
                <w:rFonts w:cstheme="minorHAnsi"/>
                <w:sz w:val="18"/>
                <w:szCs w:val="18"/>
                <w:lang w:val="en-GB"/>
              </w:rPr>
              <w:t>is</w:t>
            </w:r>
            <w:proofErr w:type="gramEnd"/>
            <w:r w:rsidRPr="001B16D1">
              <w:rPr>
                <w:rFonts w:cstheme="minorHAnsi"/>
                <w:sz w:val="18"/>
                <w:szCs w:val="18"/>
                <w:lang w:val="en-GB"/>
              </w:rPr>
              <w:t xml:space="preserve"> used.</w:t>
            </w:r>
            <w:r w:rsidRPr="001B16D1">
              <w:rPr>
                <w:rFonts w:cstheme="minorHAnsi"/>
                <w:sz w:val="18"/>
                <w:szCs w:val="18"/>
                <w:lang w:val="en-GB"/>
              </w:rPr>
              <w:br/>
              <w:t>Calculation: Numerator / Denominator * 100,000</w:t>
            </w:r>
          </w:p>
        </w:tc>
      </w:tr>
      <w:tr w:rsidR="00FA2345" w:rsidRPr="00610088" w14:paraId="380250B7" w14:textId="77777777" w:rsidTr="006837ED">
        <w:trPr>
          <w:trHeight w:val="397"/>
        </w:trPr>
        <w:tc>
          <w:tcPr>
            <w:tcW w:w="3397" w:type="dxa"/>
            <w:shd w:val="clear" w:color="auto" w:fill="auto"/>
            <w:hideMark/>
          </w:tcPr>
          <w:p w14:paraId="6021DD9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1.1 % of Key NCD area national focal persons</w:t>
            </w:r>
          </w:p>
        </w:tc>
        <w:tc>
          <w:tcPr>
            <w:tcW w:w="11624" w:type="dxa"/>
            <w:shd w:val="clear" w:color="auto" w:fill="auto"/>
            <w:hideMark/>
          </w:tcPr>
          <w:p w14:paraId="0E3FCD8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Key NCD areas with national NCD focal persons </w:t>
            </w:r>
          </w:p>
          <w:p w14:paraId="40BD0A7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Nr of Key NCD areas with a focal person</w:t>
            </w:r>
            <w:r w:rsidRPr="001B16D1">
              <w:rPr>
                <w:rFonts w:cstheme="minorHAnsi"/>
                <w:sz w:val="18"/>
                <w:szCs w:val="18"/>
                <w:lang w:val="en-GB"/>
              </w:rPr>
              <w:br/>
              <w:t>Denominator: Nr of Key NCD areas</w:t>
            </w:r>
            <w:r w:rsidRPr="001B16D1">
              <w:rPr>
                <w:rFonts w:cstheme="minorHAnsi"/>
                <w:sz w:val="18"/>
                <w:szCs w:val="18"/>
                <w:lang w:val="en-GB"/>
              </w:rPr>
              <w:br/>
              <w:t>Calculation: Numerator / Denominator * 100%</w:t>
            </w:r>
          </w:p>
        </w:tc>
      </w:tr>
      <w:tr w:rsidR="00FA2345" w:rsidRPr="00610088" w14:paraId="6E7D7BBB" w14:textId="77777777" w:rsidTr="006837ED">
        <w:trPr>
          <w:trHeight w:val="397"/>
        </w:trPr>
        <w:tc>
          <w:tcPr>
            <w:tcW w:w="3397" w:type="dxa"/>
            <w:shd w:val="clear" w:color="auto" w:fill="auto"/>
            <w:hideMark/>
          </w:tcPr>
          <w:p w14:paraId="527AF3E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of districts with focal persons</w:t>
            </w:r>
          </w:p>
        </w:tc>
        <w:tc>
          <w:tcPr>
            <w:tcW w:w="11624" w:type="dxa"/>
            <w:shd w:val="clear" w:color="auto" w:fill="auto"/>
            <w:hideMark/>
          </w:tcPr>
          <w:p w14:paraId="51EBA68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districts with NCD focal persons </w:t>
            </w:r>
            <w:r w:rsidRPr="001B16D1">
              <w:rPr>
                <w:rFonts w:cstheme="minorHAnsi"/>
                <w:sz w:val="18"/>
                <w:szCs w:val="18"/>
                <w:lang w:val="en-GB"/>
              </w:rPr>
              <w:br/>
              <w:t xml:space="preserve">Numerator:  Nr of districts with NCD focal persons. </w:t>
            </w:r>
            <w:r w:rsidRPr="001B16D1">
              <w:rPr>
                <w:rFonts w:cstheme="minorHAnsi"/>
                <w:sz w:val="18"/>
                <w:szCs w:val="18"/>
                <w:lang w:val="en-GB"/>
              </w:rPr>
              <w:br/>
              <w:t>Denominator: Nr of districts (16)</w:t>
            </w:r>
            <w:r w:rsidRPr="001B16D1">
              <w:rPr>
                <w:rFonts w:cstheme="minorHAnsi"/>
                <w:sz w:val="18"/>
                <w:szCs w:val="18"/>
                <w:lang w:val="en-GB"/>
              </w:rPr>
              <w:br/>
              <w:t>Calculation: Numerator / Denominator * 100%</w:t>
            </w:r>
          </w:p>
        </w:tc>
      </w:tr>
      <w:tr w:rsidR="00FA2345" w:rsidRPr="00610088" w14:paraId="38A27EFB" w14:textId="77777777" w:rsidTr="006837ED">
        <w:trPr>
          <w:trHeight w:val="397"/>
        </w:trPr>
        <w:tc>
          <w:tcPr>
            <w:tcW w:w="3397" w:type="dxa"/>
            <w:shd w:val="clear" w:color="auto" w:fill="auto"/>
            <w:hideMark/>
          </w:tcPr>
          <w:p w14:paraId="37CD618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1.2 % of the NCD Directorate capacity building plan that has been implemented</w:t>
            </w:r>
          </w:p>
        </w:tc>
        <w:tc>
          <w:tcPr>
            <w:tcW w:w="11624" w:type="dxa"/>
            <w:shd w:val="clear" w:color="auto" w:fill="auto"/>
            <w:hideMark/>
          </w:tcPr>
          <w:p w14:paraId="5D2231C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capacity building activities from the current NCD capacity building plan that have been implemented </w:t>
            </w:r>
            <w:r w:rsidRPr="001B16D1">
              <w:rPr>
                <w:rFonts w:cstheme="minorHAnsi"/>
                <w:sz w:val="18"/>
                <w:szCs w:val="18"/>
                <w:lang w:val="en-GB"/>
              </w:rPr>
              <w:br/>
              <w:t xml:space="preserve">Numerator: Nr of capacity building activities of the current NCD Directorate capacity building plan that were planned that have been implemented (national and district level)  </w:t>
            </w:r>
            <w:r w:rsidRPr="001B16D1">
              <w:rPr>
                <w:rFonts w:cstheme="minorHAnsi"/>
                <w:sz w:val="18"/>
                <w:szCs w:val="18"/>
                <w:lang w:val="en-GB"/>
              </w:rPr>
              <w:br/>
              <w:t xml:space="preserve">Denominator:  Total number of capacity building activities in the current NCD Directorate capacity building plan </w:t>
            </w:r>
            <w:r w:rsidRPr="001B16D1">
              <w:rPr>
                <w:rFonts w:cstheme="minorHAnsi"/>
                <w:sz w:val="18"/>
                <w:szCs w:val="18"/>
                <w:lang w:val="en-GB"/>
              </w:rPr>
              <w:br/>
              <w:t>Calculation: Numerator / Denominator * 100%</w:t>
            </w:r>
          </w:p>
        </w:tc>
      </w:tr>
      <w:tr w:rsidR="00FA2345" w:rsidRPr="00610088" w14:paraId="134A6AE9" w14:textId="77777777" w:rsidTr="006837ED">
        <w:trPr>
          <w:trHeight w:val="397"/>
        </w:trPr>
        <w:tc>
          <w:tcPr>
            <w:tcW w:w="3397" w:type="dxa"/>
            <w:shd w:val="clear" w:color="auto" w:fill="auto"/>
            <w:hideMark/>
          </w:tcPr>
          <w:p w14:paraId="6B17FBC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1.3 Updated NCD advocacy/briefing package /kit</w:t>
            </w:r>
          </w:p>
        </w:tc>
        <w:tc>
          <w:tcPr>
            <w:tcW w:w="11624" w:type="dxa"/>
            <w:shd w:val="clear" w:color="auto" w:fill="auto"/>
            <w:hideMark/>
          </w:tcPr>
          <w:p w14:paraId="1224065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NCD advocacy/briefing package/kit updated less than 12 months ago DNCD&amp;MH will answer "yes" if package/kit with update less than 12 months ago is available</w:t>
            </w:r>
          </w:p>
        </w:tc>
      </w:tr>
      <w:tr w:rsidR="00FA2345" w:rsidRPr="00610088" w14:paraId="42A4B956" w14:textId="77777777" w:rsidTr="006837ED">
        <w:trPr>
          <w:trHeight w:val="397"/>
        </w:trPr>
        <w:tc>
          <w:tcPr>
            <w:tcW w:w="3397" w:type="dxa"/>
            <w:shd w:val="clear" w:color="auto" w:fill="auto"/>
            <w:hideMark/>
          </w:tcPr>
          <w:p w14:paraId="381C7B76" w14:textId="7AD8F835"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1.4 Nr of advocacy meetings with other </w:t>
            </w:r>
            <w:proofErr w:type="spellStart"/>
            <w:r w:rsidR="00156C15" w:rsidRPr="001B16D1">
              <w:rPr>
                <w:rFonts w:cstheme="minorHAnsi"/>
                <w:sz w:val="18"/>
                <w:szCs w:val="18"/>
                <w:lang w:val="en-GB"/>
              </w:rPr>
              <w:t>MoHS</w:t>
            </w:r>
            <w:proofErr w:type="spellEnd"/>
            <w:r w:rsidRPr="001B16D1">
              <w:rPr>
                <w:rFonts w:cstheme="minorHAnsi"/>
                <w:sz w:val="18"/>
                <w:szCs w:val="18"/>
                <w:lang w:val="en-GB"/>
              </w:rPr>
              <w:t xml:space="preserve"> entities</w:t>
            </w:r>
          </w:p>
        </w:tc>
        <w:tc>
          <w:tcPr>
            <w:tcW w:w="11624" w:type="dxa"/>
            <w:shd w:val="clear" w:color="auto" w:fill="auto"/>
            <w:hideMark/>
          </w:tcPr>
          <w:p w14:paraId="37B92E0B" w14:textId="3A73CDEC"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Number of advocacy meetings with other </w:t>
            </w:r>
            <w:proofErr w:type="spellStart"/>
            <w:r w:rsidR="00156C15" w:rsidRPr="001B16D1">
              <w:rPr>
                <w:rFonts w:cstheme="minorHAnsi"/>
                <w:sz w:val="18"/>
                <w:szCs w:val="18"/>
                <w:lang w:val="en-GB"/>
              </w:rPr>
              <w:t>MoHS</w:t>
            </w:r>
            <w:proofErr w:type="spellEnd"/>
            <w:r w:rsidRPr="001B16D1">
              <w:rPr>
                <w:rFonts w:cstheme="minorHAnsi"/>
                <w:sz w:val="18"/>
                <w:szCs w:val="18"/>
                <w:lang w:val="en-GB"/>
              </w:rPr>
              <w:t xml:space="preserve"> entities in the last 12 months</w:t>
            </w:r>
          </w:p>
        </w:tc>
      </w:tr>
      <w:tr w:rsidR="00FA2345" w:rsidRPr="00610088" w14:paraId="608E12D4" w14:textId="77777777" w:rsidTr="006837ED">
        <w:trPr>
          <w:trHeight w:val="397"/>
        </w:trPr>
        <w:tc>
          <w:tcPr>
            <w:tcW w:w="3397" w:type="dxa"/>
            <w:shd w:val="clear" w:color="auto" w:fill="auto"/>
            <w:hideMark/>
          </w:tcPr>
          <w:p w14:paraId="3D14194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1.5 Nr of advocacy meetings with other line ministries</w:t>
            </w:r>
          </w:p>
        </w:tc>
        <w:tc>
          <w:tcPr>
            <w:tcW w:w="11624" w:type="dxa"/>
            <w:shd w:val="clear" w:color="auto" w:fill="auto"/>
            <w:hideMark/>
          </w:tcPr>
          <w:p w14:paraId="471AC59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advocacy meetings with other line ministries in the last 12 months</w:t>
            </w:r>
          </w:p>
        </w:tc>
      </w:tr>
      <w:tr w:rsidR="00FA2345" w:rsidRPr="00610088" w14:paraId="3EBB855A" w14:textId="77777777" w:rsidTr="006837ED">
        <w:trPr>
          <w:trHeight w:val="397"/>
        </w:trPr>
        <w:tc>
          <w:tcPr>
            <w:tcW w:w="3397" w:type="dxa"/>
            <w:shd w:val="clear" w:color="auto" w:fill="auto"/>
            <w:hideMark/>
          </w:tcPr>
          <w:p w14:paraId="3E4DA17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1.6 Number of engaged politicians/ high profile people</w:t>
            </w:r>
          </w:p>
        </w:tc>
        <w:tc>
          <w:tcPr>
            <w:tcW w:w="11624" w:type="dxa"/>
            <w:shd w:val="clear" w:color="auto" w:fill="auto"/>
            <w:hideMark/>
          </w:tcPr>
          <w:p w14:paraId="4337EA8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Number of politicians and high-profile people that have undertaken high level activities on NCDs (for example advocated for increased attention / infrastructure / funding for NCDs)  </w:t>
            </w:r>
          </w:p>
          <w:p w14:paraId="532C515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Calculation: Count the number of politicians and </w:t>
            </w:r>
            <w:proofErr w:type="gramStart"/>
            <w:r w:rsidRPr="001B16D1">
              <w:rPr>
                <w:rFonts w:cstheme="minorHAnsi"/>
                <w:sz w:val="18"/>
                <w:szCs w:val="18"/>
                <w:lang w:val="en-GB"/>
              </w:rPr>
              <w:t>high profile</w:t>
            </w:r>
            <w:proofErr w:type="gramEnd"/>
            <w:r w:rsidRPr="001B16D1">
              <w:rPr>
                <w:rFonts w:cstheme="minorHAnsi"/>
                <w:sz w:val="18"/>
                <w:szCs w:val="18"/>
                <w:lang w:val="en-GB"/>
              </w:rPr>
              <w:t xml:space="preserve"> people that showed clear engagement with NCDs in the previous 12 months</w:t>
            </w:r>
          </w:p>
        </w:tc>
      </w:tr>
      <w:tr w:rsidR="00FA2345" w:rsidRPr="00610088" w14:paraId="5BC5B4E1" w14:textId="77777777" w:rsidTr="006837ED">
        <w:trPr>
          <w:trHeight w:val="397"/>
        </w:trPr>
        <w:tc>
          <w:tcPr>
            <w:tcW w:w="3397" w:type="dxa"/>
            <w:shd w:val="clear" w:color="auto" w:fill="auto"/>
            <w:hideMark/>
          </w:tcPr>
          <w:p w14:paraId="499E078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1.7 Tobacco bill enacted and implemented</w:t>
            </w:r>
          </w:p>
        </w:tc>
        <w:tc>
          <w:tcPr>
            <w:tcW w:w="11624" w:type="dxa"/>
            <w:shd w:val="clear" w:color="auto" w:fill="auto"/>
            <w:hideMark/>
          </w:tcPr>
          <w:p w14:paraId="4E944F1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Tobacco bill developed, enacted (made into law) and implemented Answer is yes if bill is enacted and implemented</w:t>
            </w:r>
          </w:p>
        </w:tc>
      </w:tr>
      <w:tr w:rsidR="00FA2345" w:rsidRPr="00610088" w14:paraId="4FF2ABF8" w14:textId="77777777" w:rsidTr="006837ED">
        <w:trPr>
          <w:trHeight w:val="397"/>
        </w:trPr>
        <w:tc>
          <w:tcPr>
            <w:tcW w:w="3397" w:type="dxa"/>
            <w:shd w:val="clear" w:color="auto" w:fill="auto"/>
            <w:hideMark/>
          </w:tcPr>
          <w:p w14:paraId="37165BE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1.8 Number of advocacy meetings for legislation for NCD risk factors (excluding tobacco)</w:t>
            </w:r>
          </w:p>
        </w:tc>
        <w:tc>
          <w:tcPr>
            <w:tcW w:w="11624" w:type="dxa"/>
            <w:shd w:val="clear" w:color="auto" w:fill="auto"/>
            <w:hideMark/>
          </w:tcPr>
          <w:p w14:paraId="6FD0351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advocacy meeting specifically advocating for legislation that reduce the prevalence of NCD risk factors (excluding tobacco) in the past 12 months.</w:t>
            </w:r>
          </w:p>
        </w:tc>
      </w:tr>
      <w:tr w:rsidR="00FA2345" w:rsidRPr="00610088" w14:paraId="695AEE52" w14:textId="77777777" w:rsidTr="006837ED">
        <w:trPr>
          <w:trHeight w:val="397"/>
        </w:trPr>
        <w:tc>
          <w:tcPr>
            <w:tcW w:w="3397" w:type="dxa"/>
            <w:shd w:val="clear" w:color="auto" w:fill="auto"/>
            <w:hideMark/>
          </w:tcPr>
          <w:p w14:paraId="6ADFE4A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1.9 National policies in place to limit of trans-fats in the food supply</w:t>
            </w:r>
          </w:p>
        </w:tc>
        <w:tc>
          <w:tcPr>
            <w:tcW w:w="11624" w:type="dxa"/>
            <w:shd w:val="clear" w:color="auto" w:fill="auto"/>
            <w:hideMark/>
          </w:tcPr>
          <w:p w14:paraId="2A535E6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Adoption of a policy to limit saturated fatty acids and virtually eliminate partially hydrogenated vegetable oils in the food supply. </w:t>
            </w:r>
          </w:p>
        </w:tc>
      </w:tr>
      <w:tr w:rsidR="00FA2345" w:rsidRPr="00610088" w14:paraId="602A25E5" w14:textId="77777777" w:rsidTr="006837ED">
        <w:trPr>
          <w:trHeight w:val="397"/>
        </w:trPr>
        <w:tc>
          <w:tcPr>
            <w:tcW w:w="3397" w:type="dxa"/>
            <w:shd w:val="clear" w:color="auto" w:fill="auto"/>
            <w:hideMark/>
          </w:tcPr>
          <w:p w14:paraId="1EC0D70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1.10 National policies in place to reduce the impact on children of the marketing of food and non-alcoholic beverages </w:t>
            </w:r>
          </w:p>
        </w:tc>
        <w:tc>
          <w:tcPr>
            <w:tcW w:w="11624" w:type="dxa"/>
            <w:shd w:val="clear" w:color="auto" w:fill="auto"/>
            <w:hideMark/>
          </w:tcPr>
          <w:p w14:paraId="6706E89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Existence of a policy to reduce the impact on children of marketing of foods and non- alcoholic beverages high in saturated fats, trans-fatty acids, free sugars, or salt Country can respond "yes" to the question “Is your country implementing any policies to reduce the impact on children of marketing of foods and non-alcoholic beverages high in saturated fats, trans-fatty acids, free sugars, or salt?”</w:t>
            </w:r>
          </w:p>
        </w:tc>
      </w:tr>
      <w:tr w:rsidR="00FA2345" w:rsidRPr="00610088" w14:paraId="024B5AB8" w14:textId="77777777" w:rsidTr="006837ED">
        <w:trPr>
          <w:trHeight w:val="397"/>
        </w:trPr>
        <w:tc>
          <w:tcPr>
            <w:tcW w:w="3397" w:type="dxa"/>
            <w:shd w:val="clear" w:color="auto" w:fill="auto"/>
            <w:hideMark/>
          </w:tcPr>
          <w:p w14:paraId="7B0C19B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2.1 Nr of meetings of the fundraising subgroup</w:t>
            </w:r>
          </w:p>
        </w:tc>
        <w:tc>
          <w:tcPr>
            <w:tcW w:w="11624" w:type="dxa"/>
            <w:shd w:val="clear" w:color="auto" w:fill="auto"/>
            <w:hideMark/>
          </w:tcPr>
          <w:p w14:paraId="1A42E31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meetings of the fundraising subgroup (under the NCD TWG) in the last 12 months.</w:t>
            </w:r>
          </w:p>
        </w:tc>
      </w:tr>
      <w:tr w:rsidR="00FA2345" w:rsidRPr="00610088" w14:paraId="3D3BA9BA" w14:textId="77777777" w:rsidTr="006837ED">
        <w:trPr>
          <w:trHeight w:val="397"/>
        </w:trPr>
        <w:tc>
          <w:tcPr>
            <w:tcW w:w="3397" w:type="dxa"/>
            <w:shd w:val="clear" w:color="auto" w:fill="auto"/>
            <w:hideMark/>
          </w:tcPr>
          <w:p w14:paraId="088EE9E6" w14:textId="78CE17D0"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2.2 % of recurrent annual </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health (</w:t>
            </w:r>
            <w:proofErr w:type="spellStart"/>
            <w:r w:rsidR="00156C15" w:rsidRPr="001B16D1">
              <w:rPr>
                <w:rFonts w:cstheme="minorHAnsi"/>
                <w:sz w:val="18"/>
                <w:szCs w:val="18"/>
                <w:lang w:val="en-GB"/>
              </w:rPr>
              <w:t>MoHS</w:t>
            </w:r>
            <w:proofErr w:type="spellEnd"/>
            <w:r w:rsidRPr="001B16D1">
              <w:rPr>
                <w:rFonts w:cstheme="minorHAnsi"/>
                <w:sz w:val="18"/>
                <w:szCs w:val="18"/>
                <w:lang w:val="en-GB"/>
              </w:rPr>
              <w:t xml:space="preserve">) </w:t>
            </w:r>
            <w:r w:rsidRPr="001B16D1">
              <w:rPr>
                <w:rFonts w:cstheme="minorHAnsi"/>
                <w:color w:val="000000" w:themeColor="text1"/>
                <w:sz w:val="18"/>
                <w:szCs w:val="18"/>
                <w:lang w:val="en-GB"/>
              </w:rPr>
              <w:t xml:space="preserve">recurrent budget allocated to NCD Directorate </w:t>
            </w:r>
          </w:p>
        </w:tc>
        <w:tc>
          <w:tcPr>
            <w:tcW w:w="11624" w:type="dxa"/>
            <w:shd w:val="clear" w:color="auto" w:fill="auto"/>
            <w:hideMark/>
          </w:tcPr>
          <w:p w14:paraId="6DAFC22B" w14:textId="33BBCF6F"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 of recurrent annual </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health (</w:t>
            </w:r>
            <w:proofErr w:type="spellStart"/>
            <w:r w:rsidR="00156C15" w:rsidRPr="001B16D1">
              <w:rPr>
                <w:rFonts w:cstheme="minorHAnsi"/>
                <w:sz w:val="18"/>
                <w:szCs w:val="18"/>
                <w:lang w:val="en-GB"/>
              </w:rPr>
              <w:t>MoHS</w:t>
            </w:r>
            <w:proofErr w:type="spellEnd"/>
            <w:r w:rsidRPr="001B16D1">
              <w:rPr>
                <w:rFonts w:cstheme="minorHAnsi"/>
                <w:sz w:val="18"/>
                <w:szCs w:val="18"/>
                <w:lang w:val="en-GB"/>
              </w:rPr>
              <w:t xml:space="preserve">) budget allocated to NCDs </w:t>
            </w:r>
          </w:p>
          <w:p w14:paraId="0AB8CC82" w14:textId="20FCDC9A"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Numerator: Total amount for NCD Directorate in recurrent annual </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health (</w:t>
            </w:r>
            <w:proofErr w:type="spellStart"/>
            <w:r w:rsidR="00156C15" w:rsidRPr="001B16D1">
              <w:rPr>
                <w:rFonts w:cstheme="minorHAnsi"/>
                <w:sz w:val="18"/>
                <w:szCs w:val="18"/>
                <w:lang w:val="en-GB"/>
              </w:rPr>
              <w:t>MoHS</w:t>
            </w:r>
            <w:proofErr w:type="spellEnd"/>
            <w:r w:rsidRPr="001B16D1">
              <w:rPr>
                <w:rFonts w:cstheme="minorHAnsi"/>
                <w:sz w:val="18"/>
                <w:szCs w:val="18"/>
                <w:lang w:val="en-GB"/>
              </w:rPr>
              <w:t>) budget for NCDs</w:t>
            </w:r>
            <w:r w:rsidRPr="001B16D1">
              <w:rPr>
                <w:rFonts w:cstheme="minorHAnsi"/>
                <w:sz w:val="18"/>
                <w:szCs w:val="18"/>
                <w:lang w:val="en-GB"/>
              </w:rPr>
              <w:br/>
              <w:t xml:space="preserve">Denominator: Total amount of recurrent annual </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health (</w:t>
            </w:r>
            <w:proofErr w:type="spellStart"/>
            <w:r w:rsidR="00156C15" w:rsidRPr="001B16D1">
              <w:rPr>
                <w:rFonts w:cstheme="minorHAnsi"/>
                <w:sz w:val="18"/>
                <w:szCs w:val="18"/>
                <w:lang w:val="en-GB"/>
              </w:rPr>
              <w:t>MoHS</w:t>
            </w:r>
            <w:proofErr w:type="spellEnd"/>
            <w:r w:rsidRPr="001B16D1">
              <w:rPr>
                <w:rFonts w:cstheme="minorHAnsi"/>
                <w:sz w:val="18"/>
                <w:szCs w:val="18"/>
                <w:lang w:val="en-GB"/>
              </w:rPr>
              <w:t>) budget</w:t>
            </w:r>
            <w:r w:rsidRPr="001B16D1">
              <w:rPr>
                <w:rFonts w:cstheme="minorHAnsi"/>
                <w:sz w:val="18"/>
                <w:szCs w:val="18"/>
                <w:lang w:val="en-GB"/>
              </w:rPr>
              <w:br/>
              <w:t>Calculation: Numerator / Denominator * 100%</w:t>
            </w:r>
          </w:p>
          <w:p w14:paraId="6E8A457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Note: excluding capital part of the budget from the calculation.</w:t>
            </w:r>
          </w:p>
        </w:tc>
      </w:tr>
      <w:tr w:rsidR="00FA2345" w:rsidRPr="00610088" w14:paraId="7ECB0002" w14:textId="77777777" w:rsidTr="006837ED">
        <w:trPr>
          <w:trHeight w:val="397"/>
        </w:trPr>
        <w:tc>
          <w:tcPr>
            <w:tcW w:w="3397" w:type="dxa"/>
            <w:shd w:val="clear" w:color="auto" w:fill="auto"/>
            <w:hideMark/>
          </w:tcPr>
          <w:p w14:paraId="38AD2E5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2.3 Nr of local councils (city/district) that have NCD activity budget line in their annual health budget</w:t>
            </w:r>
          </w:p>
        </w:tc>
        <w:tc>
          <w:tcPr>
            <w:tcW w:w="11624" w:type="dxa"/>
            <w:shd w:val="clear" w:color="auto" w:fill="auto"/>
            <w:hideMark/>
          </w:tcPr>
          <w:p w14:paraId="66D726B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local councils (city, district) that have NCD activity budget line in their annual health budget</w:t>
            </w:r>
          </w:p>
        </w:tc>
      </w:tr>
      <w:tr w:rsidR="00FA2345" w:rsidRPr="00610088" w14:paraId="5D124407" w14:textId="77777777" w:rsidTr="006837ED">
        <w:trPr>
          <w:trHeight w:val="397"/>
        </w:trPr>
        <w:tc>
          <w:tcPr>
            <w:tcW w:w="3397" w:type="dxa"/>
            <w:shd w:val="clear" w:color="auto" w:fill="auto"/>
            <w:hideMark/>
          </w:tcPr>
          <w:p w14:paraId="5667E45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2.4 Increased number of non-</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donors for NCD activities*</w:t>
            </w:r>
          </w:p>
        </w:tc>
        <w:tc>
          <w:tcPr>
            <w:tcW w:w="11624" w:type="dxa"/>
            <w:shd w:val="clear" w:color="auto" w:fill="auto"/>
            <w:hideMark/>
          </w:tcPr>
          <w:p w14:paraId="6AAFF30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Percentual increase of the number of non-</w:t>
            </w:r>
            <w:proofErr w:type="spellStart"/>
            <w:r w:rsidRPr="001B16D1">
              <w:rPr>
                <w:rFonts w:cstheme="minorHAnsi"/>
                <w:sz w:val="18"/>
                <w:szCs w:val="18"/>
                <w:lang w:val="en-GB"/>
              </w:rPr>
              <w:t>GoSL</w:t>
            </w:r>
            <w:proofErr w:type="spellEnd"/>
            <w:r w:rsidRPr="001B16D1">
              <w:rPr>
                <w:rFonts w:cstheme="minorHAnsi"/>
                <w:sz w:val="18"/>
                <w:szCs w:val="18"/>
                <w:lang w:val="en-GB"/>
              </w:rPr>
              <w:t xml:space="preserve"> NCD donors</w:t>
            </w:r>
          </w:p>
          <w:p w14:paraId="7B0A9B45" w14:textId="7EC1B60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donors in last 12 months Denominator: number of donors at baseline</w:t>
            </w:r>
            <w:r w:rsidRPr="001B16D1">
              <w:rPr>
                <w:rFonts w:cstheme="minorHAnsi"/>
                <w:sz w:val="18"/>
                <w:szCs w:val="18"/>
                <w:lang w:val="en-GB"/>
              </w:rPr>
              <w:br/>
              <w:t>*will also try to monitor funding amounts as far as possible</w:t>
            </w:r>
          </w:p>
        </w:tc>
      </w:tr>
      <w:tr w:rsidR="00FA2345" w:rsidRPr="00610088" w14:paraId="1482E313" w14:textId="77777777" w:rsidTr="006837ED">
        <w:trPr>
          <w:trHeight w:val="397"/>
        </w:trPr>
        <w:tc>
          <w:tcPr>
            <w:tcW w:w="3397" w:type="dxa"/>
            <w:shd w:val="clear" w:color="auto" w:fill="auto"/>
            <w:hideMark/>
          </w:tcPr>
          <w:p w14:paraId="4D86745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3.1 Updated NCD message guide </w:t>
            </w:r>
          </w:p>
        </w:tc>
        <w:tc>
          <w:tcPr>
            <w:tcW w:w="11624" w:type="dxa"/>
            <w:shd w:val="clear" w:color="auto" w:fill="auto"/>
            <w:hideMark/>
          </w:tcPr>
          <w:p w14:paraId="3A2AF9B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NCD message guide with update in the last 24 months</w:t>
            </w:r>
          </w:p>
        </w:tc>
      </w:tr>
      <w:tr w:rsidR="00FA2345" w:rsidRPr="00610088" w14:paraId="593ED24A" w14:textId="77777777" w:rsidTr="006837ED">
        <w:trPr>
          <w:trHeight w:val="397"/>
        </w:trPr>
        <w:tc>
          <w:tcPr>
            <w:tcW w:w="3397" w:type="dxa"/>
            <w:shd w:val="clear" w:color="auto" w:fill="auto"/>
            <w:hideMark/>
          </w:tcPr>
          <w:p w14:paraId="59995E4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3.2 Proportion of districts where at least 90% of PHU have posters and reading materials to promoted prevention of NCDs</w:t>
            </w:r>
          </w:p>
        </w:tc>
        <w:tc>
          <w:tcPr>
            <w:tcW w:w="11624" w:type="dxa"/>
            <w:shd w:val="clear" w:color="auto" w:fill="auto"/>
            <w:hideMark/>
          </w:tcPr>
          <w:p w14:paraId="6BC1B09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w:t>
            </w:r>
            <w:r w:rsidRPr="001B16D1">
              <w:rPr>
                <w:rFonts w:cstheme="minorHAnsi"/>
                <w:color w:val="000000" w:themeColor="text1"/>
                <w:sz w:val="18"/>
                <w:szCs w:val="18"/>
                <w:lang w:val="en-GB"/>
              </w:rPr>
              <w:t xml:space="preserve">: </w:t>
            </w:r>
            <w:r w:rsidRPr="001B16D1">
              <w:rPr>
                <w:rFonts w:cstheme="minorHAnsi"/>
                <w:sz w:val="18"/>
                <w:szCs w:val="18"/>
                <w:lang w:val="en-GB"/>
              </w:rPr>
              <w:t xml:space="preserve">Number of districts where at least 90% of PHUs have posters and reading materials to educate visitors to promote prevention of NCDs (Tobacco, alcohol, diet, etc.). </w:t>
            </w:r>
          </w:p>
        </w:tc>
      </w:tr>
      <w:tr w:rsidR="00FA2345" w:rsidRPr="00610088" w14:paraId="367823FD" w14:textId="77777777" w:rsidTr="006837ED">
        <w:trPr>
          <w:trHeight w:val="397"/>
        </w:trPr>
        <w:tc>
          <w:tcPr>
            <w:tcW w:w="3397" w:type="dxa"/>
            <w:shd w:val="clear" w:color="auto" w:fill="auto"/>
            <w:hideMark/>
          </w:tcPr>
          <w:p w14:paraId="220E3A6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3.3 Number of public awareness/ education activities </w:t>
            </w:r>
          </w:p>
        </w:tc>
        <w:tc>
          <w:tcPr>
            <w:tcW w:w="11624" w:type="dxa"/>
            <w:shd w:val="clear" w:color="auto" w:fill="auto"/>
            <w:hideMark/>
          </w:tcPr>
          <w:p w14:paraId="16E4190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Number of Public awareness/education activities at district level (16 districts) about modifiable NCD risk factors and the incidence, prevalence and impact of NCDs aiming at behaviour change (using the IEC/BCC strategy) by the NCD Directorate and its partners in the past 12 months. </w:t>
            </w:r>
          </w:p>
        </w:tc>
      </w:tr>
      <w:tr w:rsidR="00FA2345" w:rsidRPr="00610088" w14:paraId="4F1A8A7D" w14:textId="77777777" w:rsidTr="006837ED">
        <w:trPr>
          <w:trHeight w:val="397"/>
        </w:trPr>
        <w:tc>
          <w:tcPr>
            <w:tcW w:w="3397" w:type="dxa"/>
            <w:shd w:val="clear" w:color="auto" w:fill="auto"/>
            <w:hideMark/>
          </w:tcPr>
          <w:p w14:paraId="17E7F2B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3.4 Adult Per Capita Consumption of alcohol</w:t>
            </w:r>
          </w:p>
        </w:tc>
        <w:tc>
          <w:tcPr>
            <w:tcW w:w="11624" w:type="dxa"/>
            <w:shd w:val="clear" w:color="auto" w:fill="auto"/>
            <w:hideMark/>
          </w:tcPr>
          <w:p w14:paraId="3857E57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Consumption of pure alcohol (ethanol) in litres per person aged 15+ during one calendar year.  Numerator: Sum of recorded and unrecorded alcohol consumed in a population during a calendar year, in litres. </w:t>
            </w:r>
            <w:r w:rsidRPr="001B16D1">
              <w:rPr>
                <w:rFonts w:cstheme="minorHAnsi"/>
                <w:sz w:val="18"/>
                <w:szCs w:val="18"/>
                <w:lang w:val="en-GB"/>
              </w:rPr>
              <w:br/>
              <w:t xml:space="preserve">Denominator: </w:t>
            </w:r>
            <w:r w:rsidRPr="001B16D1">
              <w:rPr>
                <w:rFonts w:cstheme="minorHAnsi"/>
                <w:sz w:val="18"/>
                <w:szCs w:val="18"/>
                <w:lang w:val="en-GB"/>
              </w:rPr>
              <w:br/>
              <w:t xml:space="preserve">Midyear resident population aged 15+ for the same calendar year. </w:t>
            </w:r>
            <w:r w:rsidRPr="001B16D1">
              <w:rPr>
                <w:rFonts w:cstheme="minorHAnsi"/>
                <w:sz w:val="18"/>
                <w:szCs w:val="18"/>
                <w:lang w:val="en-GB"/>
              </w:rPr>
              <w:br/>
              <w:t>Calculation: Numerator/Denominator</w:t>
            </w:r>
          </w:p>
          <w:p w14:paraId="1F0C12C1" w14:textId="77777777" w:rsidR="00FA2345" w:rsidRPr="001B16D1" w:rsidRDefault="00FA2345" w:rsidP="00B645C7">
            <w:pPr>
              <w:pStyle w:val="NoSpacing"/>
              <w:rPr>
                <w:rFonts w:cstheme="minorHAnsi"/>
                <w:sz w:val="18"/>
                <w:szCs w:val="18"/>
                <w:lang w:val="en-GB"/>
              </w:rPr>
            </w:pPr>
          </w:p>
          <w:p w14:paraId="2D3832E2" w14:textId="77777777" w:rsidR="00FA2345" w:rsidRPr="001B16D1" w:rsidRDefault="00FA2345" w:rsidP="00B645C7">
            <w:pPr>
              <w:pStyle w:val="NoSpacing"/>
              <w:rPr>
                <w:rFonts w:cstheme="minorHAnsi"/>
                <w:sz w:val="18"/>
                <w:szCs w:val="18"/>
                <w:lang w:val="en-GB"/>
              </w:rPr>
            </w:pPr>
          </w:p>
        </w:tc>
      </w:tr>
      <w:tr w:rsidR="00FA2345" w:rsidRPr="00610088" w14:paraId="33CB23FE" w14:textId="77777777" w:rsidTr="006837ED">
        <w:trPr>
          <w:trHeight w:val="397"/>
        </w:trPr>
        <w:tc>
          <w:tcPr>
            <w:tcW w:w="3397" w:type="dxa"/>
            <w:shd w:val="clear" w:color="auto" w:fill="auto"/>
            <w:hideMark/>
          </w:tcPr>
          <w:p w14:paraId="50E9F27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3.5 Prevalence of heavy episodic drinking</w:t>
            </w:r>
          </w:p>
        </w:tc>
        <w:tc>
          <w:tcPr>
            <w:tcW w:w="11624" w:type="dxa"/>
            <w:shd w:val="clear" w:color="auto" w:fill="auto"/>
            <w:hideMark/>
          </w:tcPr>
          <w:p w14:paraId="3A07855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Heavy episodic drinking among survey respondents is defined as those who report drinking 6 (60 grams) or more standard drinks in a single drinking occasion </w:t>
            </w:r>
            <w:r w:rsidRPr="001B16D1">
              <w:rPr>
                <w:rFonts w:cstheme="minorHAnsi"/>
                <w:sz w:val="18"/>
                <w:szCs w:val="18"/>
                <w:lang w:val="en-GB"/>
              </w:rPr>
              <w:br/>
            </w:r>
            <w:r w:rsidRPr="001B16D1">
              <w:rPr>
                <w:rFonts w:cstheme="minorHAnsi"/>
                <w:sz w:val="18"/>
                <w:szCs w:val="18"/>
                <w:lang w:val="en-GB"/>
              </w:rPr>
              <w:lastRenderedPageBreak/>
              <w:t>Numerator: Number of persons reporting consuming 60 grams or more of pure alcohol on at least one occasion monthly</w:t>
            </w:r>
            <w:r w:rsidRPr="001B16D1">
              <w:rPr>
                <w:rFonts w:cstheme="minorHAnsi"/>
                <w:sz w:val="18"/>
                <w:szCs w:val="18"/>
                <w:lang w:val="en-GB"/>
              </w:rPr>
              <w:br/>
              <w:t>Denominator: All respondents of the survey</w:t>
            </w:r>
            <w:r w:rsidRPr="001B16D1">
              <w:rPr>
                <w:rFonts w:cstheme="minorHAnsi"/>
                <w:sz w:val="18"/>
                <w:szCs w:val="18"/>
                <w:lang w:val="en-GB"/>
              </w:rPr>
              <w:br/>
              <w:t>Calculation: Numerator/Denominator * 100%</w:t>
            </w:r>
          </w:p>
        </w:tc>
      </w:tr>
      <w:tr w:rsidR="00FA2345" w:rsidRPr="00610088" w14:paraId="643CFDCD" w14:textId="77777777" w:rsidTr="006837ED">
        <w:trPr>
          <w:trHeight w:val="397"/>
        </w:trPr>
        <w:tc>
          <w:tcPr>
            <w:tcW w:w="3397" w:type="dxa"/>
            <w:shd w:val="clear" w:color="auto" w:fill="auto"/>
            <w:hideMark/>
          </w:tcPr>
          <w:p w14:paraId="4943227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3.6 Prevalence of alcohol-related morbidity and mortality among adults and adolescents (10-19 years)</w:t>
            </w:r>
          </w:p>
        </w:tc>
        <w:tc>
          <w:tcPr>
            <w:tcW w:w="11624" w:type="dxa"/>
            <w:shd w:val="clear" w:color="auto" w:fill="auto"/>
            <w:hideMark/>
          </w:tcPr>
          <w:p w14:paraId="2F8F2EB7"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Adults and Adolescents (10-19 years) who suffer from disorders attributable to the consumption of alcohol (according to ICD-10: F10.1 Harmful use of alcohol; F10.2 Alcohol dependence) during a given calendar year. </w:t>
            </w:r>
          </w:p>
          <w:p w14:paraId="22FFEE6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adults (19+ years) and adolescents (10-19 years) with a diagnosis of F10. or F10.2 during a calendar year. Using the algorithms specified in the validated instruments, presence or absence of harmful use of alcohol or alcohol dependence can be determined. Alcohol Use Disorders (AUD) will be scored if either disease category is present.</w:t>
            </w:r>
            <w:r w:rsidRPr="001B16D1">
              <w:rPr>
                <w:rFonts w:cstheme="minorHAnsi"/>
                <w:sz w:val="18"/>
                <w:szCs w:val="18"/>
                <w:lang w:val="en-GB"/>
              </w:rPr>
              <w:br/>
              <w:t>Denominator: All respondents of the survey aged 10-19 (adolescents) and 19+ years (adults)</w:t>
            </w:r>
            <w:r w:rsidRPr="001B16D1">
              <w:rPr>
                <w:rFonts w:cstheme="minorHAnsi"/>
                <w:sz w:val="18"/>
                <w:szCs w:val="18"/>
                <w:lang w:val="en-GB"/>
              </w:rPr>
              <w:br/>
              <w:t>Calculation: Numerator/Denominator * 100%</w:t>
            </w:r>
          </w:p>
        </w:tc>
      </w:tr>
      <w:tr w:rsidR="00FA2345" w:rsidRPr="00610088" w14:paraId="367095A2" w14:textId="77777777" w:rsidTr="006837ED">
        <w:trPr>
          <w:trHeight w:val="397"/>
        </w:trPr>
        <w:tc>
          <w:tcPr>
            <w:tcW w:w="3397" w:type="dxa"/>
            <w:shd w:val="clear" w:color="auto" w:fill="auto"/>
            <w:hideMark/>
          </w:tcPr>
          <w:p w14:paraId="6FEB363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3.7 Prevalence of insufficiently physically active persons aged 18+ years</w:t>
            </w:r>
          </w:p>
        </w:tc>
        <w:tc>
          <w:tcPr>
            <w:tcW w:w="11624" w:type="dxa"/>
            <w:shd w:val="clear" w:color="auto" w:fill="auto"/>
            <w:hideMark/>
          </w:tcPr>
          <w:p w14:paraId="2D8C6C5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adults aged 18+ years </w:t>
            </w:r>
            <w:r w:rsidRPr="001B16D1">
              <w:rPr>
                <w:rFonts w:cstheme="minorHAnsi"/>
                <w:sz w:val="18"/>
                <w:szCs w:val="18"/>
                <w:u w:val="single"/>
                <w:lang w:val="en-GB"/>
              </w:rPr>
              <w:t xml:space="preserve">not </w:t>
            </w:r>
            <w:r w:rsidRPr="001B16D1">
              <w:rPr>
                <w:rFonts w:cstheme="minorHAnsi"/>
                <w:sz w:val="18"/>
                <w:szCs w:val="18"/>
                <w:lang w:val="en-GB"/>
              </w:rPr>
              <w:t>meeting any of the following criteria:</w:t>
            </w:r>
            <w:r w:rsidRPr="001B16D1">
              <w:rPr>
                <w:rFonts w:cstheme="minorHAnsi"/>
                <w:sz w:val="18"/>
                <w:szCs w:val="18"/>
                <w:lang w:val="en-GB"/>
              </w:rPr>
              <w:br/>
              <w:t>– 150 minutes of moderate-intensity physical activity per week</w:t>
            </w:r>
            <w:r w:rsidRPr="001B16D1">
              <w:rPr>
                <w:rFonts w:cstheme="minorHAnsi"/>
                <w:sz w:val="18"/>
                <w:szCs w:val="18"/>
                <w:lang w:val="en-GB"/>
              </w:rPr>
              <w:br/>
              <w:t>– 75 minutes of vigorous-intensity physical activity per week</w:t>
            </w:r>
            <w:r w:rsidRPr="001B16D1">
              <w:rPr>
                <w:rFonts w:cstheme="minorHAnsi"/>
                <w:sz w:val="18"/>
                <w:szCs w:val="18"/>
                <w:lang w:val="en-GB"/>
              </w:rPr>
              <w:br/>
              <w:t>– an equivalent combination of moderate- and vigorous-intensity physical activity accumulating at least 600 MET-minutes* per week</w:t>
            </w:r>
            <w:r w:rsidRPr="001B16D1">
              <w:rPr>
                <w:rFonts w:cstheme="minorHAnsi"/>
                <w:sz w:val="18"/>
                <w:szCs w:val="18"/>
                <w:lang w:val="en-GB"/>
              </w:rPr>
              <w:br/>
              <w:t>Minutes of physical activity can be accumulated over the course of a week but must be of a duration of at least 10 minutes.</w:t>
            </w:r>
            <w:r w:rsidRPr="001B16D1">
              <w:rPr>
                <w:rFonts w:cstheme="minorHAnsi"/>
                <w:sz w:val="18"/>
                <w:szCs w:val="18"/>
                <w:lang w:val="en-GB"/>
              </w:rPr>
              <w:br/>
              <w:t>*MET refers to metabolic equivalent. It is the ratio of a person's working metabolic rate relative to the resting metabolic rate. One MET is defined as the energy cost of sitting quietly and is equivalent to a caloric consumption of 1 kcal/kg/hour. Physical activities are frequently classified by their intensity, using the MET as a reference. Numerator:  Number of respondents where all 3 of the following criteria are true: (1) Weekly minutes* of vigorous activity &lt; 75 mins.</w:t>
            </w:r>
            <w:r w:rsidRPr="001B16D1">
              <w:rPr>
                <w:rFonts w:cstheme="minorHAnsi"/>
                <w:sz w:val="18"/>
                <w:szCs w:val="18"/>
                <w:lang w:val="en-GB"/>
              </w:rPr>
              <w:br/>
              <w:t>(2) Weekly minutes* of moderate activity &lt; 150 mins.</w:t>
            </w:r>
            <w:r w:rsidRPr="001B16D1">
              <w:rPr>
                <w:rFonts w:cstheme="minorHAnsi"/>
                <w:sz w:val="18"/>
                <w:szCs w:val="18"/>
                <w:lang w:val="en-GB"/>
              </w:rPr>
              <w:br/>
              <w:t>(3) Weekly MET-minutes** &lt; 600.</w:t>
            </w:r>
            <w:r w:rsidRPr="001B16D1">
              <w:rPr>
                <w:rFonts w:cstheme="minorHAnsi"/>
                <w:sz w:val="18"/>
                <w:szCs w:val="18"/>
                <w:lang w:val="en-GB"/>
              </w:rPr>
              <w:br/>
              <w:t>* Weekly minutes is calculated by multiplying the number of days on which vigorous/moderate is done by the number of minutes of vigorous/moderate activity per day.</w:t>
            </w:r>
            <w:r w:rsidRPr="001B16D1">
              <w:rPr>
                <w:rFonts w:cstheme="minorHAnsi"/>
                <w:sz w:val="18"/>
                <w:szCs w:val="18"/>
                <w:lang w:val="en-GB"/>
              </w:rPr>
              <w:br/>
              <w:t>** Weekly MET-minutes is calculated by multiplying the weekly minutes of vigorous activity by 8 and the number of weekly minutes of moderate activity by 4 and then adding these two results together.</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Numerator/Denominator * 100%</w:t>
            </w:r>
          </w:p>
        </w:tc>
      </w:tr>
      <w:tr w:rsidR="00FA2345" w:rsidRPr="00610088" w14:paraId="67825E38" w14:textId="77777777" w:rsidTr="006837ED">
        <w:trPr>
          <w:trHeight w:val="397"/>
        </w:trPr>
        <w:tc>
          <w:tcPr>
            <w:tcW w:w="3397" w:type="dxa"/>
            <w:shd w:val="clear" w:color="auto" w:fill="auto"/>
            <w:hideMark/>
          </w:tcPr>
          <w:p w14:paraId="006E24A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3.8 Age-standardized mean population intake of salt (sodium chloride) per day in grams in persons aged 18+ years</w:t>
            </w:r>
          </w:p>
        </w:tc>
        <w:tc>
          <w:tcPr>
            <w:tcW w:w="11624" w:type="dxa"/>
            <w:shd w:val="clear" w:color="auto" w:fill="auto"/>
            <w:hideMark/>
          </w:tcPr>
          <w:p w14:paraId="1C7FC11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Mean population intake of salt in grams Numerator: Sum of sodium excretion in urine samples from all respondents aged 18+years. The gold- standard for estimating salt intake is through 24-hour urine collection, however other methods such as spot urines and food frequency surveys may be more feasible to administer at the population level.</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 / Denominator</w:t>
            </w:r>
          </w:p>
        </w:tc>
      </w:tr>
      <w:tr w:rsidR="00FA2345" w:rsidRPr="00610088" w14:paraId="5233E447" w14:textId="77777777" w:rsidTr="006837ED">
        <w:trPr>
          <w:trHeight w:val="397"/>
        </w:trPr>
        <w:tc>
          <w:tcPr>
            <w:tcW w:w="3397" w:type="dxa"/>
            <w:shd w:val="clear" w:color="auto" w:fill="auto"/>
            <w:hideMark/>
          </w:tcPr>
          <w:p w14:paraId="452AB26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3.9 Age-standardized prevalence of current tobacco use among persons aged 18+ years</w:t>
            </w:r>
          </w:p>
        </w:tc>
        <w:tc>
          <w:tcPr>
            <w:tcW w:w="11624" w:type="dxa"/>
            <w:shd w:val="clear" w:color="auto" w:fill="auto"/>
            <w:hideMark/>
          </w:tcPr>
          <w:p w14:paraId="120B481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Age-standardized prevalence of current tobacco use among persons aged 18+ years </w:t>
            </w:r>
            <w:r w:rsidRPr="001B16D1">
              <w:rPr>
                <w:rFonts w:cstheme="minorHAnsi"/>
                <w:sz w:val="18"/>
                <w:szCs w:val="18"/>
                <w:lang w:val="en-GB"/>
              </w:rPr>
              <w:br/>
              <w:t>“Smoked tobacco products” includes the consumption of cigarettes, bidis, cigars, cheroots,</w:t>
            </w:r>
            <w:r w:rsidRPr="001B16D1">
              <w:rPr>
                <w:rFonts w:cstheme="minorHAnsi"/>
                <w:sz w:val="18"/>
                <w:szCs w:val="18"/>
                <w:lang w:val="en-GB"/>
              </w:rPr>
              <w:br/>
              <w:t xml:space="preserve">pipes, shisha (water pipes), fine-cut smoking articles (roll-your-own), </w:t>
            </w:r>
            <w:proofErr w:type="spellStart"/>
            <w:r w:rsidRPr="001B16D1">
              <w:rPr>
                <w:rFonts w:cstheme="minorHAnsi"/>
                <w:sz w:val="18"/>
                <w:szCs w:val="18"/>
                <w:lang w:val="en-GB"/>
              </w:rPr>
              <w:t>krekets</w:t>
            </w:r>
            <w:proofErr w:type="spellEnd"/>
            <w:r w:rsidRPr="001B16D1">
              <w:rPr>
                <w:rFonts w:cstheme="minorHAnsi"/>
                <w:sz w:val="18"/>
                <w:szCs w:val="18"/>
                <w:lang w:val="en-GB"/>
              </w:rPr>
              <w:t>, and any other form of smoked tobacco.</w:t>
            </w:r>
            <w:r w:rsidRPr="001B16D1">
              <w:rPr>
                <w:rFonts w:cstheme="minorHAnsi"/>
                <w:sz w:val="18"/>
                <w:szCs w:val="18"/>
                <w:lang w:val="en-GB"/>
              </w:rPr>
              <w:br/>
              <w:t xml:space="preserve">"Smokeless tobacco" includes moist snuff, plug, creamy snuff, </w:t>
            </w:r>
            <w:proofErr w:type="spellStart"/>
            <w:r w:rsidRPr="001B16D1">
              <w:rPr>
                <w:rFonts w:cstheme="minorHAnsi"/>
                <w:sz w:val="18"/>
                <w:szCs w:val="18"/>
                <w:lang w:val="en-GB"/>
              </w:rPr>
              <w:t>dissolvables</w:t>
            </w:r>
            <w:proofErr w:type="spellEnd"/>
            <w:r w:rsidRPr="001B16D1">
              <w:rPr>
                <w:rFonts w:cstheme="minorHAnsi"/>
                <w:sz w:val="18"/>
                <w:szCs w:val="18"/>
                <w:lang w:val="en-GB"/>
              </w:rPr>
              <w:t xml:space="preserve">, dry snuff, gul, loose leaf, red tooth powder, snus, </w:t>
            </w:r>
            <w:proofErr w:type="spellStart"/>
            <w:r w:rsidRPr="001B16D1">
              <w:rPr>
                <w:rFonts w:cstheme="minorHAnsi"/>
                <w:sz w:val="18"/>
                <w:szCs w:val="18"/>
                <w:lang w:val="en-GB"/>
              </w:rPr>
              <w:t>chimo</w:t>
            </w:r>
            <w:proofErr w:type="spellEnd"/>
            <w:r w:rsidRPr="001B16D1">
              <w:rPr>
                <w:rFonts w:cstheme="minorHAnsi"/>
                <w:sz w:val="18"/>
                <w:szCs w:val="18"/>
                <w:lang w:val="en-GB"/>
              </w:rPr>
              <w:t xml:space="preserve">, </w:t>
            </w:r>
            <w:proofErr w:type="spellStart"/>
            <w:r w:rsidRPr="001B16D1">
              <w:rPr>
                <w:rFonts w:cstheme="minorHAnsi"/>
                <w:sz w:val="18"/>
                <w:szCs w:val="18"/>
                <w:lang w:val="en-GB"/>
              </w:rPr>
              <w:t>gutkha</w:t>
            </w:r>
            <w:proofErr w:type="spellEnd"/>
            <w:r w:rsidRPr="001B16D1">
              <w:rPr>
                <w:rFonts w:cstheme="minorHAnsi"/>
                <w:sz w:val="18"/>
                <w:szCs w:val="18"/>
                <w:lang w:val="en-GB"/>
              </w:rPr>
              <w:t xml:space="preserve">, khaini, </w:t>
            </w:r>
            <w:proofErr w:type="spellStart"/>
            <w:r w:rsidRPr="001B16D1">
              <w:rPr>
                <w:rFonts w:cstheme="minorHAnsi"/>
                <w:sz w:val="18"/>
                <w:szCs w:val="18"/>
                <w:lang w:val="en-GB"/>
              </w:rPr>
              <w:t>gudakhu</w:t>
            </w:r>
            <w:proofErr w:type="spellEnd"/>
            <w:r w:rsidRPr="001B16D1">
              <w:rPr>
                <w:rFonts w:cstheme="minorHAnsi"/>
                <w:sz w:val="18"/>
                <w:szCs w:val="18"/>
                <w:lang w:val="en-GB"/>
              </w:rPr>
              <w:t xml:space="preserve">, </w:t>
            </w:r>
            <w:proofErr w:type="spellStart"/>
            <w:r w:rsidRPr="001B16D1">
              <w:rPr>
                <w:rFonts w:cstheme="minorHAnsi"/>
                <w:sz w:val="18"/>
                <w:szCs w:val="18"/>
                <w:lang w:val="en-GB"/>
              </w:rPr>
              <w:t>zarda</w:t>
            </w:r>
            <w:proofErr w:type="spellEnd"/>
            <w:r w:rsidRPr="001B16D1">
              <w:rPr>
                <w:rFonts w:cstheme="minorHAnsi"/>
                <w:sz w:val="18"/>
                <w:szCs w:val="18"/>
                <w:lang w:val="en-GB"/>
              </w:rPr>
              <w:t xml:space="preserve">, </w:t>
            </w:r>
            <w:proofErr w:type="spellStart"/>
            <w:r w:rsidRPr="001B16D1">
              <w:rPr>
                <w:rFonts w:cstheme="minorHAnsi"/>
                <w:sz w:val="18"/>
                <w:szCs w:val="18"/>
                <w:lang w:val="en-GB"/>
              </w:rPr>
              <w:t>quiwam</w:t>
            </w:r>
            <w:proofErr w:type="spellEnd"/>
            <w:r w:rsidRPr="001B16D1">
              <w:rPr>
                <w:rFonts w:cstheme="minorHAnsi"/>
                <w:sz w:val="18"/>
                <w:szCs w:val="18"/>
                <w:lang w:val="en-GB"/>
              </w:rPr>
              <w:t xml:space="preserve">, </w:t>
            </w:r>
            <w:proofErr w:type="spellStart"/>
            <w:r w:rsidRPr="001B16D1">
              <w:rPr>
                <w:rFonts w:cstheme="minorHAnsi"/>
                <w:sz w:val="18"/>
                <w:szCs w:val="18"/>
                <w:lang w:val="en-GB"/>
              </w:rPr>
              <w:t>dohra</w:t>
            </w:r>
            <w:proofErr w:type="spellEnd"/>
            <w:r w:rsidRPr="001B16D1">
              <w:rPr>
                <w:rFonts w:cstheme="minorHAnsi"/>
                <w:sz w:val="18"/>
                <w:szCs w:val="18"/>
                <w:lang w:val="en-GB"/>
              </w:rPr>
              <w:t xml:space="preserve">, </w:t>
            </w:r>
            <w:proofErr w:type="spellStart"/>
            <w:r w:rsidRPr="001B16D1">
              <w:rPr>
                <w:rFonts w:cstheme="minorHAnsi"/>
                <w:sz w:val="18"/>
                <w:szCs w:val="18"/>
                <w:lang w:val="en-GB"/>
              </w:rPr>
              <w:t>tuibur</w:t>
            </w:r>
            <w:proofErr w:type="spellEnd"/>
            <w:r w:rsidRPr="001B16D1">
              <w:rPr>
                <w:rFonts w:cstheme="minorHAnsi"/>
                <w:sz w:val="18"/>
                <w:szCs w:val="18"/>
                <w:lang w:val="en-GB"/>
              </w:rPr>
              <w:t xml:space="preserve">, </w:t>
            </w:r>
            <w:proofErr w:type="spellStart"/>
            <w:r w:rsidRPr="001B16D1">
              <w:rPr>
                <w:rFonts w:cstheme="minorHAnsi"/>
                <w:sz w:val="18"/>
                <w:szCs w:val="18"/>
                <w:lang w:val="en-GB"/>
              </w:rPr>
              <w:t>nasway</w:t>
            </w:r>
            <w:proofErr w:type="spellEnd"/>
            <w:r w:rsidRPr="001B16D1">
              <w:rPr>
                <w:rFonts w:cstheme="minorHAnsi"/>
                <w:sz w:val="18"/>
                <w:szCs w:val="18"/>
                <w:lang w:val="en-GB"/>
              </w:rPr>
              <w:t xml:space="preserve">, </w:t>
            </w:r>
            <w:proofErr w:type="spellStart"/>
            <w:r w:rsidRPr="001B16D1">
              <w:rPr>
                <w:rFonts w:cstheme="minorHAnsi"/>
                <w:sz w:val="18"/>
                <w:szCs w:val="18"/>
                <w:lang w:val="en-GB"/>
              </w:rPr>
              <w:t>naas</w:t>
            </w:r>
            <w:proofErr w:type="spellEnd"/>
            <w:r w:rsidRPr="001B16D1">
              <w:rPr>
                <w:rFonts w:cstheme="minorHAnsi"/>
                <w:sz w:val="18"/>
                <w:szCs w:val="18"/>
                <w:lang w:val="en-GB"/>
              </w:rPr>
              <w:t>/</w:t>
            </w:r>
            <w:proofErr w:type="spellStart"/>
            <w:r w:rsidRPr="001B16D1">
              <w:rPr>
                <w:rFonts w:cstheme="minorHAnsi"/>
                <w:sz w:val="18"/>
                <w:szCs w:val="18"/>
                <w:lang w:val="en-GB"/>
              </w:rPr>
              <w:t>naswar</w:t>
            </w:r>
            <w:proofErr w:type="spellEnd"/>
            <w:r w:rsidRPr="001B16D1">
              <w:rPr>
                <w:rFonts w:cstheme="minorHAnsi"/>
                <w:sz w:val="18"/>
                <w:szCs w:val="18"/>
                <w:lang w:val="en-GB"/>
              </w:rPr>
              <w:t xml:space="preserve">, </w:t>
            </w:r>
            <w:proofErr w:type="spellStart"/>
            <w:r w:rsidRPr="001B16D1">
              <w:rPr>
                <w:rFonts w:cstheme="minorHAnsi"/>
                <w:sz w:val="18"/>
                <w:szCs w:val="18"/>
                <w:lang w:val="en-GB"/>
              </w:rPr>
              <w:t>shammah</w:t>
            </w:r>
            <w:proofErr w:type="spellEnd"/>
            <w:r w:rsidRPr="001B16D1">
              <w:rPr>
                <w:rFonts w:cstheme="minorHAnsi"/>
                <w:sz w:val="18"/>
                <w:szCs w:val="18"/>
                <w:lang w:val="en-GB"/>
              </w:rPr>
              <w:t xml:space="preserve">, betel quid, </w:t>
            </w:r>
            <w:proofErr w:type="spellStart"/>
            <w:r w:rsidRPr="001B16D1">
              <w:rPr>
                <w:rFonts w:cstheme="minorHAnsi"/>
                <w:sz w:val="18"/>
                <w:szCs w:val="18"/>
                <w:lang w:val="en-GB"/>
              </w:rPr>
              <w:t>toombak</w:t>
            </w:r>
            <w:proofErr w:type="spellEnd"/>
            <w:r w:rsidRPr="001B16D1">
              <w:rPr>
                <w:rFonts w:cstheme="minorHAnsi"/>
                <w:sz w:val="18"/>
                <w:szCs w:val="18"/>
                <w:lang w:val="en-GB"/>
              </w:rPr>
              <w:t xml:space="preserve">, pan (betel quid), </w:t>
            </w:r>
            <w:proofErr w:type="spellStart"/>
            <w:r w:rsidRPr="001B16D1">
              <w:rPr>
                <w:rFonts w:cstheme="minorHAnsi"/>
                <w:sz w:val="18"/>
                <w:szCs w:val="18"/>
                <w:lang w:val="en-GB"/>
              </w:rPr>
              <w:t>iq’mik</w:t>
            </w:r>
            <w:proofErr w:type="spellEnd"/>
            <w:r w:rsidRPr="001B16D1">
              <w:rPr>
                <w:rFonts w:cstheme="minorHAnsi"/>
                <w:sz w:val="18"/>
                <w:szCs w:val="18"/>
                <w:lang w:val="en-GB"/>
              </w:rPr>
              <w:t xml:space="preserve">, </w:t>
            </w:r>
            <w:proofErr w:type="spellStart"/>
            <w:r w:rsidRPr="001B16D1">
              <w:rPr>
                <w:rFonts w:cstheme="minorHAnsi"/>
                <w:sz w:val="18"/>
                <w:szCs w:val="18"/>
                <w:lang w:val="en-GB"/>
              </w:rPr>
              <w:t>mishri</w:t>
            </w:r>
            <w:proofErr w:type="spellEnd"/>
            <w:r w:rsidRPr="001B16D1">
              <w:rPr>
                <w:rFonts w:cstheme="minorHAnsi"/>
                <w:sz w:val="18"/>
                <w:szCs w:val="18"/>
                <w:lang w:val="en-GB"/>
              </w:rPr>
              <w:t xml:space="preserve">, </w:t>
            </w:r>
            <w:proofErr w:type="spellStart"/>
            <w:r w:rsidRPr="001B16D1">
              <w:rPr>
                <w:rFonts w:cstheme="minorHAnsi"/>
                <w:sz w:val="18"/>
                <w:szCs w:val="18"/>
                <w:lang w:val="en-GB"/>
              </w:rPr>
              <w:t>tapkeer</w:t>
            </w:r>
            <w:proofErr w:type="spellEnd"/>
            <w:r w:rsidRPr="001B16D1">
              <w:rPr>
                <w:rFonts w:cstheme="minorHAnsi"/>
                <w:sz w:val="18"/>
                <w:szCs w:val="18"/>
                <w:lang w:val="en-GB"/>
              </w:rPr>
              <w:t xml:space="preserve">, </w:t>
            </w:r>
            <w:proofErr w:type="spellStart"/>
            <w:r w:rsidRPr="001B16D1">
              <w:rPr>
                <w:rFonts w:cstheme="minorHAnsi"/>
                <w:sz w:val="18"/>
                <w:szCs w:val="18"/>
                <w:lang w:val="en-GB"/>
              </w:rPr>
              <w:t>tombol</w:t>
            </w:r>
            <w:proofErr w:type="spellEnd"/>
            <w:r w:rsidRPr="001B16D1">
              <w:rPr>
                <w:rFonts w:cstheme="minorHAnsi"/>
                <w:sz w:val="18"/>
                <w:szCs w:val="18"/>
                <w:lang w:val="en-GB"/>
              </w:rPr>
              <w:t xml:space="preserve"> and any other tobacco product that is sniffed, held in the mouth, or chewed. Numerator: Number of current tobacco users aged 18+ years. “Current users” includes </w:t>
            </w:r>
            <w:r w:rsidRPr="001B16D1">
              <w:rPr>
                <w:rFonts w:cstheme="minorHAnsi"/>
                <w:sz w:val="18"/>
                <w:szCs w:val="18"/>
                <w:lang w:val="en-GB"/>
              </w:rPr>
              <w:lastRenderedPageBreak/>
              <w:t>both daily and non-daily users or smoked or smokeless tobacco.</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Numerator/Denominator * 100%</w:t>
            </w:r>
          </w:p>
        </w:tc>
      </w:tr>
      <w:tr w:rsidR="00FA2345" w:rsidRPr="00610088" w14:paraId="2DBA7BBE" w14:textId="77777777" w:rsidTr="006837ED">
        <w:trPr>
          <w:trHeight w:val="397"/>
        </w:trPr>
        <w:tc>
          <w:tcPr>
            <w:tcW w:w="3397" w:type="dxa"/>
            <w:shd w:val="clear" w:color="auto" w:fill="auto"/>
            <w:hideMark/>
          </w:tcPr>
          <w:p w14:paraId="64AC8CC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3.10 Age-standardized prevalence of raised blood pressure among persons aged 18+ years</w:t>
            </w:r>
          </w:p>
        </w:tc>
        <w:tc>
          <w:tcPr>
            <w:tcW w:w="11624" w:type="dxa"/>
            <w:shd w:val="clear" w:color="auto" w:fill="auto"/>
            <w:hideMark/>
          </w:tcPr>
          <w:p w14:paraId="4AA1153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Systolic blood pressure ≥140 and/or diastolic blood pressure ≥90 among persons aged 18+ years. </w:t>
            </w:r>
          </w:p>
          <w:p w14:paraId="20B6D86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respondents with systolic blood pressure ≥140mmHg or diastolic blood pressure ≥90mmHg. Ideally three blood pressure measurements should be taken and the average systolic and diastolic readings of the second and third measures should be used in this calculation.</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Numerator/Denominator * 100%</w:t>
            </w:r>
          </w:p>
        </w:tc>
      </w:tr>
      <w:tr w:rsidR="00FA2345" w:rsidRPr="00610088" w14:paraId="78BED902" w14:textId="77777777" w:rsidTr="006837ED">
        <w:trPr>
          <w:trHeight w:val="397"/>
        </w:trPr>
        <w:tc>
          <w:tcPr>
            <w:tcW w:w="3397" w:type="dxa"/>
            <w:shd w:val="clear" w:color="auto" w:fill="auto"/>
            <w:hideMark/>
          </w:tcPr>
          <w:p w14:paraId="6FFBC1F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3.11 Age-standardized mean systolic blood pressure in persons aged 18+ years</w:t>
            </w:r>
          </w:p>
        </w:tc>
        <w:tc>
          <w:tcPr>
            <w:tcW w:w="11624" w:type="dxa"/>
            <w:shd w:val="clear" w:color="auto" w:fill="auto"/>
            <w:hideMark/>
          </w:tcPr>
          <w:p w14:paraId="284D953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Mean systolic blood pressure in persons aged 18+ years </w:t>
            </w:r>
          </w:p>
          <w:p w14:paraId="436279D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Sum of systolic blood pressure from all participants aged 18+ years. Ideally three blood pressure measurements should be taken and the average systolic reading of the second and third measures should be used in this calculation.</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 Denominator</w:t>
            </w:r>
          </w:p>
        </w:tc>
      </w:tr>
      <w:tr w:rsidR="00FA2345" w:rsidRPr="00610088" w14:paraId="55D9CF4F" w14:textId="77777777" w:rsidTr="006837ED">
        <w:trPr>
          <w:trHeight w:val="397"/>
        </w:trPr>
        <w:tc>
          <w:tcPr>
            <w:tcW w:w="3397" w:type="dxa"/>
            <w:shd w:val="clear" w:color="auto" w:fill="auto"/>
            <w:hideMark/>
          </w:tcPr>
          <w:p w14:paraId="00A5B87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3.12 Age-standardized prevalence of raised blood glucose/diabetes among persons aged 18+ years or on medication for raised blood glucose</w:t>
            </w:r>
          </w:p>
        </w:tc>
        <w:tc>
          <w:tcPr>
            <w:tcW w:w="11624" w:type="dxa"/>
            <w:shd w:val="clear" w:color="auto" w:fill="auto"/>
            <w:hideMark/>
          </w:tcPr>
          <w:p w14:paraId="70A1F6D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Fasting plasma glucose value ≥7.0 mmol/L (126 mg/dl) or on medication for raised blood glucose among adults aged 18+ years. </w:t>
            </w:r>
          </w:p>
          <w:p w14:paraId="1087282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respondents aged 18+ years with fasting plasma glucose value ≥7.0 mmol/L (126 mg/dl) or on medication for raised blood glucose. Fasting blood glucose must be measured, not self-reported, and measurements must be taken after the person has fasted for at least eight hours.</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Numerator/Denominator * 100%</w:t>
            </w:r>
          </w:p>
          <w:p w14:paraId="2C1CB01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Note: There are two main blood chemistry screening methods- dry and wet chemistry. Dry chemistry uses capillary blood taken from a finger and used in a rapid diagnostic test. Wet chemistry uses a venous blood sample with a </w:t>
            </w:r>
            <w:proofErr w:type="gramStart"/>
            <w:r w:rsidRPr="001B16D1">
              <w:rPr>
                <w:rFonts w:cstheme="minorHAnsi"/>
                <w:sz w:val="18"/>
                <w:szCs w:val="18"/>
                <w:lang w:val="en-GB"/>
              </w:rPr>
              <w:t>laboratory based</w:t>
            </w:r>
            <w:proofErr w:type="gramEnd"/>
            <w:r w:rsidRPr="001B16D1">
              <w:rPr>
                <w:rFonts w:cstheme="minorHAnsi"/>
                <w:sz w:val="18"/>
                <w:szCs w:val="18"/>
                <w:lang w:val="en-GB"/>
              </w:rPr>
              <w:t xml:space="preserve"> test. Either method is acceptable.)</w:t>
            </w:r>
          </w:p>
        </w:tc>
      </w:tr>
      <w:tr w:rsidR="00FA2345" w:rsidRPr="00610088" w14:paraId="63A41310" w14:textId="77777777" w:rsidTr="006837ED">
        <w:trPr>
          <w:trHeight w:val="397"/>
        </w:trPr>
        <w:tc>
          <w:tcPr>
            <w:tcW w:w="3397" w:type="dxa"/>
            <w:shd w:val="clear" w:color="auto" w:fill="auto"/>
            <w:hideMark/>
          </w:tcPr>
          <w:p w14:paraId="4535299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3.13 Prevalence of overweight and obesity in adolescents (10-19 years)</w:t>
            </w:r>
          </w:p>
        </w:tc>
        <w:tc>
          <w:tcPr>
            <w:tcW w:w="11624" w:type="dxa"/>
            <w:shd w:val="clear" w:color="auto" w:fill="auto"/>
            <w:hideMark/>
          </w:tcPr>
          <w:p w14:paraId="238A471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According to the WHO growth reference for school-aged children and adolescents (10-19 years), overweight – one standard deviation body mass index for age and sex, and obese – two standard deviations body mass index for age and sex. Numerator 1: Number of adolescent (10-19 years) respondents who are overweight. </w:t>
            </w:r>
            <w:r w:rsidRPr="001B16D1">
              <w:rPr>
                <w:rFonts w:cstheme="minorHAnsi"/>
                <w:sz w:val="18"/>
                <w:szCs w:val="18"/>
                <w:lang w:val="en-GB"/>
              </w:rPr>
              <w:br/>
              <w:t>Numerator 2: Number of adolescent (10-19 years) respondents who are obese.</w:t>
            </w:r>
            <w:r w:rsidRPr="001B16D1">
              <w:rPr>
                <w:rFonts w:cstheme="minorHAnsi"/>
                <w:sz w:val="18"/>
                <w:szCs w:val="18"/>
                <w:lang w:val="en-GB"/>
              </w:rPr>
              <w:br/>
              <w:t>Body mass index (BMI) is calculated by dividing weight in kilograms by height in meters squared. Overweight is ≥ 1SD BMI for age and sex (equivalent to BMI 25kg/m2 at 19 years). Obese is ≥ 2SD BMI for age and sex (equivalent to BMI 30kg/m2 at 19 years).</w:t>
            </w:r>
            <w:r w:rsidRPr="001B16D1">
              <w:rPr>
                <w:rFonts w:cstheme="minorHAnsi"/>
                <w:sz w:val="18"/>
                <w:szCs w:val="18"/>
                <w:lang w:val="en-GB"/>
              </w:rPr>
              <w:br/>
              <w:t>Denominator: All adolescent (10-19 years) respondents of the survey.</w:t>
            </w:r>
            <w:r w:rsidRPr="001B16D1">
              <w:rPr>
                <w:rFonts w:cstheme="minorHAnsi"/>
                <w:sz w:val="18"/>
                <w:szCs w:val="18"/>
                <w:lang w:val="en-GB"/>
              </w:rPr>
              <w:br/>
              <w:t>Calculation: Numerator 1/Denominator * 100% and Numerator 2/Denominator * 100%</w:t>
            </w:r>
          </w:p>
        </w:tc>
      </w:tr>
      <w:tr w:rsidR="00FA2345" w:rsidRPr="00610088" w14:paraId="35045365" w14:textId="77777777" w:rsidTr="006837ED">
        <w:trPr>
          <w:trHeight w:val="397"/>
        </w:trPr>
        <w:tc>
          <w:tcPr>
            <w:tcW w:w="3397" w:type="dxa"/>
            <w:shd w:val="clear" w:color="auto" w:fill="auto"/>
            <w:hideMark/>
          </w:tcPr>
          <w:p w14:paraId="40E603A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3.14 Age-standardized prevalence of overweight and obesity in persons aged 18+ years</w:t>
            </w:r>
          </w:p>
        </w:tc>
        <w:tc>
          <w:tcPr>
            <w:tcW w:w="11624" w:type="dxa"/>
            <w:shd w:val="clear" w:color="auto" w:fill="auto"/>
            <w:hideMark/>
          </w:tcPr>
          <w:p w14:paraId="53280BB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Body mass index ≥25 kg/m2 for overweight and body mass index ≥ 30 kg/m2 for obesity in adults aged 18+ years. </w:t>
            </w:r>
          </w:p>
          <w:p w14:paraId="42556B3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1: Number of respondents aged 18+ years who are overweight. Numerator 2: Number of respondents aged 18+ years who are obese.</w:t>
            </w:r>
            <w:r w:rsidRPr="001B16D1">
              <w:rPr>
                <w:rFonts w:cstheme="minorHAnsi"/>
                <w:sz w:val="18"/>
                <w:szCs w:val="18"/>
                <w:lang w:val="en-GB"/>
              </w:rPr>
              <w:br/>
              <w:t>Body mass index (BMI) is calculated by dividing weight in kilograms by height in meters squared. Overweight is defined as having a BMI ≥25 kg/m2 and obesity is defined as having a BMI ≥ 30 kg/m2.</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 1/Denominator * 100% and Numerator 2/Denominator * 100%</w:t>
            </w:r>
          </w:p>
        </w:tc>
      </w:tr>
      <w:tr w:rsidR="00FA2345" w:rsidRPr="00610088" w14:paraId="73C2D278" w14:textId="77777777" w:rsidTr="006837ED">
        <w:trPr>
          <w:trHeight w:val="397"/>
        </w:trPr>
        <w:tc>
          <w:tcPr>
            <w:tcW w:w="3397" w:type="dxa"/>
            <w:shd w:val="clear" w:color="auto" w:fill="auto"/>
            <w:hideMark/>
          </w:tcPr>
          <w:p w14:paraId="57DEE6E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3.15 Age-standardized mean proportion of total energy intake from saturated fatty acids in persons aged 18+ years</w:t>
            </w:r>
          </w:p>
        </w:tc>
        <w:tc>
          <w:tcPr>
            <w:tcW w:w="11624" w:type="dxa"/>
            <w:shd w:val="clear" w:color="auto" w:fill="auto"/>
            <w:hideMark/>
          </w:tcPr>
          <w:p w14:paraId="1D4D9D0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Mean proportion of total energy intake from saturated fatty acids (SFA) in persons aged 18+ years </w:t>
            </w:r>
          </w:p>
          <w:p w14:paraId="458E670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Sum of proportion of SFA of total energy intake from all participants aged 18+years. For each participant, divide the saturated fatty acid intake by the total energy intake to get the proportion of total energy from SFA.</w:t>
            </w:r>
            <w:r w:rsidRPr="001B16D1">
              <w:rPr>
                <w:rFonts w:cstheme="minorHAnsi"/>
                <w:sz w:val="18"/>
                <w:szCs w:val="18"/>
                <w:lang w:val="en-GB"/>
              </w:rPr>
              <w:br/>
            </w:r>
            <w:r w:rsidRPr="001B16D1">
              <w:rPr>
                <w:rFonts w:cstheme="minorHAnsi"/>
                <w:sz w:val="18"/>
                <w:szCs w:val="18"/>
                <w:lang w:val="en-GB"/>
              </w:rPr>
              <w:lastRenderedPageBreak/>
              <w:t>Denominator: All respondents of the survey aged 18+ years.</w:t>
            </w:r>
            <w:r w:rsidRPr="001B16D1">
              <w:rPr>
                <w:rFonts w:cstheme="minorHAnsi"/>
                <w:sz w:val="18"/>
                <w:szCs w:val="18"/>
                <w:lang w:val="en-GB"/>
              </w:rPr>
              <w:br/>
              <w:t>Calculation: Numerator/Denominator * 100%</w:t>
            </w:r>
          </w:p>
        </w:tc>
      </w:tr>
      <w:tr w:rsidR="00FA2345" w:rsidRPr="00610088" w14:paraId="61434710" w14:textId="77777777" w:rsidTr="006837ED">
        <w:trPr>
          <w:trHeight w:val="397"/>
        </w:trPr>
        <w:tc>
          <w:tcPr>
            <w:tcW w:w="3397" w:type="dxa"/>
            <w:shd w:val="clear" w:color="auto" w:fill="auto"/>
            <w:hideMark/>
          </w:tcPr>
          <w:p w14:paraId="737C0E3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3.16 Age-standardized prevalence of persons aged 18+ years consuming less than five total servings (400 grams) of fruit and vegetables per day</w:t>
            </w:r>
          </w:p>
        </w:tc>
        <w:tc>
          <w:tcPr>
            <w:tcW w:w="11624" w:type="dxa"/>
            <w:shd w:val="clear" w:color="auto" w:fill="auto"/>
            <w:hideMark/>
          </w:tcPr>
          <w:p w14:paraId="7939C35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population aged 18+ years who eat less than five servings of fruit and/or vegetables on average per day  </w:t>
            </w:r>
          </w:p>
          <w:p w14:paraId="3807FAE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Numerator:  Number of respondents aged 18+ years eating less than 5 servings of fruit and/or vegetables per day. </w:t>
            </w:r>
            <w:r w:rsidRPr="001B16D1">
              <w:rPr>
                <w:rFonts w:cstheme="minorHAnsi"/>
                <w:sz w:val="18"/>
                <w:szCs w:val="18"/>
                <w:lang w:val="en-GB"/>
              </w:rPr>
              <w:br/>
              <w:t>The average number of servings of fruit and/or vegetables is calculated for each participant as follows:</w:t>
            </w:r>
            <w:r w:rsidRPr="001B16D1">
              <w:rPr>
                <w:rFonts w:cstheme="minorHAnsi"/>
                <w:sz w:val="18"/>
                <w:szCs w:val="18"/>
                <w:lang w:val="en-GB"/>
              </w:rPr>
              <w:br/>
              <w:t>1) Calculate the average number of vegetable servings per week: total number of vegetable servings per day multiplied by number of days per week vegetables are eaten divided by 7. 2) Calculate the average number of fruit servings per week: total number of fruit servings per day multiplied by number of days per week fruit are eaten divided by 7.</w:t>
            </w:r>
            <w:r w:rsidRPr="001B16D1">
              <w:rPr>
                <w:rFonts w:cstheme="minorHAnsi"/>
                <w:sz w:val="18"/>
                <w:szCs w:val="18"/>
                <w:lang w:val="en-GB"/>
              </w:rPr>
              <w:br/>
              <w:t>3) Sum the average number of vegetable and fruit servings per week.</w:t>
            </w:r>
            <w:r w:rsidRPr="001B16D1">
              <w:rPr>
                <w:rFonts w:cstheme="minorHAnsi"/>
                <w:sz w:val="18"/>
                <w:szCs w:val="18"/>
                <w:lang w:val="en-GB"/>
              </w:rPr>
              <w:br/>
              <w:t>If this total is less than 5, then the participant is counted in the numerator of the equation as eating less than 5 servings of fruit and/or vegetables per day.</w:t>
            </w:r>
            <w:r w:rsidRPr="001B16D1">
              <w:rPr>
                <w:rFonts w:cstheme="minorHAnsi"/>
                <w:sz w:val="18"/>
                <w:szCs w:val="18"/>
                <w:lang w:val="en-GB"/>
              </w:rPr>
              <w:br/>
              <w:t>A serving of fruit or vegetables is equivalent to 80 grams.</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Numerator/Denominator * 100%</w:t>
            </w:r>
          </w:p>
        </w:tc>
      </w:tr>
      <w:tr w:rsidR="00FA2345" w:rsidRPr="00610088" w14:paraId="34FDA64A" w14:textId="77777777" w:rsidTr="006837ED">
        <w:trPr>
          <w:trHeight w:val="397"/>
        </w:trPr>
        <w:tc>
          <w:tcPr>
            <w:tcW w:w="3397" w:type="dxa"/>
            <w:shd w:val="clear" w:color="auto" w:fill="auto"/>
            <w:hideMark/>
          </w:tcPr>
          <w:p w14:paraId="3A777E9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3.17 Age-standardized prevalence of raised total cholesterol among persons aged 18+ years</w:t>
            </w:r>
          </w:p>
        </w:tc>
        <w:tc>
          <w:tcPr>
            <w:tcW w:w="11624" w:type="dxa"/>
            <w:shd w:val="clear" w:color="auto" w:fill="auto"/>
            <w:hideMark/>
          </w:tcPr>
          <w:p w14:paraId="15404E7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Total cholesterol ≥5.0 mmol/L (190 mg/dl). </w:t>
            </w:r>
          </w:p>
          <w:p w14:paraId="5F0FA68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respondents aged 18+ years with total cholesterol value ≥ 5.0 mmol/L (190 mg/dl).</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 / Denominator * 100%</w:t>
            </w:r>
          </w:p>
          <w:p w14:paraId="7674DE8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Note: There are two main blood chemistry screening methods- dry and wet chemistry. Dry chemistry uses capillary blood taken from a finger and used in a rapid diagnostic test. Wet chemistry uses a venous blood sample with a </w:t>
            </w:r>
            <w:proofErr w:type="gramStart"/>
            <w:r w:rsidRPr="001B16D1">
              <w:rPr>
                <w:rFonts w:cstheme="minorHAnsi"/>
                <w:sz w:val="18"/>
                <w:szCs w:val="18"/>
                <w:lang w:val="en-GB"/>
              </w:rPr>
              <w:t>laboratory based</w:t>
            </w:r>
            <w:proofErr w:type="gramEnd"/>
            <w:r w:rsidRPr="001B16D1">
              <w:rPr>
                <w:rFonts w:cstheme="minorHAnsi"/>
                <w:sz w:val="18"/>
                <w:szCs w:val="18"/>
                <w:lang w:val="en-GB"/>
              </w:rPr>
              <w:t xml:space="preserve"> test. Either method is acceptable.</w:t>
            </w:r>
          </w:p>
        </w:tc>
      </w:tr>
      <w:tr w:rsidR="00FA2345" w:rsidRPr="00610088" w14:paraId="6686B23B" w14:textId="77777777" w:rsidTr="006837ED">
        <w:trPr>
          <w:trHeight w:val="397"/>
        </w:trPr>
        <w:tc>
          <w:tcPr>
            <w:tcW w:w="3397" w:type="dxa"/>
            <w:shd w:val="clear" w:color="auto" w:fill="auto"/>
            <w:hideMark/>
          </w:tcPr>
          <w:p w14:paraId="353C3E67"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3.18 Age-standardized mean total cholesterol among persons aged 18+ years</w:t>
            </w:r>
          </w:p>
        </w:tc>
        <w:tc>
          <w:tcPr>
            <w:tcW w:w="11624" w:type="dxa"/>
            <w:shd w:val="clear" w:color="auto" w:fill="auto"/>
            <w:hideMark/>
          </w:tcPr>
          <w:p w14:paraId="6332C79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Mean total cholesterol. </w:t>
            </w:r>
          </w:p>
          <w:p w14:paraId="2E20CCD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Sum of total cholesterol (in mmol/L or mg/dl) from all participants aged 18+ years.</w:t>
            </w:r>
            <w:r w:rsidRPr="001B16D1">
              <w:rPr>
                <w:rFonts w:cstheme="minorHAnsi"/>
                <w:sz w:val="18"/>
                <w:szCs w:val="18"/>
                <w:lang w:val="en-GB"/>
              </w:rPr>
              <w:br/>
              <w:t>Denominator: All respondents of the survey aged 18+ years.</w:t>
            </w:r>
            <w:r w:rsidRPr="001B16D1">
              <w:rPr>
                <w:rFonts w:cstheme="minorHAnsi"/>
                <w:sz w:val="18"/>
                <w:szCs w:val="18"/>
                <w:lang w:val="en-GB"/>
              </w:rPr>
              <w:br/>
              <w:t>Calculation: Numerator / Denominator</w:t>
            </w:r>
          </w:p>
          <w:p w14:paraId="3B5F492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Note: There are two main blood chemistry screening methods- dry and wet chemistry. Dry chemistry uses capillary blood taken from a finger and used in a rapid diagnostic test. Wet chemistry uses a venous blood sample with a laboratory-based test. Either method is acceptable.</w:t>
            </w:r>
          </w:p>
        </w:tc>
      </w:tr>
      <w:tr w:rsidR="00FA2345" w:rsidRPr="00610088" w14:paraId="041FD47C" w14:textId="77777777" w:rsidTr="006837ED">
        <w:trPr>
          <w:trHeight w:val="397"/>
        </w:trPr>
        <w:tc>
          <w:tcPr>
            <w:tcW w:w="3397" w:type="dxa"/>
            <w:shd w:val="clear" w:color="auto" w:fill="auto"/>
            <w:hideMark/>
          </w:tcPr>
          <w:p w14:paraId="6AC90E52" w14:textId="31C1A68E" w:rsidR="00FA2345" w:rsidRPr="001B16D1" w:rsidRDefault="00FA2345" w:rsidP="00B645C7">
            <w:pPr>
              <w:pStyle w:val="NoSpacing"/>
              <w:rPr>
                <w:rFonts w:cstheme="minorHAnsi"/>
                <w:sz w:val="18"/>
                <w:szCs w:val="18"/>
                <w:lang w:val="en-GB"/>
              </w:rPr>
            </w:pPr>
            <w:r w:rsidRPr="001B16D1">
              <w:rPr>
                <w:rFonts w:cstheme="minorHAnsi"/>
                <w:sz w:val="18"/>
                <w:szCs w:val="18"/>
                <w:lang w:val="en-GB"/>
              </w:rPr>
              <w:t>3.19 Nr of new health promotion programs for children, adolescents and young people</w:t>
            </w:r>
          </w:p>
        </w:tc>
        <w:tc>
          <w:tcPr>
            <w:tcW w:w="11624" w:type="dxa"/>
            <w:shd w:val="clear" w:color="auto" w:fill="auto"/>
            <w:hideMark/>
          </w:tcPr>
          <w:p w14:paraId="3E375B7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New health promotion programs for children, adolescents and young people to address modifiable risk factors in primary, secondary and vocational schools, polytechnics and universities in the past 12 months stablished through support / advocacy by the NCD Directorate and its partners </w:t>
            </w:r>
          </w:p>
        </w:tc>
      </w:tr>
      <w:tr w:rsidR="00FA2345" w:rsidRPr="00610088" w14:paraId="23C55FC3" w14:textId="77777777" w:rsidTr="006837ED">
        <w:trPr>
          <w:trHeight w:val="397"/>
        </w:trPr>
        <w:tc>
          <w:tcPr>
            <w:tcW w:w="3397" w:type="dxa"/>
            <w:shd w:val="clear" w:color="auto" w:fill="auto"/>
            <w:hideMark/>
          </w:tcPr>
          <w:p w14:paraId="00343EF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3.20 Prevalence of insufficiently physically active adolescents</w:t>
            </w:r>
          </w:p>
        </w:tc>
        <w:tc>
          <w:tcPr>
            <w:tcW w:w="11624" w:type="dxa"/>
            <w:shd w:val="clear" w:color="auto" w:fill="auto"/>
            <w:hideMark/>
          </w:tcPr>
          <w:p w14:paraId="6F5F263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adolescents (10-19 years) participating in less than 60 minutes of moderate to vigorous intensity physical activity daily. </w:t>
            </w:r>
          </w:p>
          <w:p w14:paraId="304B2D6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adolescent (10-19 years) respondents for whom the number of days per week with &lt;60 minutes of moderate to vigorous intensity activity is &lt;7 days</w:t>
            </w:r>
            <w:r w:rsidRPr="001B16D1">
              <w:rPr>
                <w:rFonts w:cstheme="minorHAnsi"/>
                <w:sz w:val="18"/>
                <w:szCs w:val="18"/>
                <w:lang w:val="en-GB"/>
              </w:rPr>
              <w:br/>
              <w:t>Denominator: All adolescent (10-19 years) respondents of the survey</w:t>
            </w:r>
            <w:r w:rsidRPr="001B16D1">
              <w:rPr>
                <w:rFonts w:cstheme="minorHAnsi"/>
                <w:sz w:val="18"/>
                <w:szCs w:val="18"/>
                <w:lang w:val="en-GB"/>
              </w:rPr>
              <w:br/>
              <w:t>Calculation: Numerator/Denominator * 100%</w:t>
            </w:r>
          </w:p>
        </w:tc>
      </w:tr>
      <w:tr w:rsidR="00FA2345" w:rsidRPr="00610088" w14:paraId="7F85ACCF" w14:textId="77777777" w:rsidTr="006837ED">
        <w:trPr>
          <w:trHeight w:val="397"/>
        </w:trPr>
        <w:tc>
          <w:tcPr>
            <w:tcW w:w="3397" w:type="dxa"/>
            <w:shd w:val="clear" w:color="auto" w:fill="auto"/>
            <w:hideMark/>
          </w:tcPr>
          <w:p w14:paraId="646A1A9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3.21 Prevalence of current tobacco use among adolescents</w:t>
            </w:r>
          </w:p>
        </w:tc>
        <w:tc>
          <w:tcPr>
            <w:tcW w:w="11624" w:type="dxa"/>
            <w:shd w:val="clear" w:color="auto" w:fill="auto"/>
            <w:hideMark/>
          </w:tcPr>
          <w:p w14:paraId="558A59F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adolescents (10-19 </w:t>
            </w:r>
            <w:proofErr w:type="spellStart"/>
            <w:r w:rsidRPr="001B16D1">
              <w:rPr>
                <w:rFonts w:cstheme="minorHAnsi"/>
                <w:sz w:val="18"/>
                <w:szCs w:val="18"/>
                <w:lang w:val="en-GB"/>
              </w:rPr>
              <w:t>yrs</w:t>
            </w:r>
            <w:proofErr w:type="spellEnd"/>
            <w:r w:rsidRPr="001B16D1">
              <w:rPr>
                <w:rFonts w:cstheme="minorHAnsi"/>
                <w:sz w:val="18"/>
                <w:szCs w:val="18"/>
                <w:lang w:val="en-GB"/>
              </w:rPr>
              <w:t xml:space="preserve">) who currently use any tobacco product (smoked or smokeless). </w:t>
            </w:r>
            <w:r w:rsidRPr="001B16D1">
              <w:rPr>
                <w:rFonts w:cstheme="minorHAnsi"/>
                <w:sz w:val="18"/>
                <w:szCs w:val="18"/>
                <w:lang w:val="en-GB"/>
              </w:rPr>
              <w:br/>
              <w:t xml:space="preserve">“Smoked tobacco products” includes the consumption of cigarettes, bidis, cigars, cheroots, pipes, shisha (water pipes), fine-cut smoking articles (roll-your-own), </w:t>
            </w:r>
            <w:proofErr w:type="spellStart"/>
            <w:r w:rsidRPr="001B16D1">
              <w:rPr>
                <w:rFonts w:cstheme="minorHAnsi"/>
                <w:sz w:val="18"/>
                <w:szCs w:val="18"/>
                <w:lang w:val="en-GB"/>
              </w:rPr>
              <w:t>krekets</w:t>
            </w:r>
            <w:proofErr w:type="spellEnd"/>
            <w:r w:rsidRPr="001B16D1">
              <w:rPr>
                <w:rFonts w:cstheme="minorHAnsi"/>
                <w:sz w:val="18"/>
                <w:szCs w:val="18"/>
                <w:lang w:val="en-GB"/>
              </w:rPr>
              <w:t>, and any other form of smoked tobacco.</w:t>
            </w:r>
            <w:r w:rsidRPr="001B16D1">
              <w:rPr>
                <w:rFonts w:cstheme="minorHAnsi"/>
                <w:sz w:val="18"/>
                <w:szCs w:val="18"/>
                <w:lang w:val="en-GB"/>
              </w:rPr>
              <w:br/>
              <w:t xml:space="preserve">"Smokeless tobacco" includes moist snuff, plug, creamy snuff, </w:t>
            </w:r>
            <w:proofErr w:type="spellStart"/>
            <w:r w:rsidRPr="001B16D1">
              <w:rPr>
                <w:rFonts w:cstheme="minorHAnsi"/>
                <w:sz w:val="18"/>
                <w:szCs w:val="18"/>
                <w:lang w:val="en-GB"/>
              </w:rPr>
              <w:t>dissolvables</w:t>
            </w:r>
            <w:proofErr w:type="spellEnd"/>
            <w:r w:rsidRPr="001B16D1">
              <w:rPr>
                <w:rFonts w:cstheme="minorHAnsi"/>
                <w:sz w:val="18"/>
                <w:szCs w:val="18"/>
                <w:lang w:val="en-GB"/>
              </w:rPr>
              <w:t xml:space="preserve">, dry snuff, gul, loose leaf, red tooth powder, snus, </w:t>
            </w:r>
            <w:proofErr w:type="spellStart"/>
            <w:r w:rsidRPr="001B16D1">
              <w:rPr>
                <w:rFonts w:cstheme="minorHAnsi"/>
                <w:sz w:val="18"/>
                <w:szCs w:val="18"/>
                <w:lang w:val="en-GB"/>
              </w:rPr>
              <w:t>chimo</w:t>
            </w:r>
            <w:proofErr w:type="spellEnd"/>
            <w:r w:rsidRPr="001B16D1">
              <w:rPr>
                <w:rFonts w:cstheme="minorHAnsi"/>
                <w:sz w:val="18"/>
                <w:szCs w:val="18"/>
                <w:lang w:val="en-GB"/>
              </w:rPr>
              <w:t xml:space="preserve">, </w:t>
            </w:r>
            <w:proofErr w:type="spellStart"/>
            <w:r w:rsidRPr="001B16D1">
              <w:rPr>
                <w:rFonts w:cstheme="minorHAnsi"/>
                <w:sz w:val="18"/>
                <w:szCs w:val="18"/>
                <w:lang w:val="en-GB"/>
              </w:rPr>
              <w:t>gutkha</w:t>
            </w:r>
            <w:proofErr w:type="spellEnd"/>
            <w:r w:rsidRPr="001B16D1">
              <w:rPr>
                <w:rFonts w:cstheme="minorHAnsi"/>
                <w:sz w:val="18"/>
                <w:szCs w:val="18"/>
                <w:lang w:val="en-GB"/>
              </w:rPr>
              <w:t xml:space="preserve">, khaini, </w:t>
            </w:r>
            <w:proofErr w:type="spellStart"/>
            <w:r w:rsidRPr="001B16D1">
              <w:rPr>
                <w:rFonts w:cstheme="minorHAnsi"/>
                <w:sz w:val="18"/>
                <w:szCs w:val="18"/>
                <w:lang w:val="en-GB"/>
              </w:rPr>
              <w:t>gudakhu</w:t>
            </w:r>
            <w:proofErr w:type="spellEnd"/>
            <w:r w:rsidRPr="001B16D1">
              <w:rPr>
                <w:rFonts w:cstheme="minorHAnsi"/>
                <w:sz w:val="18"/>
                <w:szCs w:val="18"/>
                <w:lang w:val="en-GB"/>
              </w:rPr>
              <w:t xml:space="preserve">, </w:t>
            </w:r>
            <w:proofErr w:type="spellStart"/>
            <w:r w:rsidRPr="001B16D1">
              <w:rPr>
                <w:rFonts w:cstheme="minorHAnsi"/>
                <w:sz w:val="18"/>
                <w:szCs w:val="18"/>
                <w:lang w:val="en-GB"/>
              </w:rPr>
              <w:t>zarda</w:t>
            </w:r>
            <w:proofErr w:type="spellEnd"/>
            <w:r w:rsidRPr="001B16D1">
              <w:rPr>
                <w:rFonts w:cstheme="minorHAnsi"/>
                <w:sz w:val="18"/>
                <w:szCs w:val="18"/>
                <w:lang w:val="en-GB"/>
              </w:rPr>
              <w:t xml:space="preserve">, </w:t>
            </w:r>
            <w:proofErr w:type="spellStart"/>
            <w:r w:rsidRPr="001B16D1">
              <w:rPr>
                <w:rFonts w:cstheme="minorHAnsi"/>
                <w:sz w:val="18"/>
                <w:szCs w:val="18"/>
                <w:lang w:val="en-GB"/>
              </w:rPr>
              <w:t>quiwam</w:t>
            </w:r>
            <w:proofErr w:type="spellEnd"/>
            <w:r w:rsidRPr="001B16D1">
              <w:rPr>
                <w:rFonts w:cstheme="minorHAnsi"/>
                <w:sz w:val="18"/>
                <w:szCs w:val="18"/>
                <w:lang w:val="en-GB"/>
              </w:rPr>
              <w:t xml:space="preserve">, </w:t>
            </w:r>
            <w:proofErr w:type="spellStart"/>
            <w:r w:rsidRPr="001B16D1">
              <w:rPr>
                <w:rFonts w:cstheme="minorHAnsi"/>
                <w:sz w:val="18"/>
                <w:szCs w:val="18"/>
                <w:lang w:val="en-GB"/>
              </w:rPr>
              <w:t>dohra</w:t>
            </w:r>
            <w:proofErr w:type="spellEnd"/>
            <w:r w:rsidRPr="001B16D1">
              <w:rPr>
                <w:rFonts w:cstheme="minorHAnsi"/>
                <w:sz w:val="18"/>
                <w:szCs w:val="18"/>
                <w:lang w:val="en-GB"/>
              </w:rPr>
              <w:t xml:space="preserve">, </w:t>
            </w:r>
            <w:proofErr w:type="spellStart"/>
            <w:r w:rsidRPr="001B16D1">
              <w:rPr>
                <w:rFonts w:cstheme="minorHAnsi"/>
                <w:sz w:val="18"/>
                <w:szCs w:val="18"/>
                <w:lang w:val="en-GB"/>
              </w:rPr>
              <w:t>tuibur</w:t>
            </w:r>
            <w:proofErr w:type="spellEnd"/>
            <w:r w:rsidRPr="001B16D1">
              <w:rPr>
                <w:rFonts w:cstheme="minorHAnsi"/>
                <w:sz w:val="18"/>
                <w:szCs w:val="18"/>
                <w:lang w:val="en-GB"/>
              </w:rPr>
              <w:t xml:space="preserve">, </w:t>
            </w:r>
            <w:proofErr w:type="spellStart"/>
            <w:r w:rsidRPr="001B16D1">
              <w:rPr>
                <w:rFonts w:cstheme="minorHAnsi"/>
                <w:sz w:val="18"/>
                <w:szCs w:val="18"/>
                <w:lang w:val="en-GB"/>
              </w:rPr>
              <w:t>nasway</w:t>
            </w:r>
            <w:proofErr w:type="spellEnd"/>
            <w:r w:rsidRPr="001B16D1">
              <w:rPr>
                <w:rFonts w:cstheme="minorHAnsi"/>
                <w:sz w:val="18"/>
                <w:szCs w:val="18"/>
                <w:lang w:val="en-GB"/>
              </w:rPr>
              <w:t xml:space="preserve">, </w:t>
            </w:r>
            <w:proofErr w:type="spellStart"/>
            <w:r w:rsidRPr="001B16D1">
              <w:rPr>
                <w:rFonts w:cstheme="minorHAnsi"/>
                <w:sz w:val="18"/>
                <w:szCs w:val="18"/>
                <w:lang w:val="en-GB"/>
              </w:rPr>
              <w:t>naas</w:t>
            </w:r>
            <w:proofErr w:type="spellEnd"/>
            <w:r w:rsidRPr="001B16D1">
              <w:rPr>
                <w:rFonts w:cstheme="minorHAnsi"/>
                <w:sz w:val="18"/>
                <w:szCs w:val="18"/>
                <w:lang w:val="en-GB"/>
              </w:rPr>
              <w:t>/</w:t>
            </w:r>
            <w:proofErr w:type="spellStart"/>
            <w:r w:rsidRPr="001B16D1">
              <w:rPr>
                <w:rFonts w:cstheme="minorHAnsi"/>
                <w:sz w:val="18"/>
                <w:szCs w:val="18"/>
                <w:lang w:val="en-GB"/>
              </w:rPr>
              <w:t>naswar</w:t>
            </w:r>
            <w:proofErr w:type="spellEnd"/>
            <w:r w:rsidRPr="001B16D1">
              <w:rPr>
                <w:rFonts w:cstheme="minorHAnsi"/>
                <w:sz w:val="18"/>
                <w:szCs w:val="18"/>
                <w:lang w:val="en-GB"/>
              </w:rPr>
              <w:t xml:space="preserve">, </w:t>
            </w:r>
            <w:proofErr w:type="spellStart"/>
            <w:r w:rsidRPr="001B16D1">
              <w:rPr>
                <w:rFonts w:cstheme="minorHAnsi"/>
                <w:sz w:val="18"/>
                <w:szCs w:val="18"/>
                <w:lang w:val="en-GB"/>
              </w:rPr>
              <w:t>shammah</w:t>
            </w:r>
            <w:proofErr w:type="spellEnd"/>
            <w:r w:rsidRPr="001B16D1">
              <w:rPr>
                <w:rFonts w:cstheme="minorHAnsi"/>
                <w:sz w:val="18"/>
                <w:szCs w:val="18"/>
                <w:lang w:val="en-GB"/>
              </w:rPr>
              <w:t xml:space="preserve">, betel quid, </w:t>
            </w:r>
            <w:proofErr w:type="spellStart"/>
            <w:r w:rsidRPr="001B16D1">
              <w:rPr>
                <w:rFonts w:cstheme="minorHAnsi"/>
                <w:sz w:val="18"/>
                <w:szCs w:val="18"/>
                <w:lang w:val="en-GB"/>
              </w:rPr>
              <w:t>toombak</w:t>
            </w:r>
            <w:proofErr w:type="spellEnd"/>
            <w:r w:rsidRPr="001B16D1">
              <w:rPr>
                <w:rFonts w:cstheme="minorHAnsi"/>
                <w:sz w:val="18"/>
                <w:szCs w:val="18"/>
                <w:lang w:val="en-GB"/>
              </w:rPr>
              <w:t xml:space="preserve">, pan (betel quid), </w:t>
            </w:r>
            <w:proofErr w:type="spellStart"/>
            <w:r w:rsidRPr="001B16D1">
              <w:rPr>
                <w:rFonts w:cstheme="minorHAnsi"/>
                <w:sz w:val="18"/>
                <w:szCs w:val="18"/>
                <w:lang w:val="en-GB"/>
              </w:rPr>
              <w:t>iq’mik</w:t>
            </w:r>
            <w:proofErr w:type="spellEnd"/>
            <w:r w:rsidRPr="001B16D1">
              <w:rPr>
                <w:rFonts w:cstheme="minorHAnsi"/>
                <w:sz w:val="18"/>
                <w:szCs w:val="18"/>
                <w:lang w:val="en-GB"/>
              </w:rPr>
              <w:t xml:space="preserve">, </w:t>
            </w:r>
            <w:proofErr w:type="spellStart"/>
            <w:r w:rsidRPr="001B16D1">
              <w:rPr>
                <w:rFonts w:cstheme="minorHAnsi"/>
                <w:sz w:val="18"/>
                <w:szCs w:val="18"/>
                <w:lang w:val="en-GB"/>
              </w:rPr>
              <w:t>mishri</w:t>
            </w:r>
            <w:proofErr w:type="spellEnd"/>
            <w:r w:rsidRPr="001B16D1">
              <w:rPr>
                <w:rFonts w:cstheme="minorHAnsi"/>
                <w:sz w:val="18"/>
                <w:szCs w:val="18"/>
                <w:lang w:val="en-GB"/>
              </w:rPr>
              <w:t xml:space="preserve">, </w:t>
            </w:r>
            <w:proofErr w:type="spellStart"/>
            <w:r w:rsidRPr="001B16D1">
              <w:rPr>
                <w:rFonts w:cstheme="minorHAnsi"/>
                <w:sz w:val="18"/>
                <w:szCs w:val="18"/>
                <w:lang w:val="en-GB"/>
              </w:rPr>
              <w:t>tapkeer</w:t>
            </w:r>
            <w:proofErr w:type="spellEnd"/>
            <w:r w:rsidRPr="001B16D1">
              <w:rPr>
                <w:rFonts w:cstheme="minorHAnsi"/>
                <w:sz w:val="18"/>
                <w:szCs w:val="18"/>
                <w:lang w:val="en-GB"/>
              </w:rPr>
              <w:t xml:space="preserve">, </w:t>
            </w:r>
            <w:proofErr w:type="spellStart"/>
            <w:r w:rsidRPr="001B16D1">
              <w:rPr>
                <w:rFonts w:cstheme="minorHAnsi"/>
                <w:sz w:val="18"/>
                <w:szCs w:val="18"/>
                <w:lang w:val="en-GB"/>
              </w:rPr>
              <w:t>tombol</w:t>
            </w:r>
            <w:proofErr w:type="spellEnd"/>
            <w:r w:rsidRPr="001B16D1">
              <w:rPr>
                <w:rFonts w:cstheme="minorHAnsi"/>
                <w:sz w:val="18"/>
                <w:szCs w:val="18"/>
                <w:lang w:val="en-GB"/>
              </w:rPr>
              <w:t xml:space="preserve"> and any other tobacco product that is sniffed, held in the mouth, or chewed. </w:t>
            </w:r>
          </w:p>
          <w:p w14:paraId="37AAF78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Numerator: Number of current adolescent (10-19 years) tobacco users. “Current users” includes both daily and non-daily users of smoked or smokeless tobacco.</w:t>
            </w:r>
            <w:r w:rsidRPr="001B16D1">
              <w:rPr>
                <w:rFonts w:cstheme="minorHAnsi"/>
                <w:sz w:val="18"/>
                <w:szCs w:val="18"/>
                <w:lang w:val="en-GB"/>
              </w:rPr>
              <w:br/>
              <w:t>Denominator: All adolescent (10-19 years) respondents of the survey.</w:t>
            </w:r>
            <w:r w:rsidRPr="001B16D1">
              <w:rPr>
                <w:rFonts w:cstheme="minorHAnsi"/>
                <w:sz w:val="18"/>
                <w:szCs w:val="18"/>
                <w:lang w:val="en-GB"/>
              </w:rPr>
              <w:br/>
              <w:t>Calculation: Numerator/Denominator * 100%</w:t>
            </w:r>
          </w:p>
        </w:tc>
      </w:tr>
      <w:tr w:rsidR="00FA2345" w:rsidRPr="00610088" w14:paraId="7C3CDC15" w14:textId="77777777" w:rsidTr="006837ED">
        <w:trPr>
          <w:trHeight w:val="397"/>
        </w:trPr>
        <w:tc>
          <w:tcPr>
            <w:tcW w:w="3397" w:type="dxa"/>
            <w:shd w:val="clear" w:color="auto" w:fill="auto"/>
            <w:hideMark/>
          </w:tcPr>
          <w:p w14:paraId="24BCF5B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 xml:space="preserve">3.22 Nr of new physical activity/ sports activities </w:t>
            </w:r>
          </w:p>
        </w:tc>
        <w:tc>
          <w:tcPr>
            <w:tcW w:w="11624" w:type="dxa"/>
            <w:shd w:val="clear" w:color="auto" w:fill="auto"/>
            <w:hideMark/>
          </w:tcPr>
          <w:p w14:paraId="002AC98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new physical activity / sports activities through support/ advocacy by the NCD Directorate and its partners in the past 12 months</w:t>
            </w:r>
          </w:p>
        </w:tc>
      </w:tr>
      <w:tr w:rsidR="00FA2345" w:rsidRPr="00610088" w14:paraId="6DE10167" w14:textId="77777777" w:rsidTr="006837ED">
        <w:trPr>
          <w:trHeight w:val="397"/>
        </w:trPr>
        <w:tc>
          <w:tcPr>
            <w:tcW w:w="3397" w:type="dxa"/>
            <w:shd w:val="clear" w:color="auto" w:fill="auto"/>
            <w:hideMark/>
          </w:tcPr>
          <w:p w14:paraId="755AD78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3.23 Nr of new public institutions with an encouraging environment for reduced salt intake </w:t>
            </w:r>
          </w:p>
        </w:tc>
        <w:tc>
          <w:tcPr>
            <w:tcW w:w="11624" w:type="dxa"/>
            <w:shd w:val="clear" w:color="auto" w:fill="auto"/>
            <w:hideMark/>
          </w:tcPr>
          <w:p w14:paraId="390A3E3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The number of new public (hospitals, schools, workplaces and nursing homes) institutions that are able to provide lower sodium options through advocacy / support by the NCD Directorate and its partners in the past 12 months</w:t>
            </w:r>
          </w:p>
        </w:tc>
      </w:tr>
      <w:tr w:rsidR="00FA2345" w:rsidRPr="00610088" w14:paraId="2F10B7E5" w14:textId="77777777" w:rsidTr="006837ED">
        <w:trPr>
          <w:trHeight w:val="397"/>
        </w:trPr>
        <w:tc>
          <w:tcPr>
            <w:tcW w:w="3397" w:type="dxa"/>
            <w:shd w:val="clear" w:color="auto" w:fill="auto"/>
            <w:hideMark/>
          </w:tcPr>
          <w:p w14:paraId="4EB8C8C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4.1 Nr of pre-service students trained using the harmonized reviewed curricula</w:t>
            </w:r>
          </w:p>
        </w:tc>
        <w:tc>
          <w:tcPr>
            <w:tcW w:w="11624" w:type="dxa"/>
            <w:shd w:val="clear" w:color="auto" w:fill="auto"/>
            <w:hideMark/>
          </w:tcPr>
          <w:p w14:paraId="21FA4EC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pre-service students trained on NCDs using the harmonized revised curricula in the past 12 months</w:t>
            </w:r>
          </w:p>
        </w:tc>
      </w:tr>
      <w:tr w:rsidR="00FA2345" w:rsidRPr="00610088" w14:paraId="2706DD54" w14:textId="77777777" w:rsidTr="006837ED">
        <w:trPr>
          <w:trHeight w:val="397"/>
        </w:trPr>
        <w:tc>
          <w:tcPr>
            <w:tcW w:w="3397" w:type="dxa"/>
            <w:shd w:val="clear" w:color="auto" w:fill="auto"/>
            <w:hideMark/>
          </w:tcPr>
          <w:p w14:paraId="4FE7316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4.2 Nr of in-service staff trained using the harmonized NCD training manual</w:t>
            </w:r>
          </w:p>
        </w:tc>
        <w:tc>
          <w:tcPr>
            <w:tcW w:w="11624" w:type="dxa"/>
            <w:shd w:val="clear" w:color="auto" w:fill="auto"/>
            <w:hideMark/>
          </w:tcPr>
          <w:p w14:paraId="735F8A2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in-service staffs trained on NCDs using the harmonized revised curricula in the past 12 months</w:t>
            </w:r>
          </w:p>
        </w:tc>
      </w:tr>
      <w:tr w:rsidR="00FA2345" w:rsidRPr="00610088" w14:paraId="5E1688A9" w14:textId="77777777" w:rsidTr="006837ED">
        <w:trPr>
          <w:trHeight w:val="397"/>
        </w:trPr>
        <w:tc>
          <w:tcPr>
            <w:tcW w:w="3397" w:type="dxa"/>
            <w:shd w:val="clear" w:color="auto" w:fill="auto"/>
            <w:hideMark/>
          </w:tcPr>
          <w:p w14:paraId="519BD43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4.3 Nr of public hospitals with NCD clinic day(s)</w:t>
            </w:r>
          </w:p>
        </w:tc>
        <w:tc>
          <w:tcPr>
            <w:tcW w:w="11624" w:type="dxa"/>
            <w:shd w:val="clear" w:color="auto" w:fill="auto"/>
            <w:hideMark/>
          </w:tcPr>
          <w:p w14:paraId="6228C32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public hospitals with NCD clinic day(s)</w:t>
            </w:r>
          </w:p>
        </w:tc>
      </w:tr>
      <w:tr w:rsidR="00FA2345" w:rsidRPr="00610088" w14:paraId="13C1C2D4" w14:textId="77777777" w:rsidTr="006837ED">
        <w:trPr>
          <w:trHeight w:val="397"/>
        </w:trPr>
        <w:tc>
          <w:tcPr>
            <w:tcW w:w="3397" w:type="dxa"/>
            <w:shd w:val="clear" w:color="auto" w:fill="auto"/>
            <w:hideMark/>
          </w:tcPr>
          <w:p w14:paraId="214FBBB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4.4 Nr of districts with at least 5 CHCs providing NCD services according to the Sierra Leone adapted WHO PEN package</w:t>
            </w:r>
          </w:p>
        </w:tc>
        <w:tc>
          <w:tcPr>
            <w:tcW w:w="11624" w:type="dxa"/>
            <w:shd w:val="clear" w:color="auto" w:fill="auto"/>
            <w:hideMark/>
          </w:tcPr>
          <w:p w14:paraId="0AE0C86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w:t>
            </w:r>
          </w:p>
          <w:p w14:paraId="6C73D88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Nr of districts with at least 5 CHCs providing NCD services according to the Sierra Leone adapted WHO PEN package. </w:t>
            </w:r>
          </w:p>
        </w:tc>
      </w:tr>
      <w:tr w:rsidR="00FA2345" w:rsidRPr="00610088" w14:paraId="3995240B" w14:textId="77777777" w:rsidTr="006837ED">
        <w:trPr>
          <w:trHeight w:val="397"/>
        </w:trPr>
        <w:tc>
          <w:tcPr>
            <w:tcW w:w="3397" w:type="dxa"/>
            <w:shd w:val="clear" w:color="auto" w:fill="auto"/>
            <w:hideMark/>
          </w:tcPr>
          <w:p w14:paraId="62FF4B99" w14:textId="77777777" w:rsidR="00FA2345" w:rsidRPr="001B16D1" w:rsidRDefault="00FA2345" w:rsidP="00B645C7">
            <w:pPr>
              <w:pStyle w:val="NoSpacing"/>
              <w:rPr>
                <w:rFonts w:cstheme="minorHAnsi"/>
                <w:sz w:val="18"/>
                <w:szCs w:val="18"/>
                <w:lang w:val="en-GB"/>
              </w:rPr>
            </w:pPr>
            <w:r w:rsidRPr="001B16D1">
              <w:rPr>
                <w:rFonts w:cstheme="minorHAnsi"/>
                <w:color w:val="000000" w:themeColor="text1"/>
                <w:sz w:val="18"/>
                <w:szCs w:val="18"/>
                <w:lang w:val="en-GB"/>
              </w:rPr>
              <w:t>4.5 Nr of hospitals implementing Sierra Leone adapted WHO PEN-Plus package</w:t>
            </w:r>
          </w:p>
        </w:tc>
        <w:tc>
          <w:tcPr>
            <w:tcW w:w="11624" w:type="dxa"/>
            <w:shd w:val="clear" w:color="auto" w:fill="auto"/>
            <w:hideMark/>
          </w:tcPr>
          <w:p w14:paraId="77040CB6" w14:textId="77777777" w:rsidR="00FA2345" w:rsidRPr="001B16D1" w:rsidRDefault="00FA2345" w:rsidP="00B645C7">
            <w:pPr>
              <w:pStyle w:val="NoSpacing"/>
              <w:rPr>
                <w:rFonts w:cstheme="minorHAnsi"/>
                <w:color w:val="FF0000"/>
                <w:sz w:val="18"/>
                <w:szCs w:val="18"/>
                <w:lang w:val="en-GB"/>
              </w:rPr>
            </w:pPr>
            <w:r w:rsidRPr="001B16D1">
              <w:rPr>
                <w:rFonts w:cstheme="minorHAnsi"/>
                <w:sz w:val="18"/>
                <w:szCs w:val="18"/>
                <w:lang w:val="en-GB"/>
              </w:rPr>
              <w:t xml:space="preserve">Definition:  </w:t>
            </w:r>
            <w:r w:rsidRPr="001B16D1">
              <w:rPr>
                <w:rFonts w:cstheme="minorHAnsi"/>
                <w:color w:val="000000" w:themeColor="text1"/>
                <w:sz w:val="18"/>
                <w:szCs w:val="18"/>
                <w:lang w:val="en-GB"/>
              </w:rPr>
              <w:t>Nr of hospitals implementing Sierra Leone adapted WHO PEN-Plus package</w:t>
            </w:r>
          </w:p>
        </w:tc>
      </w:tr>
      <w:tr w:rsidR="00FA2345" w:rsidRPr="00610088" w14:paraId="39950ED4" w14:textId="77777777" w:rsidTr="006837ED">
        <w:trPr>
          <w:trHeight w:val="397"/>
        </w:trPr>
        <w:tc>
          <w:tcPr>
            <w:tcW w:w="3397" w:type="dxa"/>
            <w:shd w:val="clear" w:color="auto" w:fill="auto"/>
            <w:hideMark/>
          </w:tcPr>
          <w:p w14:paraId="443A677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4.6 Proportion of eligible persons receiving drug therapy and counselling (including glycaemic control) to prevent heart attacks and strokes</w:t>
            </w:r>
          </w:p>
        </w:tc>
        <w:tc>
          <w:tcPr>
            <w:tcW w:w="11624" w:type="dxa"/>
            <w:shd w:val="clear" w:color="auto" w:fill="auto"/>
            <w:hideMark/>
          </w:tcPr>
          <w:p w14:paraId="0F9F2163" w14:textId="5071313C"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Percentage of eligible persons (defined as aged 40 years and older with a 10-year cardiovascular disease (CVD) risk* ≥30%, including those with existing CVD) receiving drug therapy** and counselling*** (including glycaemic control) to prevent heart attacks and strokes.</w:t>
            </w:r>
            <w:r w:rsidRPr="001B16D1">
              <w:rPr>
                <w:rFonts w:cstheme="minorHAnsi"/>
                <w:sz w:val="18"/>
                <w:szCs w:val="18"/>
                <w:lang w:val="en-GB"/>
              </w:rPr>
              <w:br/>
              <w:t xml:space="preserve">*A 10-year CVD risk of ≥30% is defined according to Age, Sex, other relevant socio- demographic </w:t>
            </w:r>
            <w:proofErr w:type="spellStart"/>
            <w:r w:rsidRPr="001B16D1">
              <w:rPr>
                <w:rFonts w:cstheme="minorHAnsi"/>
                <w:sz w:val="18"/>
                <w:szCs w:val="18"/>
                <w:lang w:val="en-GB"/>
              </w:rPr>
              <w:t>stratifiers</w:t>
            </w:r>
            <w:proofErr w:type="spellEnd"/>
            <w:r w:rsidRPr="001B16D1">
              <w:rPr>
                <w:rFonts w:cstheme="minorHAnsi"/>
                <w:sz w:val="18"/>
                <w:szCs w:val="18"/>
                <w:lang w:val="en-GB"/>
              </w:rPr>
              <w:t xml:space="preserve"> where available, blood pressure, smoking status (current smokers OR those who quit smoking less than 1 year before the assessment), total cholesterol, and diabetes (previously diagnosed OR a fasting plasma glucose concentration &gt;7.0 mmol/l (126 mg/dl).</w:t>
            </w:r>
            <w:r w:rsidRPr="001B16D1">
              <w:rPr>
                <w:rFonts w:cstheme="minorHAnsi"/>
                <w:sz w:val="18"/>
                <w:szCs w:val="18"/>
                <w:lang w:val="en-GB"/>
              </w:rPr>
              <w:br/>
              <w:t>**Drug therapy is defined as taking medication for raised blood glucose/diabetes, raised total cholesterol, or raised blood pressure, or taking aspirin or statins to prevent or treat heart disease.</w:t>
            </w:r>
            <w:r w:rsidRPr="001B16D1">
              <w:rPr>
                <w:rFonts w:cstheme="minorHAnsi"/>
                <w:sz w:val="18"/>
                <w:szCs w:val="18"/>
                <w:lang w:val="en-GB"/>
              </w:rPr>
              <w:br/>
              <w:t>***</w:t>
            </w:r>
            <w:r w:rsidR="006837ED" w:rsidRPr="001B16D1">
              <w:rPr>
                <w:rFonts w:cstheme="minorHAnsi"/>
                <w:sz w:val="18"/>
                <w:szCs w:val="18"/>
                <w:lang w:val="en-GB"/>
              </w:rPr>
              <w:t>Counselling</w:t>
            </w:r>
            <w:r w:rsidRPr="001B16D1">
              <w:rPr>
                <w:rFonts w:cstheme="minorHAnsi"/>
                <w:sz w:val="18"/>
                <w:szCs w:val="18"/>
                <w:lang w:val="en-GB"/>
              </w:rPr>
              <w:t xml:space="preserve"> is defined as receiving advice from a doctor or other health worker to quit using tobacco or not start, reduce salt in diet, eat at least five servings of fruit and/or vegetables per day, reduce fat in diet, start or do more physical activity, maintain a healthy body weight or lose weight. Numerator: Number of eligible survey participants who are receiving drug therapy and </w:t>
            </w:r>
            <w:r w:rsidR="006837ED" w:rsidRPr="001B16D1">
              <w:rPr>
                <w:rFonts w:cstheme="minorHAnsi"/>
                <w:sz w:val="18"/>
                <w:szCs w:val="18"/>
                <w:lang w:val="en-GB"/>
              </w:rPr>
              <w:t>counselling</w:t>
            </w:r>
            <w:r w:rsidRPr="001B16D1">
              <w:rPr>
                <w:rFonts w:cstheme="minorHAnsi"/>
                <w:sz w:val="18"/>
                <w:szCs w:val="18"/>
                <w:lang w:val="en-GB"/>
              </w:rPr>
              <w:t xml:space="preserve">. See Denominator for definition of eligible people. Receiving drug therapy and </w:t>
            </w:r>
            <w:r w:rsidR="006837ED" w:rsidRPr="001B16D1">
              <w:rPr>
                <w:rFonts w:cstheme="minorHAnsi"/>
                <w:sz w:val="18"/>
                <w:szCs w:val="18"/>
                <w:lang w:val="en-GB"/>
              </w:rPr>
              <w:t>counselling</w:t>
            </w:r>
            <w:r w:rsidRPr="001B16D1">
              <w:rPr>
                <w:rFonts w:cstheme="minorHAnsi"/>
                <w:sz w:val="18"/>
                <w:szCs w:val="18"/>
                <w:lang w:val="en-GB"/>
              </w:rPr>
              <w:t xml:space="preserve"> is calculated by self-report from respondents reporting they are taking medication for raised blood glucose/diabetes, raised total cholesterol, or raised blood pressure, or taking aspirin or statins to prevent or treat heart disease; and receiving advice from a doctor or other health worker to quit using tobacco or not start, reduce salt in diet, eat at least five servings of fruit and/or vegetables per day, reduce fat in diet, start or do more physical activity, maintain a healthy body weight or lose weight.</w:t>
            </w:r>
            <w:r w:rsidRPr="001B16D1">
              <w:rPr>
                <w:rFonts w:cstheme="minorHAnsi"/>
                <w:sz w:val="18"/>
                <w:szCs w:val="18"/>
                <w:lang w:val="en-GB"/>
              </w:rPr>
              <w:br/>
              <w:t xml:space="preserve">Denominator: Total number of eligible survey participants. Eligible people are those people aged 40 and older who either currently self-report that they have existing CVD or who have a 10 year cardiovascular risk of 30 per cent or higher calculated by using the WHO/ISH Risk prediction charts for 14 WHO epidemiological sub-regions which provide the approximate estimates of cardiovascular disease (CVD) risk in people who do not have established coronary heart disease, stroke or other atherosclerotic disease, based on responses to the following: Age, gender, smoking status, SBP, TC and absence or presence </w:t>
            </w:r>
            <w:r w:rsidRPr="001B16D1">
              <w:rPr>
                <w:rFonts w:cstheme="minorHAnsi"/>
                <w:sz w:val="18"/>
                <w:szCs w:val="18"/>
                <w:lang w:val="en-GB"/>
              </w:rPr>
              <w:lastRenderedPageBreak/>
              <w:t>of diabetes.</w:t>
            </w:r>
            <w:r w:rsidRPr="001B16D1">
              <w:rPr>
                <w:rFonts w:cstheme="minorHAnsi"/>
                <w:sz w:val="18"/>
                <w:szCs w:val="18"/>
                <w:lang w:val="en-GB"/>
              </w:rPr>
              <w:br/>
              <w:t>Calculation: Numerator / Denominator * 100%</w:t>
            </w:r>
          </w:p>
        </w:tc>
      </w:tr>
      <w:tr w:rsidR="00FA2345" w:rsidRPr="00610088" w14:paraId="5B990D3A" w14:textId="77777777" w:rsidTr="006837ED">
        <w:trPr>
          <w:trHeight w:val="397"/>
        </w:trPr>
        <w:tc>
          <w:tcPr>
            <w:tcW w:w="3397" w:type="dxa"/>
            <w:shd w:val="clear" w:color="auto" w:fill="auto"/>
            <w:hideMark/>
          </w:tcPr>
          <w:p w14:paraId="4A4C88B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4.7 Percentage of public and private health care facilities who have available essential NCD medicines and basic technologies (detail in definition)</w:t>
            </w:r>
          </w:p>
        </w:tc>
        <w:tc>
          <w:tcPr>
            <w:tcW w:w="11624" w:type="dxa"/>
            <w:shd w:val="clear" w:color="auto" w:fill="auto"/>
            <w:hideMark/>
          </w:tcPr>
          <w:p w14:paraId="75261A2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Numerator: Number of facilities that have available during assessment the minimum list of essential medicines and basic technologies. The minimum list is: Medicines - at least aspirin, a statin, an angiotensin converting enzyme inhibitor, thiazide diuretic, a </w:t>
            </w:r>
            <w:proofErr w:type="gramStart"/>
            <w:r w:rsidRPr="001B16D1">
              <w:rPr>
                <w:rFonts w:cstheme="minorHAnsi"/>
                <w:sz w:val="18"/>
                <w:szCs w:val="18"/>
                <w:lang w:val="en-GB"/>
              </w:rPr>
              <w:t>long acting</w:t>
            </w:r>
            <w:proofErr w:type="gramEnd"/>
            <w:r w:rsidRPr="001B16D1">
              <w:rPr>
                <w:rFonts w:cstheme="minorHAnsi"/>
                <w:sz w:val="18"/>
                <w:szCs w:val="18"/>
                <w:lang w:val="en-GB"/>
              </w:rPr>
              <w:t xml:space="preserve"> calcium channel blocker, a beta-blocker, metformin, insulin, a bronchodilator and a steroid inhalant. Technologies - at least a blood pressure measurement device, a weighing scale, height measuring equipment, blood sugar and blood cholesterol measurement devices with strips and urine strips for albumin assay.</w:t>
            </w:r>
            <w:r w:rsidRPr="001B16D1">
              <w:rPr>
                <w:rFonts w:cstheme="minorHAnsi"/>
                <w:sz w:val="18"/>
                <w:szCs w:val="18"/>
                <w:lang w:val="en-GB"/>
              </w:rPr>
              <w:br/>
              <w:t>Denominator: Number of surveyed facilities.</w:t>
            </w:r>
            <w:r w:rsidRPr="001B16D1">
              <w:rPr>
                <w:rFonts w:cstheme="minorHAnsi"/>
                <w:sz w:val="18"/>
                <w:szCs w:val="18"/>
                <w:lang w:val="en-GB"/>
              </w:rPr>
              <w:br/>
              <w:t>Calculation: Numerator / Denominator * 100%</w:t>
            </w:r>
          </w:p>
        </w:tc>
      </w:tr>
      <w:tr w:rsidR="00FA2345" w:rsidRPr="00610088" w14:paraId="73BB929C" w14:textId="77777777" w:rsidTr="006837ED">
        <w:trPr>
          <w:trHeight w:val="397"/>
        </w:trPr>
        <w:tc>
          <w:tcPr>
            <w:tcW w:w="3397" w:type="dxa"/>
            <w:shd w:val="clear" w:color="auto" w:fill="auto"/>
            <w:hideMark/>
          </w:tcPr>
          <w:p w14:paraId="49C1D7B4" w14:textId="40EDF44F" w:rsidR="00051AE5" w:rsidRPr="001B16D1" w:rsidRDefault="00FA2345" w:rsidP="00051AE5">
            <w:pPr>
              <w:pStyle w:val="NoSpacing"/>
              <w:rPr>
                <w:rFonts w:cstheme="minorHAnsi"/>
                <w:sz w:val="18"/>
                <w:szCs w:val="18"/>
                <w:lang w:val="en-GB"/>
              </w:rPr>
            </w:pPr>
            <w:r w:rsidRPr="001B16D1">
              <w:rPr>
                <w:rFonts w:cstheme="minorHAnsi"/>
                <w:sz w:val="18"/>
                <w:szCs w:val="18"/>
                <w:lang w:val="en-GB"/>
              </w:rPr>
              <w:t xml:space="preserve">4.8 </w:t>
            </w:r>
            <w:r w:rsidR="00051AE5" w:rsidRPr="001B16D1">
              <w:rPr>
                <w:rFonts w:cstheme="minorHAnsi"/>
                <w:sz w:val="18"/>
                <w:szCs w:val="18"/>
                <w:lang w:val="en-GB"/>
              </w:rPr>
              <w:t>Access to palliative care assessed by oral morphine-equivalent consumption of strong opioid analgesics (excluding methadone) per terminal diagnosis as identified by appropriately trained health care professionals.</w:t>
            </w:r>
          </w:p>
          <w:p w14:paraId="41B04E67" w14:textId="2C7CE158" w:rsidR="00FA2345" w:rsidRPr="001B16D1" w:rsidRDefault="00FA2345" w:rsidP="00B645C7">
            <w:pPr>
              <w:pStyle w:val="NoSpacing"/>
              <w:rPr>
                <w:rFonts w:cstheme="minorHAnsi"/>
                <w:sz w:val="18"/>
                <w:szCs w:val="18"/>
                <w:lang w:val="en-GB"/>
              </w:rPr>
            </w:pPr>
          </w:p>
        </w:tc>
        <w:tc>
          <w:tcPr>
            <w:tcW w:w="11624" w:type="dxa"/>
            <w:shd w:val="clear" w:color="auto" w:fill="auto"/>
            <w:hideMark/>
          </w:tcPr>
          <w:p w14:paraId="23BC9BAA" w14:textId="2C33A1C5"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Consumption of morphine-equivalent strong opioid analgesics (excluding methadone) per </w:t>
            </w:r>
            <w:r w:rsidR="00051AE5" w:rsidRPr="001B16D1">
              <w:rPr>
                <w:rFonts w:cstheme="minorHAnsi"/>
                <w:sz w:val="18"/>
                <w:szCs w:val="18"/>
                <w:lang w:val="en-GB"/>
              </w:rPr>
              <w:t>terminal diagnosis</w:t>
            </w:r>
            <w:r w:rsidRPr="001B16D1">
              <w:rPr>
                <w:rFonts w:cstheme="minorHAnsi"/>
                <w:sz w:val="18"/>
                <w:szCs w:val="18"/>
                <w:lang w:val="en-GB"/>
              </w:rPr>
              <w:t xml:space="preserve">. Morphine- equivalent is a method of standardizing and combining volumes of opioids with differing potencies and is used as a measure of opioid consumption, which is used as the indicator for access to pain and palliation. </w:t>
            </w:r>
          </w:p>
          <w:p w14:paraId="15AC7EDC" w14:textId="5DD6DBA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Numerator: Population-level consumption of morphine-equivalent strong </w:t>
            </w:r>
            <w:r w:rsidR="00051AE5" w:rsidRPr="001B16D1">
              <w:rPr>
                <w:rFonts w:cstheme="minorHAnsi"/>
                <w:sz w:val="18"/>
                <w:szCs w:val="18"/>
                <w:lang w:val="en-GB"/>
              </w:rPr>
              <w:t xml:space="preserve">oral </w:t>
            </w:r>
            <w:r w:rsidRPr="001B16D1">
              <w:rPr>
                <w:rFonts w:cstheme="minorHAnsi"/>
                <w:sz w:val="18"/>
                <w:szCs w:val="18"/>
                <w:lang w:val="en-GB"/>
              </w:rPr>
              <w:t xml:space="preserve">opioid analgesics for a given time period. </w:t>
            </w:r>
            <w:r w:rsidRPr="001B16D1">
              <w:rPr>
                <w:rFonts w:cstheme="minorHAnsi"/>
                <w:sz w:val="18"/>
                <w:szCs w:val="18"/>
                <w:lang w:val="en-GB"/>
              </w:rPr>
              <w:br/>
              <w:t>Levels of consumption of opioid medicines in kilograms or grams (for Fentanyl) are calculated by the INCB on the basis of statistics on manufacture and trade provided by Governments. Consumed quantities include those distributed by wholesalers or manufacturers to retailers (mainly pharmacies and hospitals) plus quantities imported directly by retailers. In countries where the retailers obtain their supply from abroad, quantities declared as imported are considered to be destined for consumption. Therefore the average reported consumption for the previous three-year period in many cases provides a more accurate estimate of actual consumption since volumes procured in one year may be consumed in the following year.</w:t>
            </w:r>
            <w:r w:rsidRPr="001B16D1">
              <w:rPr>
                <w:rFonts w:cstheme="minorHAnsi"/>
                <w:sz w:val="18"/>
                <w:szCs w:val="18"/>
                <w:lang w:val="en-GB"/>
              </w:rPr>
              <w:br/>
              <w:t>Morphine-equivalent volumes are calculated as: (1*</w:t>
            </w:r>
            <w:proofErr w:type="gramStart"/>
            <w:r w:rsidRPr="001B16D1">
              <w:rPr>
                <w:rFonts w:cstheme="minorHAnsi"/>
                <w:sz w:val="18"/>
                <w:szCs w:val="18"/>
                <w:lang w:val="en-GB"/>
              </w:rPr>
              <w:t>morphine)+(</w:t>
            </w:r>
            <w:proofErr w:type="gramEnd"/>
            <w:r w:rsidRPr="001B16D1">
              <w:rPr>
                <w:rFonts w:cstheme="minorHAnsi"/>
                <w:sz w:val="18"/>
                <w:szCs w:val="18"/>
                <w:lang w:val="en-GB"/>
              </w:rPr>
              <w:t>83.3*fentanyl)+(5*hydromorphone)+(1.33*oxycodone)+ (0.25*pethidine)</w:t>
            </w:r>
            <w:r w:rsidRPr="001B16D1">
              <w:rPr>
                <w:rFonts w:cstheme="minorHAnsi"/>
                <w:sz w:val="18"/>
                <w:szCs w:val="18"/>
                <w:lang w:val="en-GB"/>
              </w:rPr>
              <w:br/>
              <w:t xml:space="preserve">Denominator: Number of </w:t>
            </w:r>
            <w:r w:rsidR="00051AE5" w:rsidRPr="001B16D1">
              <w:rPr>
                <w:rFonts w:cstheme="minorHAnsi"/>
                <w:sz w:val="18"/>
                <w:szCs w:val="18"/>
                <w:lang w:val="en-GB"/>
              </w:rPr>
              <w:t xml:space="preserve">terminal diagnoses </w:t>
            </w:r>
            <w:r w:rsidRPr="001B16D1">
              <w:rPr>
                <w:rFonts w:cstheme="minorHAnsi"/>
                <w:sz w:val="18"/>
                <w:szCs w:val="18"/>
                <w:lang w:val="en-GB"/>
              </w:rPr>
              <w:t>occurring in the population over the same time period.</w:t>
            </w:r>
            <w:r w:rsidRPr="001B16D1">
              <w:rPr>
                <w:rFonts w:cstheme="minorHAnsi"/>
                <w:sz w:val="18"/>
                <w:szCs w:val="18"/>
                <w:lang w:val="en-GB"/>
              </w:rPr>
              <w:br/>
              <w:t>Calculation:  Numerator/Denominator</w:t>
            </w:r>
          </w:p>
        </w:tc>
      </w:tr>
      <w:tr w:rsidR="00FA2345" w:rsidRPr="00610088" w14:paraId="3F00FA82" w14:textId="77777777" w:rsidTr="006837ED">
        <w:trPr>
          <w:trHeight w:val="397"/>
        </w:trPr>
        <w:tc>
          <w:tcPr>
            <w:tcW w:w="3397" w:type="dxa"/>
            <w:shd w:val="clear" w:color="auto" w:fill="auto"/>
            <w:hideMark/>
          </w:tcPr>
          <w:p w14:paraId="22E05A2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4.9 Availability of vaccines against human papillomavirus</w:t>
            </w:r>
          </w:p>
        </w:tc>
        <w:tc>
          <w:tcPr>
            <w:tcW w:w="11624" w:type="dxa"/>
            <w:shd w:val="clear" w:color="auto" w:fill="auto"/>
            <w:hideMark/>
          </w:tcPr>
          <w:p w14:paraId="13EE6AA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Availability of HPV vaccines as part of a national immunization schedule</w:t>
            </w:r>
          </w:p>
        </w:tc>
      </w:tr>
      <w:tr w:rsidR="00FA2345" w:rsidRPr="00610088" w14:paraId="1D37FD4F" w14:textId="77777777" w:rsidTr="006837ED">
        <w:trPr>
          <w:trHeight w:val="397"/>
        </w:trPr>
        <w:tc>
          <w:tcPr>
            <w:tcW w:w="3397" w:type="dxa"/>
            <w:shd w:val="clear" w:color="auto" w:fill="auto"/>
            <w:hideMark/>
          </w:tcPr>
          <w:p w14:paraId="796C2137"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4.10 Vaccination coverage against hepatitis B virus monitored by number of third doses of Hep-B vaccine (HepB3) administered to infants</w:t>
            </w:r>
          </w:p>
        </w:tc>
        <w:tc>
          <w:tcPr>
            <w:tcW w:w="11624" w:type="dxa"/>
            <w:shd w:val="clear" w:color="auto" w:fill="auto"/>
            <w:hideMark/>
          </w:tcPr>
          <w:p w14:paraId="44432DC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children aged 12-23 months participating in the survey who received three doses of hepatitis B vaccine any time before the survey (MICS: by their first birthday)</w:t>
            </w:r>
            <w:r w:rsidRPr="001B16D1">
              <w:rPr>
                <w:rFonts w:cstheme="minorHAnsi"/>
                <w:sz w:val="18"/>
                <w:szCs w:val="18"/>
                <w:lang w:val="en-GB"/>
              </w:rPr>
              <w:br/>
              <w:t>Denominator: Number of children aged 12-23 months who participated in the survey</w:t>
            </w:r>
            <w:r w:rsidRPr="001B16D1">
              <w:rPr>
                <w:rFonts w:cstheme="minorHAnsi"/>
                <w:sz w:val="18"/>
                <w:szCs w:val="18"/>
                <w:lang w:val="en-GB"/>
              </w:rPr>
              <w:br/>
              <w:t>Calculation: Numerator/Denominator * 100%</w:t>
            </w:r>
          </w:p>
        </w:tc>
      </w:tr>
      <w:tr w:rsidR="00FA2345" w:rsidRPr="00610088" w14:paraId="67AC9506" w14:textId="77777777" w:rsidTr="006837ED">
        <w:trPr>
          <w:trHeight w:val="397"/>
        </w:trPr>
        <w:tc>
          <w:tcPr>
            <w:tcW w:w="3397" w:type="dxa"/>
            <w:shd w:val="clear" w:color="auto" w:fill="auto"/>
            <w:hideMark/>
          </w:tcPr>
          <w:p w14:paraId="25E7011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4.11 Proportion of women between the ages of 30–49 screened for cervical cancer at least once in the last 5 years</w:t>
            </w:r>
          </w:p>
        </w:tc>
        <w:tc>
          <w:tcPr>
            <w:tcW w:w="11624" w:type="dxa"/>
            <w:shd w:val="clear" w:color="auto" w:fill="auto"/>
            <w:hideMark/>
          </w:tcPr>
          <w:p w14:paraId="2A21B09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Proportion of women aged 30 - 49 who report they were screened for cervical cancer using any of the following methods: Visual Inspection with Acetic Acid/vinegar (VIA), pap smear and Human Papillomavirus (HPV) test. </w:t>
            </w:r>
          </w:p>
          <w:p w14:paraId="6981480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Numerator:  Number of women aged 30-49 who report ever having had a screening test for cervical cancer using any of these methods: Visual Inspection with Acetic Acid/vinegar (VIA), pap smear and Human Papillomavirus (HPV) test.</w:t>
            </w:r>
            <w:r w:rsidRPr="001B16D1">
              <w:rPr>
                <w:rFonts w:cstheme="minorHAnsi"/>
                <w:sz w:val="18"/>
                <w:szCs w:val="18"/>
                <w:lang w:val="en-GB"/>
              </w:rPr>
              <w:br/>
              <w:t>Denominator: All female respondents aged 30-49.</w:t>
            </w:r>
            <w:r w:rsidRPr="001B16D1">
              <w:rPr>
                <w:rFonts w:cstheme="minorHAnsi"/>
                <w:sz w:val="18"/>
                <w:szCs w:val="18"/>
                <w:lang w:val="en-GB"/>
              </w:rPr>
              <w:br/>
              <w:t>Calculation: Numerator / Denominator * 100%</w:t>
            </w:r>
          </w:p>
        </w:tc>
      </w:tr>
      <w:tr w:rsidR="00FA2345" w:rsidRPr="00610088" w14:paraId="5AE57E57" w14:textId="77777777" w:rsidTr="006837ED">
        <w:trPr>
          <w:trHeight w:val="397"/>
        </w:trPr>
        <w:tc>
          <w:tcPr>
            <w:tcW w:w="3397" w:type="dxa"/>
            <w:shd w:val="clear" w:color="auto" w:fill="auto"/>
            <w:hideMark/>
          </w:tcPr>
          <w:p w14:paraId="7913603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4.12 Nr PEN-CHCs where surrounding communities / families are providing (support to) NCD management and care</w:t>
            </w:r>
          </w:p>
        </w:tc>
        <w:tc>
          <w:tcPr>
            <w:tcW w:w="11624" w:type="dxa"/>
            <w:shd w:val="clear" w:color="auto" w:fill="auto"/>
            <w:hideMark/>
          </w:tcPr>
          <w:p w14:paraId="775DFFA7"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PEN-CHCs where surrounding communities / families are providing (support to) NCD management and care</w:t>
            </w:r>
          </w:p>
        </w:tc>
      </w:tr>
      <w:tr w:rsidR="00FA2345" w:rsidRPr="00610088" w14:paraId="6AE87A9B" w14:textId="77777777" w:rsidTr="006837ED">
        <w:trPr>
          <w:trHeight w:val="397"/>
        </w:trPr>
        <w:tc>
          <w:tcPr>
            <w:tcW w:w="3397" w:type="dxa"/>
            <w:shd w:val="clear" w:color="auto" w:fill="auto"/>
            <w:hideMark/>
          </w:tcPr>
          <w:p w14:paraId="1DC2DA2B"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4.13 % of NCD service sites with updated NCD guidelines /protocols for PHUs and Hospitals</w:t>
            </w:r>
          </w:p>
        </w:tc>
        <w:tc>
          <w:tcPr>
            <w:tcW w:w="11624" w:type="dxa"/>
            <w:shd w:val="clear" w:color="auto" w:fill="auto"/>
            <w:hideMark/>
          </w:tcPr>
          <w:p w14:paraId="57386B2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Percentage of NCD services sites with updated NCD guidelines/ protocols present in the past 12 months. </w:t>
            </w:r>
          </w:p>
          <w:p w14:paraId="2A748919" w14:textId="77777777" w:rsidR="00FA2345" w:rsidRPr="001B16D1" w:rsidRDefault="00FA2345" w:rsidP="00B645C7">
            <w:pPr>
              <w:pStyle w:val="NoSpacing"/>
              <w:rPr>
                <w:rFonts w:cstheme="minorHAnsi"/>
                <w:sz w:val="18"/>
                <w:szCs w:val="18"/>
                <w:lang w:val="en-GB"/>
              </w:rPr>
            </w:pPr>
          </w:p>
        </w:tc>
      </w:tr>
      <w:tr w:rsidR="00FA2345" w:rsidRPr="00610088" w14:paraId="0B66999E" w14:textId="77777777" w:rsidTr="006837ED">
        <w:trPr>
          <w:trHeight w:val="397"/>
        </w:trPr>
        <w:tc>
          <w:tcPr>
            <w:tcW w:w="3397" w:type="dxa"/>
            <w:shd w:val="clear" w:color="auto" w:fill="auto"/>
            <w:hideMark/>
          </w:tcPr>
          <w:p w14:paraId="6DA2503D"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lastRenderedPageBreak/>
              <w:t>5.1 Nr of NCDI commission meetings</w:t>
            </w:r>
          </w:p>
        </w:tc>
        <w:tc>
          <w:tcPr>
            <w:tcW w:w="11624" w:type="dxa"/>
            <w:shd w:val="clear" w:color="auto" w:fill="auto"/>
            <w:hideMark/>
          </w:tcPr>
          <w:p w14:paraId="06ED1CB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quarterly meeting of the national multisectoral NCDI commission in the past 12 months.</w:t>
            </w:r>
          </w:p>
        </w:tc>
      </w:tr>
      <w:tr w:rsidR="00FA2345" w:rsidRPr="00610088" w14:paraId="656FB8C2" w14:textId="77777777" w:rsidTr="006837ED">
        <w:trPr>
          <w:trHeight w:val="397"/>
        </w:trPr>
        <w:tc>
          <w:tcPr>
            <w:tcW w:w="3397" w:type="dxa"/>
            <w:shd w:val="clear" w:color="auto" w:fill="auto"/>
            <w:hideMark/>
          </w:tcPr>
          <w:p w14:paraId="35F4D1E3"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5.2 Nr of National TWG meetings</w:t>
            </w:r>
          </w:p>
        </w:tc>
        <w:tc>
          <w:tcPr>
            <w:tcW w:w="11624" w:type="dxa"/>
            <w:shd w:val="clear" w:color="auto" w:fill="auto"/>
            <w:hideMark/>
          </w:tcPr>
          <w:p w14:paraId="0C24B787"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(at least) quarterly meetings of the national TWGs in the past 12 months, disaggregated by type</w:t>
            </w:r>
          </w:p>
        </w:tc>
      </w:tr>
      <w:tr w:rsidR="00FA2345" w:rsidRPr="00610088" w14:paraId="75353FB8" w14:textId="77777777" w:rsidTr="006837ED">
        <w:trPr>
          <w:trHeight w:val="397"/>
        </w:trPr>
        <w:tc>
          <w:tcPr>
            <w:tcW w:w="3397" w:type="dxa"/>
            <w:shd w:val="clear" w:color="auto" w:fill="auto"/>
            <w:hideMark/>
          </w:tcPr>
          <w:p w14:paraId="1B219B2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5.3 Nr of District NCD committee meetings in each of the 16 districts</w:t>
            </w:r>
          </w:p>
        </w:tc>
        <w:tc>
          <w:tcPr>
            <w:tcW w:w="11624" w:type="dxa"/>
            <w:shd w:val="clear" w:color="auto" w:fill="auto"/>
            <w:hideMark/>
          </w:tcPr>
          <w:p w14:paraId="734929A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monthly meetings of the district NCD committees in the past 12 months, disaggregated by district</w:t>
            </w:r>
          </w:p>
        </w:tc>
      </w:tr>
      <w:tr w:rsidR="00FA2345" w:rsidRPr="00610088" w14:paraId="3AE2DAC6" w14:textId="77777777" w:rsidTr="006837ED">
        <w:trPr>
          <w:trHeight w:val="397"/>
        </w:trPr>
        <w:tc>
          <w:tcPr>
            <w:tcW w:w="3397" w:type="dxa"/>
            <w:shd w:val="clear" w:color="auto" w:fill="auto"/>
            <w:hideMark/>
          </w:tcPr>
          <w:p w14:paraId="55AD5F0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5.4 Nr of stakeholder orientation meetings on NCD prevention and control</w:t>
            </w:r>
          </w:p>
        </w:tc>
        <w:tc>
          <w:tcPr>
            <w:tcW w:w="11624" w:type="dxa"/>
            <w:shd w:val="clear" w:color="auto" w:fill="auto"/>
            <w:hideMark/>
          </w:tcPr>
          <w:p w14:paraId="772294C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Number of orientation meetings held with stakeholders on NCD prevention and control in the past 12 months</w:t>
            </w:r>
          </w:p>
        </w:tc>
      </w:tr>
      <w:tr w:rsidR="00FA2345" w:rsidRPr="00610088" w14:paraId="4BBB9149" w14:textId="77777777" w:rsidTr="006837ED">
        <w:trPr>
          <w:trHeight w:val="397"/>
        </w:trPr>
        <w:tc>
          <w:tcPr>
            <w:tcW w:w="3397" w:type="dxa"/>
            <w:shd w:val="clear" w:color="auto" w:fill="auto"/>
            <w:hideMark/>
          </w:tcPr>
          <w:p w14:paraId="23B5116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5.5 Number of community engagement activities at district level on NCDs</w:t>
            </w:r>
          </w:p>
        </w:tc>
        <w:tc>
          <w:tcPr>
            <w:tcW w:w="11624" w:type="dxa"/>
            <w:shd w:val="clear" w:color="auto" w:fill="auto"/>
            <w:hideMark/>
          </w:tcPr>
          <w:p w14:paraId="746997E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Number of community engagement activities at district level (16 districts) about NCDs by the NCD Directorate and its partners in the past 12 months. </w:t>
            </w:r>
          </w:p>
        </w:tc>
      </w:tr>
      <w:tr w:rsidR="00FA2345" w:rsidRPr="00610088" w14:paraId="2A382AB8" w14:textId="77777777" w:rsidTr="006837ED">
        <w:trPr>
          <w:trHeight w:val="397"/>
        </w:trPr>
        <w:tc>
          <w:tcPr>
            <w:tcW w:w="3397" w:type="dxa"/>
            <w:shd w:val="clear" w:color="auto" w:fill="auto"/>
            <w:hideMark/>
          </w:tcPr>
          <w:p w14:paraId="19775CD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5.6 Presence of an actively updated database with all relevant NCD partners</w:t>
            </w:r>
          </w:p>
        </w:tc>
        <w:tc>
          <w:tcPr>
            <w:tcW w:w="11624" w:type="dxa"/>
            <w:shd w:val="clear" w:color="auto" w:fill="auto"/>
            <w:hideMark/>
          </w:tcPr>
          <w:p w14:paraId="1330ADF2"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Active updated database with all relevant NCD partners (implementers, stakeholders, partners, donors) is available. Last update not older than 6 months.</w:t>
            </w:r>
          </w:p>
        </w:tc>
      </w:tr>
      <w:tr w:rsidR="00FA2345" w:rsidRPr="00610088" w14:paraId="33A498C6" w14:textId="77777777" w:rsidTr="006837ED">
        <w:trPr>
          <w:trHeight w:val="397"/>
        </w:trPr>
        <w:tc>
          <w:tcPr>
            <w:tcW w:w="3397" w:type="dxa"/>
            <w:shd w:val="clear" w:color="auto" w:fill="auto"/>
            <w:hideMark/>
          </w:tcPr>
          <w:p w14:paraId="6AABD03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5.7 Attendance of partners to harmonization / joint development meetings</w:t>
            </w:r>
          </w:p>
        </w:tc>
        <w:tc>
          <w:tcPr>
            <w:tcW w:w="11624" w:type="dxa"/>
            <w:shd w:val="clear" w:color="auto" w:fill="auto"/>
            <w:hideMark/>
          </w:tcPr>
          <w:p w14:paraId="5C60EBF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At least 50% of the relevant partners (from the database) attend harmonization/ joint development meetings for new programs / guidelines for prevention / control programs</w:t>
            </w:r>
          </w:p>
        </w:tc>
      </w:tr>
      <w:tr w:rsidR="00FA2345" w:rsidRPr="00610088" w14:paraId="0DB1A092" w14:textId="77777777" w:rsidTr="006837ED">
        <w:trPr>
          <w:trHeight w:val="397"/>
        </w:trPr>
        <w:tc>
          <w:tcPr>
            <w:tcW w:w="3397" w:type="dxa"/>
            <w:shd w:val="clear" w:color="auto" w:fill="auto"/>
            <w:hideMark/>
          </w:tcPr>
          <w:p w14:paraId="3FD9D6B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6.1 Nr of STEPS surveys conducted in the last 12 months</w:t>
            </w:r>
          </w:p>
        </w:tc>
        <w:tc>
          <w:tcPr>
            <w:tcW w:w="11624" w:type="dxa"/>
            <w:shd w:val="clear" w:color="auto" w:fill="auto"/>
            <w:hideMark/>
          </w:tcPr>
          <w:p w14:paraId="23100494"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STEPS surveys conducted in the last 12 months (take the date of data collection as the date of conducting)</w:t>
            </w:r>
          </w:p>
        </w:tc>
      </w:tr>
      <w:tr w:rsidR="00FA2345" w:rsidRPr="00610088" w14:paraId="5BA6837F" w14:textId="77777777" w:rsidTr="006837ED">
        <w:trPr>
          <w:trHeight w:val="397"/>
        </w:trPr>
        <w:tc>
          <w:tcPr>
            <w:tcW w:w="3397" w:type="dxa"/>
            <w:shd w:val="clear" w:color="auto" w:fill="auto"/>
            <w:hideMark/>
          </w:tcPr>
          <w:p w14:paraId="5F91D75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6.2 Nr of quarterly NCD data analysis reports</w:t>
            </w:r>
          </w:p>
        </w:tc>
        <w:tc>
          <w:tcPr>
            <w:tcW w:w="11624" w:type="dxa"/>
            <w:shd w:val="clear" w:color="auto" w:fill="auto"/>
            <w:hideMark/>
          </w:tcPr>
          <w:p w14:paraId="78FF2C4C"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Nr of Quarterly extraction and analysis reports of DHIS NCD data in the last 12 months. </w:t>
            </w:r>
          </w:p>
        </w:tc>
      </w:tr>
      <w:tr w:rsidR="00FA2345" w:rsidRPr="00610088" w14:paraId="404833CC" w14:textId="77777777" w:rsidTr="006837ED">
        <w:trPr>
          <w:trHeight w:val="397"/>
        </w:trPr>
        <w:tc>
          <w:tcPr>
            <w:tcW w:w="3397" w:type="dxa"/>
            <w:shd w:val="clear" w:color="auto" w:fill="auto"/>
            <w:hideMark/>
          </w:tcPr>
          <w:p w14:paraId="570D6D8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6.3 Number of annual review meetings</w:t>
            </w:r>
          </w:p>
        </w:tc>
        <w:tc>
          <w:tcPr>
            <w:tcW w:w="11624" w:type="dxa"/>
            <w:shd w:val="clear" w:color="auto" w:fill="auto"/>
            <w:hideMark/>
          </w:tcPr>
          <w:p w14:paraId="3930141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Nr of Annual review meetings held in the last 12 months to discuss amongst others epidemiological trends of NCDs and their determinants </w:t>
            </w:r>
          </w:p>
        </w:tc>
      </w:tr>
      <w:tr w:rsidR="00FA2345" w:rsidRPr="00610088" w14:paraId="11847F66" w14:textId="77777777" w:rsidTr="006837ED">
        <w:trPr>
          <w:trHeight w:val="397"/>
        </w:trPr>
        <w:tc>
          <w:tcPr>
            <w:tcW w:w="3397" w:type="dxa"/>
            <w:shd w:val="clear" w:color="auto" w:fill="auto"/>
            <w:hideMark/>
          </w:tcPr>
          <w:p w14:paraId="3D055EE9"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6.4 Nr of districts that received national NCD supervision </w:t>
            </w:r>
          </w:p>
        </w:tc>
        <w:tc>
          <w:tcPr>
            <w:tcW w:w="11624" w:type="dxa"/>
            <w:shd w:val="clear" w:color="auto" w:fill="auto"/>
            <w:hideMark/>
          </w:tcPr>
          <w:p w14:paraId="1216DFC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districts that had an annual supervision visit by DNCD&amp;MH in the last 12 months</w:t>
            </w:r>
          </w:p>
        </w:tc>
      </w:tr>
      <w:tr w:rsidR="00FA2345" w:rsidRPr="00610088" w14:paraId="68FB2B29" w14:textId="77777777" w:rsidTr="006837ED">
        <w:trPr>
          <w:trHeight w:val="397"/>
        </w:trPr>
        <w:tc>
          <w:tcPr>
            <w:tcW w:w="3397" w:type="dxa"/>
            <w:shd w:val="clear" w:color="auto" w:fill="auto"/>
            <w:hideMark/>
          </w:tcPr>
          <w:p w14:paraId="6ED4DDB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6.5 Nr of districts with 90% NCD health facility supervision</w:t>
            </w:r>
          </w:p>
        </w:tc>
        <w:tc>
          <w:tcPr>
            <w:tcW w:w="11624" w:type="dxa"/>
            <w:shd w:val="clear" w:color="auto" w:fill="auto"/>
            <w:hideMark/>
          </w:tcPr>
          <w:p w14:paraId="774A4F1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districts that visited 90% of health facilities that provide NCD services at least once a year for comprehensive NCD supervision</w:t>
            </w:r>
          </w:p>
        </w:tc>
      </w:tr>
      <w:tr w:rsidR="00FA2345" w:rsidRPr="00610088" w14:paraId="6D3CEB02" w14:textId="77777777" w:rsidTr="006837ED">
        <w:trPr>
          <w:trHeight w:val="397"/>
        </w:trPr>
        <w:tc>
          <w:tcPr>
            <w:tcW w:w="3397" w:type="dxa"/>
            <w:shd w:val="clear" w:color="auto" w:fill="auto"/>
            <w:hideMark/>
          </w:tcPr>
          <w:p w14:paraId="3737DE9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6.6 Nr of regions covered by cancer registry </w:t>
            </w:r>
          </w:p>
        </w:tc>
        <w:tc>
          <w:tcPr>
            <w:tcW w:w="11624" w:type="dxa"/>
            <w:shd w:val="clear" w:color="auto" w:fill="auto"/>
            <w:hideMark/>
          </w:tcPr>
          <w:p w14:paraId="75643F5E"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 xml:space="preserve">Definition: Number of regions covered by the cancer registry </w:t>
            </w:r>
          </w:p>
        </w:tc>
      </w:tr>
      <w:tr w:rsidR="00FA2345" w:rsidRPr="00610088" w14:paraId="5651DD55" w14:textId="77777777" w:rsidTr="006837ED">
        <w:trPr>
          <w:trHeight w:val="397"/>
        </w:trPr>
        <w:tc>
          <w:tcPr>
            <w:tcW w:w="3397" w:type="dxa"/>
            <w:shd w:val="clear" w:color="auto" w:fill="auto"/>
            <w:hideMark/>
          </w:tcPr>
          <w:p w14:paraId="7BF9B74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6.7 Inclusion of cancer registry in DHIS/HMIS</w:t>
            </w:r>
          </w:p>
        </w:tc>
        <w:tc>
          <w:tcPr>
            <w:tcW w:w="11624" w:type="dxa"/>
            <w:shd w:val="clear" w:color="auto" w:fill="auto"/>
            <w:hideMark/>
          </w:tcPr>
          <w:p w14:paraId="35F8D318"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Inclusion of either aggregated or patient level cancer registry into digitized national systems (DHIS or other entity in the HMIS) Establish if inclusion is in place at the moment</w:t>
            </w:r>
          </w:p>
        </w:tc>
      </w:tr>
      <w:tr w:rsidR="00FA2345" w:rsidRPr="00610088" w14:paraId="4E45762B" w14:textId="77777777" w:rsidTr="006837ED">
        <w:trPr>
          <w:trHeight w:val="397"/>
        </w:trPr>
        <w:tc>
          <w:tcPr>
            <w:tcW w:w="3397" w:type="dxa"/>
            <w:shd w:val="clear" w:color="auto" w:fill="auto"/>
            <w:hideMark/>
          </w:tcPr>
          <w:p w14:paraId="58D12B65"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6.8 Existence joint NCD research agenda based on national priorities</w:t>
            </w:r>
          </w:p>
        </w:tc>
        <w:tc>
          <w:tcPr>
            <w:tcW w:w="11624" w:type="dxa"/>
            <w:shd w:val="clear" w:color="auto" w:fill="auto"/>
            <w:hideMark/>
          </w:tcPr>
          <w:p w14:paraId="6B7AA39F"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Joint NCD research agenda based on current national priorities is in existence</w:t>
            </w:r>
          </w:p>
        </w:tc>
      </w:tr>
      <w:tr w:rsidR="00FA2345" w:rsidRPr="00610088" w14:paraId="58A99134" w14:textId="77777777" w:rsidTr="006837ED">
        <w:trPr>
          <w:trHeight w:val="397"/>
        </w:trPr>
        <w:tc>
          <w:tcPr>
            <w:tcW w:w="3397" w:type="dxa"/>
            <w:shd w:val="clear" w:color="auto" w:fill="auto"/>
            <w:hideMark/>
          </w:tcPr>
          <w:p w14:paraId="14DC0630"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6.9 Number of Annual NCD research meetings</w:t>
            </w:r>
          </w:p>
        </w:tc>
        <w:tc>
          <w:tcPr>
            <w:tcW w:w="11624" w:type="dxa"/>
            <w:shd w:val="clear" w:color="auto" w:fill="auto"/>
            <w:hideMark/>
          </w:tcPr>
          <w:p w14:paraId="57E62711"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Annual NCD research meeting to present NCD research and identify NCD research agenda</w:t>
            </w:r>
          </w:p>
        </w:tc>
      </w:tr>
      <w:tr w:rsidR="00FA2345" w:rsidRPr="00610088" w14:paraId="54A39721" w14:textId="77777777" w:rsidTr="006837ED">
        <w:trPr>
          <w:trHeight w:val="397"/>
        </w:trPr>
        <w:tc>
          <w:tcPr>
            <w:tcW w:w="3397" w:type="dxa"/>
            <w:shd w:val="clear" w:color="auto" w:fill="auto"/>
            <w:hideMark/>
          </w:tcPr>
          <w:p w14:paraId="7FD9B176"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6.10 Number of NCD researches conducted</w:t>
            </w:r>
          </w:p>
        </w:tc>
        <w:tc>
          <w:tcPr>
            <w:tcW w:w="11624" w:type="dxa"/>
            <w:shd w:val="clear" w:color="auto" w:fill="auto"/>
            <w:hideMark/>
          </w:tcPr>
          <w:p w14:paraId="5D79FFAA" w14:textId="77777777" w:rsidR="00FA2345" w:rsidRPr="001B16D1" w:rsidRDefault="00FA2345" w:rsidP="00B645C7">
            <w:pPr>
              <w:pStyle w:val="NoSpacing"/>
              <w:rPr>
                <w:rFonts w:cstheme="minorHAnsi"/>
                <w:sz w:val="18"/>
                <w:szCs w:val="18"/>
                <w:lang w:val="en-GB"/>
              </w:rPr>
            </w:pPr>
            <w:r w:rsidRPr="001B16D1">
              <w:rPr>
                <w:rFonts w:cstheme="minorHAnsi"/>
                <w:sz w:val="18"/>
                <w:szCs w:val="18"/>
                <w:lang w:val="en-GB"/>
              </w:rPr>
              <w:t>Definition:  Nr of NCD researches that were conducted and finalized in the last year, as per the final research reports</w:t>
            </w:r>
          </w:p>
        </w:tc>
      </w:tr>
    </w:tbl>
    <w:p w14:paraId="2CC6D40D" w14:textId="77777777" w:rsidR="00FA2345" w:rsidRPr="00610088" w:rsidRDefault="00FA2345" w:rsidP="00FA2345">
      <w:pPr>
        <w:rPr>
          <w:lang w:val="en-GB"/>
        </w:rPr>
      </w:pPr>
    </w:p>
    <w:p w14:paraId="2F83562C" w14:textId="77777777" w:rsidR="0057323A" w:rsidRPr="00610088" w:rsidRDefault="0057323A">
      <w:pPr>
        <w:rPr>
          <w:sz w:val="18"/>
          <w:szCs w:val="18"/>
          <w:lang w:val="en-GB"/>
        </w:rPr>
      </w:pPr>
      <w:r w:rsidRPr="00610088">
        <w:rPr>
          <w:sz w:val="18"/>
          <w:szCs w:val="18"/>
          <w:lang w:val="en-GB"/>
        </w:rPr>
        <w:br w:type="page"/>
      </w:r>
    </w:p>
    <w:p w14:paraId="6895DA06" w14:textId="77777777" w:rsidR="0057323A" w:rsidRPr="00610088" w:rsidRDefault="0057323A" w:rsidP="0057323A">
      <w:pPr>
        <w:pStyle w:val="Heading1"/>
        <w:rPr>
          <w:lang w:val="en-GB"/>
        </w:rPr>
        <w:sectPr w:rsidR="0057323A" w:rsidRPr="00610088" w:rsidSect="006F3AA7">
          <w:pgSz w:w="16840" w:h="11900" w:orient="landscape"/>
          <w:pgMar w:top="1440" w:right="1440" w:bottom="1440" w:left="1440" w:header="708" w:footer="708" w:gutter="0"/>
          <w:cols w:space="708"/>
          <w:docGrid w:linePitch="360"/>
        </w:sectPr>
      </w:pPr>
    </w:p>
    <w:p w14:paraId="032EED3E" w14:textId="3F5CFBEF" w:rsidR="00855F6B" w:rsidRPr="00610088" w:rsidRDefault="00FA2345" w:rsidP="00FA2345">
      <w:pPr>
        <w:pStyle w:val="Heading1"/>
        <w:numPr>
          <w:ilvl w:val="0"/>
          <w:numId w:val="0"/>
        </w:numPr>
        <w:rPr>
          <w:lang w:val="en-GB"/>
        </w:rPr>
      </w:pPr>
      <w:bookmarkStart w:id="217" w:name="_Toc41370578"/>
      <w:r w:rsidRPr="00610088">
        <w:rPr>
          <w:lang w:val="en-GB"/>
        </w:rPr>
        <w:lastRenderedPageBreak/>
        <w:t xml:space="preserve">Annex </w:t>
      </w:r>
      <w:r w:rsidR="004B0FCF" w:rsidRPr="00610088">
        <w:rPr>
          <w:lang w:val="en-GB"/>
        </w:rPr>
        <w:t>6</w:t>
      </w:r>
      <w:r w:rsidRPr="00610088">
        <w:rPr>
          <w:lang w:val="en-GB"/>
        </w:rPr>
        <w:t xml:space="preserve">: </w:t>
      </w:r>
      <w:r w:rsidR="0057323A" w:rsidRPr="00610088">
        <w:rPr>
          <w:lang w:val="en-GB"/>
        </w:rPr>
        <w:t>References</w:t>
      </w:r>
      <w:r w:rsidR="0029311E" w:rsidRPr="00610088">
        <w:rPr>
          <w:lang w:val="en-GB"/>
        </w:rPr>
        <w:t xml:space="preserve"> and notes</w:t>
      </w:r>
      <w:bookmarkEnd w:id="217"/>
    </w:p>
    <w:sectPr w:rsidR="00855F6B" w:rsidRPr="00610088" w:rsidSect="0057323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411C" w14:textId="77777777" w:rsidR="001B1357" w:rsidRDefault="001B1357" w:rsidP="00F9237E">
      <w:r>
        <w:separator/>
      </w:r>
    </w:p>
  </w:endnote>
  <w:endnote w:type="continuationSeparator" w:id="0">
    <w:p w14:paraId="18B4E71B" w14:textId="77777777" w:rsidR="001B1357" w:rsidRDefault="001B1357" w:rsidP="00F9237E">
      <w:r>
        <w:continuationSeparator/>
      </w:r>
    </w:p>
  </w:endnote>
  <w:endnote w:id="1">
    <w:p w14:paraId="3AA1EFF6"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Census 2015 populations projections report, Statistics Sierra Leone. </w:t>
      </w:r>
    </w:p>
  </w:endnote>
  <w:endnote w:id="2">
    <w:p w14:paraId="430B9A44"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Census 2015 national analytical report, Statistics Sierra Leone. </w:t>
      </w:r>
    </w:p>
  </w:endnote>
  <w:endnote w:id="3">
    <w:p w14:paraId="2F29F19B" w14:textId="1BE15058" w:rsidR="00504B06" w:rsidRPr="001B16D1" w:rsidRDefault="00504B06" w:rsidP="0057323A">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Human Development Reports, United Nations Development Programme, http://hdr.undp.org/en/composite/GII, accessed 25th July 2019.</w:t>
      </w:r>
      <w:r w:rsidRPr="001B16D1">
        <w:rPr>
          <w:rFonts w:cstheme="minorHAnsi"/>
          <w:sz w:val="18"/>
          <w:szCs w:val="18"/>
        </w:rPr>
        <w:t xml:space="preserve"> </w:t>
      </w:r>
    </w:p>
  </w:endnote>
  <w:endnote w:id="4">
    <w:p w14:paraId="7726850C" w14:textId="4882C2A6" w:rsidR="00504B06" w:rsidRPr="001B16D1" w:rsidRDefault="00504B06" w:rsidP="0057323A">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The World Bank in Sierra Leone – Overview, https://www.worldbank.org/en/country/sierraleone/overview, accessed 25th July 2019.</w:t>
      </w:r>
      <w:r w:rsidRPr="001B16D1">
        <w:rPr>
          <w:rFonts w:cstheme="minorHAnsi"/>
          <w:sz w:val="18"/>
          <w:szCs w:val="18"/>
        </w:rPr>
        <w:t xml:space="preserve"> </w:t>
      </w:r>
    </w:p>
  </w:endnote>
  <w:endnote w:id="5">
    <w:p w14:paraId="1BCB10FA"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Provisional results of the 2018 Sierra Leone Integrated Household Survey, Statistics Sierra Leone</w:t>
      </w:r>
    </w:p>
  </w:endnote>
  <w:endnote w:id="6">
    <w:p w14:paraId="585704C9"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Report on the 2016 and 2017 Real Gross Domestic Product (RGDP) Figures at 2006 Prices, Statistics Sierra Leone National Accounts Units, Statistics Sierra Leone, August 2018. </w:t>
      </w:r>
    </w:p>
  </w:endnote>
  <w:endnote w:id="7">
    <w:p w14:paraId="1D5F752E" w14:textId="73E5F54F"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Multiple Indicator Cluster Survey 2017, Survey Findings Report. Freetown, Sierra Leone: Statistics Sierra Leone.</w:t>
      </w:r>
    </w:p>
  </w:endnote>
  <w:endnote w:id="8">
    <w:p w14:paraId="7DB0F355" w14:textId="1EF69A2E"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Demographic and Health Survey 2013. Statistics Sierra Leone (SSL) and ICF International. 2014.  Freetown, Sierra Leone and Rockville, Maryland, USA: SSL and ICF International.</w:t>
      </w:r>
    </w:p>
  </w:endnote>
  <w:endnote w:id="9">
    <w:p w14:paraId="4378B801" w14:textId="4176F68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SLDHS 2019. Statistics Sierra Leone (Stats SL) and ICF. 2019. Sierra Leone Demographic and Health Survey 2019: Key Indicators. Freetown, Sierra Leone, and Rockville, Maryland, USA: Stats SL and ICF.</w:t>
      </w:r>
    </w:p>
  </w:endnote>
  <w:endnote w:id="10">
    <w:p w14:paraId="20D24877" w14:textId="1592327B"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Tuberculosis profile 2017. Generated 14 August 2019. World Health Organization. https://extranet.who.int/sree/Reports?op=Replet&amp;name=/WHO_HQ_Reports/G2/PROD/EXT/TBCountryProfile&amp;ISO2=SL&amp;outtype=html. </w:t>
      </w:r>
    </w:p>
  </w:endnote>
  <w:endnote w:id="11">
    <w:p w14:paraId="7B701733" w14:textId="516E7A02"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Data from Directorate of Human Resources for Health, Ministry of Health and Sanitation, mentioned in the Annual Health Sector Performance Report 2016, Ministry of Health and Sanitation, Government of Sierra Leone. https://www.afro.who.int/sites/default/files/2017-08/Sierra%20Leone%20Health%20Sector%20%20Performance%20Report%202016.pdf</w:t>
      </w:r>
    </w:p>
  </w:endnote>
  <w:endnote w:id="12">
    <w:p w14:paraId="33D4F6AD" w14:textId="081F608C"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Data from the DHIS 2.0 of the, Ministry of Health and Sanitation in Sierra Leone, mentioned in the Annual Health Sector Performance Report 2016, Ministry of Health and Sanitation, Government of Sierra Leone. https://www.afro.who.int/sites/default/files/2017-08/Sierra%20Leone%20Health%20Sector%20%20Performance%20Report%202016.pdf </w:t>
      </w:r>
    </w:p>
  </w:endnote>
  <w:endnote w:id="13">
    <w:p w14:paraId="6F1C2D40" w14:textId="0D6F508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Data from the National Health Account reports from 2013 and 2014 as mentioned in the Annual Health Sector Performance Report 2016, Ministry of Health and Sanitation, Government of Sierra Leone. https://www.afro.who.int/sites/default/files/2017-08/Sierra%20Leone%20Health%20Sector%20%20Performance%20Report%202016.pdf</w:t>
      </w:r>
    </w:p>
  </w:endnote>
  <w:endnote w:id="14">
    <w:p w14:paraId="6D810267" w14:textId="41976D44"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Factsheet: Noncommunicable diseases, 1 June 2018, https://www.who.int/en/news-room/fact-sheets/detail/noncommunicable-diseases, accessed 21 April 2019</w:t>
      </w:r>
    </w:p>
  </w:endnote>
  <w:endnote w:id="15">
    <w:p w14:paraId="4FDA1FFF" w14:textId="084E9FEB"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Status Report on noncommunicable disease 2014 – “Attaining the nine global noncommunicable diseases targets; a shared responsibility”. World Health Organization. 2014.</w:t>
      </w:r>
    </w:p>
  </w:endnote>
  <w:endnote w:id="16">
    <w:p w14:paraId="4249DBFF" w14:textId="50891DC7"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Status Report on noncommunicable diseases 2010. World Health Organization. 2011.</w:t>
      </w:r>
    </w:p>
  </w:endnote>
  <w:endnote w:id="17">
    <w:p w14:paraId="190E68DD" w14:textId="77777777" w:rsidR="00504B06" w:rsidRPr="001B16D1" w:rsidRDefault="00504B06" w:rsidP="001B16D1">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Chronic Non-communicable Diseases in Low and Middle-income Countries. Book. Edited by A de-Graft Aikins, London School of Economics and Political Science, UK and University of Ghana, C Agyemang, Department of Public Health, The Netherlands</w:t>
      </w:r>
    </w:p>
    <w:p w14:paraId="58D9A35A" w14:textId="77777777" w:rsidR="00504B06" w:rsidRPr="001B16D1" w:rsidRDefault="00504B06" w:rsidP="001B16D1">
      <w:pPr>
        <w:pStyle w:val="EndnoteText"/>
        <w:rPr>
          <w:rFonts w:asciiTheme="minorHAnsi" w:hAnsiTheme="minorHAnsi" w:cstheme="minorHAnsi"/>
          <w:szCs w:val="18"/>
        </w:rPr>
      </w:pPr>
      <w:r w:rsidRPr="001B16D1">
        <w:rPr>
          <w:rFonts w:asciiTheme="minorHAnsi" w:hAnsiTheme="minorHAnsi" w:cstheme="minorHAnsi"/>
          <w:szCs w:val="18"/>
        </w:rPr>
        <w:t xml:space="preserve">December 2015 / ISBN  9781780643328. </w:t>
      </w:r>
    </w:p>
  </w:endnote>
  <w:endnote w:id="18">
    <w:p w14:paraId="305C8EF6" w14:textId="77777777" w:rsidR="00504B06" w:rsidRPr="001B16D1" w:rsidRDefault="00504B06" w:rsidP="001B16D1">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Behavioral science in diabetes. Contributions and opportunities. Diabetes Care. 1999 May;22(5):832-43.</w:t>
      </w:r>
    </w:p>
  </w:endnote>
  <w:endnote w:id="19">
    <w:p w14:paraId="09461445"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NCD related Sustainable Development Goals (SDGs) from https://www.un.org/sustainabledevelopment/health/, accessed 5th February 2019.</w:t>
      </w:r>
    </w:p>
  </w:endnote>
  <w:endnote w:id="20">
    <w:p w14:paraId="60844F71"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Prevention and control of noncommunicable diseases. Resolution at the fifty-third World Health Assembly WHA53.17, Agenda item 12.11, 20 May 2000. </w:t>
      </w:r>
    </w:p>
  </w:endnote>
  <w:endnote w:id="21">
    <w:p w14:paraId="1C575FED" w14:textId="7229851A"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Global Meeting to Accelerate Progress on SDG target 3.4 on NCDs and Mental Health, 9-12 December 2019. https://www.who.int/news-room/events/detail/2019/12/09/default-calendar/ncds2019. Accessed 2 February 2020.</w:t>
      </w:r>
    </w:p>
  </w:endnote>
  <w:endnote w:id="22">
    <w:p w14:paraId="4EE87A9E"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Strategy on Diet, Physical Activity and Health, World Health Organization, 2014. </w:t>
      </w:r>
    </w:p>
  </w:endnote>
  <w:endnote w:id="23">
    <w:p w14:paraId="47B4CDB3"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Set of recommendations on the marketing of foods and non-alcoholic beverages to children. ISBN 978 92 4 150021 0. World Health Organization 2010.</w:t>
      </w:r>
    </w:p>
  </w:endnote>
  <w:endnote w:id="24">
    <w:p w14:paraId="7E441EBF" w14:textId="0A5F7382"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strategy to reduce the harmful use of alcohol. ISBN 978 92 4 159993 1. World Health Organization 2010. Endorsed at 63rd World Health Assembly, https://www.who.int/substance_abuse/msbalcstragegy.pdf</w:t>
      </w:r>
    </w:p>
  </w:endnote>
  <w:endnote w:id="25">
    <w:p w14:paraId="73566FB5" w14:textId="2DCCC7BB" w:rsidR="00504B06" w:rsidRPr="001B16D1" w:rsidRDefault="00504B06" w:rsidP="00507C07">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Reduction of the Harmful Use of Alcohol: A Strategy for the WHO African Region, WHO Regional Office, https://www.afro.who.int/sites/default/files/sessions/working_documents/afr_rc60_4_version3.pdf and https://www.afro.who.int/sites/default/files/2017-06/ahm1608.pdf</w:t>
      </w:r>
    </w:p>
  </w:endnote>
  <w:endnote w:id="26">
    <w:p w14:paraId="165C739C"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action plan for the prevention and control of noncommunicable diseases 2013-2020. ISBN 978 92 4 150623 6. World Health Organization 2013. </w:t>
      </w:r>
    </w:p>
  </w:endnote>
  <w:endnote w:id="27">
    <w:p w14:paraId="1C5E4FE3" w14:textId="1B8EAEDF" w:rsidR="00504B06" w:rsidRPr="001B16D1" w:rsidRDefault="00504B06" w:rsidP="0096068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Framework Convention on Tobacco Control. ISBN 978 92 4 159101 0 (LC/NLM classification: HD 9130.6). World Health Organization 2003, updated reprint 2004, 2005. </w:t>
      </w:r>
    </w:p>
  </w:endnote>
  <w:endnote w:id="28">
    <w:p w14:paraId="1A051BF2" w14:textId="08B86028" w:rsidR="00504B06" w:rsidRPr="001B16D1" w:rsidRDefault="00504B06" w:rsidP="00E147A3">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SHAKE Technical Package for Salt Reduction. World Health Organization 2016. </w:t>
      </w:r>
    </w:p>
  </w:endnote>
  <w:endnote w:id="29">
    <w:p w14:paraId="73CBE2A3"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voluntary targets from: A66/8.ReportbytheDirector-General.Draftcomprehensiveglobalmonitoringframework and targets for the prevention and control of noncommunicable diseases. Formal Meeting of Member States to conclude the work on the comprehensive global monitoring framework, including indicators, and a set of voluntary global targets for the prevention and control of noncommunicable diseases. In: Sixty-sixth World Health Assembly, Geneva, 20–27 May 2013. Provisional agenda item 13.1. Geneva: World Health Organization; 2013 (http:// apps.who.int/gb/ebwha/pdf_files/WHA66/A66_8-en.pdf?ua=1, accessed 18 September 2015).    </w:t>
      </w:r>
    </w:p>
  </w:endnote>
  <w:endnote w:id="30">
    <w:p w14:paraId="6FC2858B" w14:textId="4705102F" w:rsidR="00504B06" w:rsidRPr="001B16D1" w:rsidRDefault="00504B06" w:rsidP="0057323A">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Third United Nations High-level Meeting on NCDs, 27 September 2018, https://www.unscn.org/en/news-events/recent-news?idnews=1835, accessed 30th July 2019.</w:t>
      </w:r>
    </w:p>
  </w:endnote>
  <w:endnote w:id="31">
    <w:p w14:paraId="148A08EE"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Package of essential noncommunicable (PEN) disease interventions for primary health care in low-resource settings.</w:t>
      </w:r>
    </w:p>
    <w:p w14:paraId="0E854770" w14:textId="77777777" w:rsidR="00504B06" w:rsidRPr="001B16D1" w:rsidRDefault="00504B06" w:rsidP="0057323A">
      <w:pPr>
        <w:pStyle w:val="EndnoteText"/>
        <w:rPr>
          <w:rFonts w:asciiTheme="minorHAnsi" w:hAnsiTheme="minorHAnsi" w:cstheme="minorHAnsi"/>
          <w:szCs w:val="18"/>
        </w:rPr>
      </w:pPr>
      <w:r w:rsidRPr="001B16D1">
        <w:rPr>
          <w:rFonts w:asciiTheme="minorHAnsi" w:hAnsiTheme="minorHAnsi" w:cstheme="minorHAnsi"/>
          <w:szCs w:val="18"/>
        </w:rPr>
        <w:t xml:space="preserve">ISBN 978 92 4 159899 6. World Health Organization 2010. </w:t>
      </w:r>
    </w:p>
  </w:endnote>
  <w:endnote w:id="32">
    <w:p w14:paraId="2A125746" w14:textId="77777777"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‘Best buys’ and other recommended interventions for the prevention and control of noncommunicable diseases</w:t>
      </w:r>
    </w:p>
    <w:p w14:paraId="1CAAEC21" w14:textId="77777777" w:rsidR="00504B06" w:rsidRPr="001B16D1" w:rsidRDefault="00504B06" w:rsidP="0057323A">
      <w:pPr>
        <w:pStyle w:val="EndnoteText"/>
        <w:rPr>
          <w:rFonts w:asciiTheme="minorHAnsi" w:hAnsiTheme="minorHAnsi" w:cstheme="minorHAnsi"/>
          <w:szCs w:val="18"/>
        </w:rPr>
      </w:pPr>
      <w:r w:rsidRPr="001B16D1">
        <w:rPr>
          <w:rFonts w:asciiTheme="minorHAnsi" w:hAnsiTheme="minorHAnsi" w:cstheme="minorHAnsi"/>
          <w:szCs w:val="18"/>
        </w:rPr>
        <w:t>Updated (2017) appendix 3 of the global action plan for the prevention and control of noncommunicable diseases 2013-2020.</w:t>
      </w:r>
    </w:p>
  </w:endnote>
  <w:endnote w:id="33">
    <w:p w14:paraId="68F2F83D" w14:textId="75E02EBA"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International dollar is a hypothetical unit of currency that has the same purchasing power parity that the U.S. dollar had in the United States at a given point in time.</w:t>
      </w:r>
    </w:p>
  </w:endnote>
  <w:endnote w:id="34">
    <w:p w14:paraId="64315D57" w14:textId="41AE8620" w:rsidR="00504B06" w:rsidRPr="001B16D1" w:rsidRDefault="00504B06" w:rsidP="0057323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Training Manual - WHO Package of Essential NCD Interventions (PEN) Service delivery and program management. WHO Collaborating Centre for Capacity Building and Research in Community- based Noncommunicable Disease Prevention and Control, Centre for Community Medicine, All India Institute of Medical Sciences (AIIMS), New Delhi, India, 2018.</w:t>
      </w:r>
    </w:p>
  </w:endnote>
  <w:endnote w:id="35">
    <w:p w14:paraId="105600F0" w14:textId="48DECE9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Draft Regional Strategy for PEN-Plus. WHO Regional Office for Africa. July 2019.</w:t>
      </w:r>
    </w:p>
  </w:endnote>
  <w:endnote w:id="36">
    <w:p w14:paraId="201C0237" w14:textId="61AC5620"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Africa Health Strategy 2016-2030. African Union. No date.</w:t>
      </w:r>
    </w:p>
  </w:endnote>
  <w:endnote w:id="37">
    <w:p w14:paraId="00C30715" w14:textId="77777777" w:rsidR="00504B06" w:rsidRPr="001B16D1" w:rsidRDefault="00504B06" w:rsidP="007D0E3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Finance (Amendment) Act, 2018 [No. 12 of 2018]. Supplement to the Sierra Leone Extraordinary Gazette Vol. CXLIX, No. 64</w:t>
      </w:r>
    </w:p>
    <w:p w14:paraId="64B6E3C8" w14:textId="54F35185" w:rsidR="00504B06" w:rsidRPr="001B16D1" w:rsidRDefault="00504B06" w:rsidP="007D0E3E">
      <w:pPr>
        <w:pStyle w:val="EndnoteText"/>
        <w:rPr>
          <w:rFonts w:asciiTheme="minorHAnsi" w:hAnsiTheme="minorHAnsi" w:cstheme="minorHAnsi"/>
          <w:szCs w:val="18"/>
        </w:rPr>
      </w:pPr>
      <w:r w:rsidRPr="001B16D1">
        <w:rPr>
          <w:rFonts w:asciiTheme="minorHAnsi" w:hAnsiTheme="minorHAnsi" w:cstheme="minorHAnsi"/>
          <w:szCs w:val="18"/>
        </w:rPr>
        <w:t>dated 19th July, 2018</w:t>
      </w:r>
    </w:p>
  </w:endnote>
  <w:endnote w:id="38">
    <w:p w14:paraId="729F0463" w14:textId="67C5F64F"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Quigley N, Kamara MS, Gangadhar Y, Paybeyee D, Chandralal R. The United Nations Convention on the Rights of Persons with Disabilities: From the Perspective of Young People. Disabil Stud Q. 2009;29(1):1-10.</w:t>
      </w:r>
    </w:p>
  </w:endnote>
  <w:endnote w:id="39">
    <w:p w14:paraId="4E9C1C67" w14:textId="1F85B6E3"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Constitution of Sierra Leone. Sierra Leone Gazette, Supplement, Extraordinary, 1991-09-25, Vol. 122, No. 59, pp. 1-124; 1991. www.sierra-leone.org/Laws/constitution1991.pdf%0A%0A.</w:t>
      </w:r>
    </w:p>
  </w:endnote>
  <w:endnote w:id="40">
    <w:p w14:paraId="7AB18270" w14:textId="65722195"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Child Right Act. Supplement to the Sierra Leone Gazette Extraordinary Vol. CXXXVIII, No 43. Dated 3rd September 2007; 2007.</w:t>
      </w:r>
    </w:p>
  </w:endnote>
  <w:endnote w:id="41">
    <w:p w14:paraId="5B54C169" w14:textId="5501F1F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The Persons with Disability Act.; 2011.</w:t>
      </w:r>
    </w:p>
  </w:endnote>
  <w:endnote w:id="42">
    <w:p w14:paraId="5A114622" w14:textId="54D8F832"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Deen-Tarawally JT. The status of the rights of persons with disabilities in Sierra Leone and the need for paradigm shift from political lip service. 2018.</w:t>
      </w:r>
    </w:p>
  </w:endnote>
  <w:endnote w:id="43">
    <w:p w14:paraId="79E7C14E" w14:textId="4B0CC4B4"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Committee on the Rights of the Child. List of issues in relation to the consolidated third to fifth periodic report of Sierra Leone. CRC/C/SLE/Q/3-5/Add.1. 2016;(September).</w:t>
      </w:r>
    </w:p>
  </w:endnote>
  <w:endnote w:id="44">
    <w:p w14:paraId="70C0A147" w14:textId="2B52ED3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Public Health Ordinance.1960.</w:t>
      </w:r>
    </w:p>
  </w:endnote>
  <w:endnote w:id="45">
    <w:p w14:paraId="1BCEE3EF" w14:textId="602AE6DC"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Public Health Amendment Act. Vol. CXXXV, No. 49, dated 26th August, 2004; 2004.</w:t>
      </w:r>
    </w:p>
  </w:endnote>
  <w:endnote w:id="46">
    <w:p w14:paraId="7C2743A6" w14:textId="5C9953DE"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Government of Sierra Leone. The Lunacy Act. 1902.</w:t>
      </w:r>
    </w:p>
  </w:endnote>
  <w:endnote w:id="47">
    <w:p w14:paraId="7F448BE6" w14:textId="0CD94F2E"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Colony and Protectorate. Dangerous Drugs Ordinance.; 1926.</w:t>
      </w:r>
    </w:p>
  </w:endnote>
  <w:endnote w:id="48">
    <w:p w14:paraId="1ECF81B2" w14:textId="753B6896" w:rsidR="00504B06" w:rsidRPr="001B16D1" w:rsidRDefault="00504B06" w:rsidP="00A349A1">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Liquor Act (Cap. 237). Published 19</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February, 1976. Public Notice No. 4 of 1976. </w:t>
      </w:r>
    </w:p>
  </w:endnote>
  <w:endnote w:id="49">
    <w:p w14:paraId="79870B5A" w14:textId="311FDA8B"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Palm Wine Ordinance (Cap. 239). Published 1927. </w:t>
      </w:r>
    </w:p>
  </w:endnote>
  <w:endnote w:id="50">
    <w:p w14:paraId="31E1BDA3" w14:textId="3B8302C4"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Liquor Licensing Ordinance (Cap. 238). Published 1960.</w:t>
      </w:r>
    </w:p>
  </w:endnote>
  <w:endnote w:id="51">
    <w:p w14:paraId="33AC9424" w14:textId="6A444280"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Policy on Non-Communicable Diseases, Republic of Sierra Leone, Ministry of Health and Sanitation, May 2013.</w:t>
      </w:r>
    </w:p>
  </w:endnote>
  <w:endnote w:id="52">
    <w:p w14:paraId="2F8BA764" w14:textId="6DF0BAF0"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Non-Communicable Diseases Strategic Plan 2013-2017, Republic of Sierra Leone, Ministry of Health and Sanitation, May 2013. </w:t>
      </w:r>
    </w:p>
  </w:endnote>
  <w:endnote w:id="53">
    <w:p w14:paraId="428BCF9D" w14:textId="781C25B8" w:rsidR="00504B06" w:rsidRPr="001B16D1" w:rsidRDefault="00504B06" w:rsidP="0099597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Ministry of Health and Sanitation. Mental Health Policy 2019-2023.</w:t>
      </w:r>
    </w:p>
  </w:endnote>
  <w:endnote w:id="54">
    <w:p w14:paraId="0648898E" w14:textId="78E7252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Ministry of Health and Sanitation. Mental Health Strategic Plan 2019-2023.</w:t>
      </w:r>
    </w:p>
  </w:endnote>
  <w:endnote w:id="55">
    <w:p w14:paraId="63656316" w14:textId="3E57816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Rehabilitation Programme, Annual Work Program, 2019</w:t>
      </w:r>
    </w:p>
  </w:endnote>
  <w:endnote w:id="56">
    <w:p w14:paraId="57FFCB71" w14:textId="6CADBF3B" w:rsidR="00504B06" w:rsidRPr="001B16D1" w:rsidRDefault="00504B06" w:rsidP="006B2038">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National Physical and Rehabilitation Policy – mentioned in “Health Ministry launches Physical and Rehabilitation Policy” article in Awoko newspaper, 26th July 2012, accessed online at http://awoko.org/2012/07/26/health-ministry-launches-physical-and-rehabilitation-policy/?pr=99435&amp;lang=en</w:t>
      </w:r>
    </w:p>
  </w:endnote>
  <w:endnote w:id="57">
    <w:p w14:paraId="4EBA3BB5" w14:textId="73F1A7FE"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Health Promotion Strategy of Sierra Leone (2017-2021). Government of Sierra Leone, Ministry of Health and Sanitation, Health Education Division. 2016.</w:t>
      </w:r>
    </w:p>
  </w:endnote>
  <w:endnote w:id="58">
    <w:p w14:paraId="3DB38F5C" w14:textId="7D02ABB0"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National Food and Nutrition Security Policy 2012-2016. Ministry of Health and Sanitation. No date.</w:t>
      </w:r>
    </w:p>
  </w:endnote>
  <w:endnote w:id="59">
    <w:p w14:paraId="2A85BA43" w14:textId="77777777" w:rsidR="00504B06" w:rsidRPr="001B16D1" w:rsidRDefault="00504B06" w:rsidP="007F27FF">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Food and Nutrition Security Implementation Plan 2013-2017. Government of Sierra Leone &amp; Scaling Up Nutrition (SUN). No date. </w:t>
      </w:r>
    </w:p>
  </w:endnote>
  <w:endnote w:id="60">
    <w:p w14:paraId="3CC5D709" w14:textId="65F574DE" w:rsidR="00504B06" w:rsidRPr="001B16D1" w:rsidRDefault="00504B06" w:rsidP="003E0B7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Environment Protection Agency Act, 2008. Supplement to the Sierra Leone Gazette Vol. CXXXIC, No. 44 dated 11</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September 2008. Government of Sierra Leone. </w:t>
      </w:r>
    </w:p>
  </w:endnote>
  <w:endnote w:id="61">
    <w:p w14:paraId="118AC58C" w14:textId="784589A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Environment Protection Agency Strategic Plan 2017-2021, Environment Protection Agency (EPA), Republic of Sierra Leone.</w:t>
      </w:r>
    </w:p>
  </w:endnote>
  <w:endnote w:id="62">
    <w:p w14:paraId="658C8069" w14:textId="43BE5044"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t>
      </w:r>
      <w:r w:rsidRPr="001B16D1">
        <w:rPr>
          <w:rFonts w:asciiTheme="minorHAnsi" w:hAnsiTheme="minorHAnsi" w:cstheme="minorHAnsi"/>
          <w:szCs w:val="18"/>
          <w:lang w:val="en-GB"/>
        </w:rPr>
        <w:t xml:space="preserve">Sierra Leone National Climate Change Strategy and Action Plan, 2013, </w:t>
      </w:r>
      <w:r w:rsidRPr="001B16D1">
        <w:rPr>
          <w:rFonts w:asciiTheme="minorHAnsi" w:hAnsiTheme="minorHAnsi" w:cstheme="minorHAnsi"/>
          <w:szCs w:val="18"/>
        </w:rPr>
        <w:t xml:space="preserve">Environment Protection Agency (EPA), </w:t>
      </w:r>
      <w:r w:rsidRPr="001B16D1">
        <w:rPr>
          <w:rFonts w:asciiTheme="minorHAnsi" w:hAnsiTheme="minorHAnsi" w:cstheme="minorHAnsi"/>
          <w:szCs w:val="18"/>
          <w:lang w:val="en-GB"/>
        </w:rPr>
        <w:t>Republic of Sierra Leone.</w:t>
      </w:r>
    </w:p>
  </w:endnote>
  <w:endnote w:id="63">
    <w:p w14:paraId="54947575" w14:textId="2A3E06E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Road Transport Authority Act, 1996. Supplement to the Sierra Leone Gazette Volume CXXVIII, No. 3, dated 9</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January 1997.</w:t>
      </w:r>
    </w:p>
  </w:endnote>
  <w:endnote w:id="64">
    <w:p w14:paraId="052C5A59" w14:textId="4F9CD51A" w:rsidR="00504B06" w:rsidRPr="001B16D1" w:rsidRDefault="00504B06" w:rsidP="00983785">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 xml:space="preserve">The Road Traffic Act, 2007. Accessed online at </w:t>
      </w:r>
      <w:hyperlink r:id="rId1" w:history="1">
        <w:r w:rsidRPr="001B16D1">
          <w:rPr>
            <w:rFonts w:eastAsia="Times New Roman" w:cstheme="minorHAnsi"/>
            <w:sz w:val="18"/>
            <w:szCs w:val="18"/>
            <w:lang w:eastAsia="en-GB"/>
          </w:rPr>
          <w:t>http://www.sierra-leone.org/Laws/2007-5p.pdf</w:t>
        </w:r>
      </w:hyperlink>
    </w:p>
  </w:endnote>
  <w:endnote w:id="65">
    <w:p w14:paraId="02BBAA3D" w14:textId="3798DB4A"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Launches National Road Safety Policy, Strategy and Trust Fund. WHO Africa. Accessed on https://www.afro.who.int/news/sierra-leone-launches-national-road-safety-policy-strategy-and-trust-fund</w:t>
      </w:r>
    </w:p>
  </w:endnote>
  <w:endnote w:id="66">
    <w:p w14:paraId="54A04037" w14:textId="20DCCD33"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Website of Ministry of Youth Affairs. See https://www.youthaffairs.gov.sl/. </w:t>
      </w:r>
    </w:p>
  </w:endnote>
  <w:endnote w:id="67">
    <w:p w14:paraId="2ECA7C93" w14:textId="7D004BF3"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National Youth Commission Act, 2009. See https://www.ilo.org/dyn/natlex/docs/ELECTRONIC/87734/100127/F1924938909/SLE87734.pdf</w:t>
      </w:r>
    </w:p>
  </w:endnote>
  <w:endnote w:id="68">
    <w:p w14:paraId="3CE6FB9F" w14:textId="25B8F39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Website of the National Youth Commission. See http://www.nationalyouthcommission.sl/.</w:t>
      </w:r>
    </w:p>
  </w:endnote>
  <w:endnote w:id="69">
    <w:p w14:paraId="3730477A" w14:textId="7353579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Review of the Sierra Leone National Youth Policy. First draft. 20 November 2012. </w:t>
      </w:r>
    </w:p>
  </w:endnote>
  <w:endnote w:id="70">
    <w:p w14:paraId="47DBD1A8" w14:textId="5C48AEB0"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Website of the Ministry of Information and Communications (MIC), Government of Sierra Leone. http://mic.gov.sl/.</w:t>
      </w:r>
    </w:p>
  </w:endnote>
  <w:endnote w:id="71">
    <w:p w14:paraId="795EEAB6" w14:textId="584170C8" w:rsidR="00504B06" w:rsidRPr="001B16D1" w:rsidRDefault="00504B06" w:rsidP="004B0FCF">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Physical Health Education Division. Accessed online in February 2020 on http://www.education.gov.sl/PDF/Team/Physical%20Health%20Education%20Division.pdf</w:t>
      </w:r>
    </w:p>
  </w:endnote>
  <w:endnote w:id="72">
    <w:p w14:paraId="3F7EC52C" w14:textId="6CCF03C5"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Schools Feeding Coordination Unit. Accessed online in February 2020 at http://www.education.gov.sl/PDF/Team/Schools%20Feeding%20Coordination%20Unit.pdf</w:t>
      </w:r>
    </w:p>
  </w:endnote>
  <w:endnote w:id="73">
    <w:p w14:paraId="08C4DA0B" w14:textId="268FA37B"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Guidance and Counseling Unit. Accessed online in February 2020 at http://www.education.gov.sl/PDF/Team/The%20Guidance%20and%20Counseling%20Unit.pdf</w:t>
      </w:r>
    </w:p>
  </w:endnote>
  <w:endnote w:id="74">
    <w:p w14:paraId="604AD9D5" w14:textId="484F3B2E"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MoHS 2019 budget Excel file with 3 worksheets: 2019 MOHS RECURRENT BUDGET, 2019 MOHS Domestic Capital Budget and Deliverables.</w:t>
      </w:r>
    </w:p>
  </w:endnote>
  <w:endnote w:id="75">
    <w:p w14:paraId="0DE17713" w14:textId="77777777" w:rsidR="00504B06" w:rsidRPr="001B16D1" w:rsidRDefault="00504B06" w:rsidP="00D15C1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 Scoping Study on Non-Communicable Diseases (NCDs) in Sierra Leone. Ayesha Idriss, Haja R Wurie, Maria Bertone, Kelly Elimian, Nicole Vidal and Mohamed Samai. NIHR Research Unit on Health in Fragility at Queen Margaret University, Edinburgh; College of Medicine and Allied Health Sciences (COMAHS), University of Sierra Leone; American University of Beirut, Lebanon. May 2018. </w:t>
      </w:r>
    </w:p>
  </w:endnote>
  <w:endnote w:id="76">
    <w:p w14:paraId="46D1E8CC" w14:textId="4D3AA57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Non-Communicable Diseases: Diagnosis and Treatment Deskguide. Ministry of Health, Sierra Leone, January 2019. Accessed online in February 2020 at: https://www.qmu.ac.uk/media/6507/nihr-ncd-clinical-deskguide-sierraleone.pdf</w:t>
      </w:r>
    </w:p>
  </w:endnote>
  <w:endnote w:id="77">
    <w:p w14:paraId="197D3F55" w14:textId="2EC7C8D6"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Radiotherapy facility formation at advanced stage. Sierra Express Media. 18</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May 2019. Accessed 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November 2019: http://sierraexpressmedia.com/?p=87631</w:t>
      </w:r>
    </w:p>
  </w:endnote>
  <w:endnote w:id="78">
    <w:p w14:paraId="49DDE5A1" w14:textId="5B6DAE7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Managing the ever-increasing demand for cancer services in the developing world. In: Cancer Control, IAEA Bulletin, September 2019. International Atomic Energy Agency (IAEA). </w:t>
      </w:r>
    </w:p>
  </w:endnote>
  <w:endnote w:id="79">
    <w:p w14:paraId="79F23734" w14:textId="0ECD3F5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Personal communication from Dr Mary Bunn, Palliative Care doctor at the Palliative Care Clinic in Connaught Hospital, Freetown, 19</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September 2019. </w:t>
      </w:r>
    </w:p>
  </w:endnote>
  <w:endnote w:id="80">
    <w:p w14:paraId="3CFAC72E" w14:textId="462C929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cancer pain ladder. See https://www.who.int/cancer/palliative/painladder/en/</w:t>
      </w:r>
    </w:p>
  </w:endnote>
  <w:endnote w:id="81">
    <w:p w14:paraId="2D50E677" w14:textId="77777777" w:rsidR="00504B06" w:rsidRPr="001B16D1" w:rsidRDefault="00504B06" w:rsidP="00F34A24">
      <w:pPr>
        <w:pStyle w:val="EndnoteText"/>
        <w:rPr>
          <w:rFonts w:asciiTheme="minorHAnsi" w:hAnsiTheme="minorHAnsi" w:cstheme="minorHAnsi"/>
          <w:szCs w:val="18"/>
        </w:rPr>
      </w:pPr>
      <w:r w:rsidRPr="001B16D1">
        <w:rPr>
          <w:rStyle w:val="EndnoteReference"/>
          <w:rFonts w:asciiTheme="minorHAnsi" w:eastAsiaTheme="majorEastAsia" w:hAnsiTheme="minorHAnsi" w:cstheme="minorHAnsi"/>
          <w:szCs w:val="18"/>
        </w:rPr>
        <w:endnoteRef/>
      </w:r>
      <w:r w:rsidRPr="001B16D1">
        <w:rPr>
          <w:rFonts w:asciiTheme="minorHAnsi" w:hAnsiTheme="minorHAnsi" w:cstheme="minorHAnsi"/>
          <w:szCs w:val="18"/>
        </w:rPr>
        <w:t xml:space="preserve"> Knaul FM et al. Alleviating the access abyss in palliative care and pain relief – an imperative of universal health coverage: The Lancet Commission report. March 2018</w:t>
      </w:r>
    </w:p>
  </w:endnote>
  <w:endnote w:id="82">
    <w:p w14:paraId="0C2F3818" w14:textId="536F65E2" w:rsidR="00504B06" w:rsidRPr="001B16D1" w:rsidRDefault="00504B06" w:rsidP="0024107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Met and unmet needs for surgery in Sierra Leone: A comprehensive, retrospective, countrywide survey from all health care facilities performing operations in 2012. Bolkan HA, Von Schreeb J, Samai MM, Bash-Taqi DA, Kamara TB, Salvesen Ø, Ystgaard B, Wibe A. Surgery. 2015 Jun;157(6):992-1001. doi: 10.1016/j.surg.2014.12.028. Epub 2015 Apr 28.</w:t>
      </w:r>
    </w:p>
  </w:endnote>
  <w:endnote w:id="83">
    <w:p w14:paraId="58BFE88E" w14:textId="264EAF5C"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First field visit related to NCD policy/strategy review and development new policy/strategy – 19 and 20 March 2019.</w:t>
      </w:r>
    </w:p>
  </w:endnote>
  <w:endnote w:id="84">
    <w:p w14:paraId="7B134815" w14:textId="426B37F6"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Second field visit related to NCD policy/strategy review and development new policy/strategy – 2 and 3 April 2019.</w:t>
      </w:r>
    </w:p>
  </w:endnote>
  <w:endnote w:id="85">
    <w:p w14:paraId="261E982B" w14:textId="4E9AAA66" w:rsidR="00504B06" w:rsidRPr="001B16D1" w:rsidRDefault="00504B06" w:rsidP="009E1AAB">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Knowledge of breast cancer in women in Sierra Leone. Shepherd JH, McInerney PA. Curationis. 2006 Aug;29(3):70-7.</w:t>
      </w:r>
    </w:p>
  </w:endnote>
  <w:endnote w:id="86">
    <w:p w14:paraId="7EC07C90" w14:textId="77777777" w:rsidR="00504B06" w:rsidRPr="001B16D1" w:rsidRDefault="00504B06" w:rsidP="009E1AAB">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Knowledge of breast self-examination in women in Sierra Leone. Shepherd JH, Mclnerney PA. Curationis. 2007 Dec;30(4):38-44. </w:t>
      </w:r>
    </w:p>
  </w:endnote>
  <w:endnote w:id="87">
    <w:p w14:paraId="3AE9C0AF" w14:textId="610080A3"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Transform Freetown: An Overview, 2019-2022. Her Worship the Mayor, Yvonne Aki-Sawyerr, OBE, Councillors and Staff of the Freetown City Council. 24</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January 2019. </w:t>
      </w:r>
    </w:p>
  </w:endnote>
  <w:endnote w:id="88">
    <w:p w14:paraId="5A01C1B6" w14:textId="1B650D3D" w:rsidR="00504B06" w:rsidRPr="001B16D1" w:rsidRDefault="00504B06" w:rsidP="004A05C8">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Developing a NCD care pathway in Freetown. Reflection of the discussion with the NCD Transform Freetown Health Working Group. 20 May 2019. </w:t>
      </w:r>
    </w:p>
  </w:endnote>
  <w:endnote w:id="89">
    <w:p w14:paraId="6D079FD9" w14:textId="40273E6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Summary of Healthy Freetonians Campaign. TransformFreetown Health Working Group. April 2019</w:t>
      </w:r>
    </w:p>
  </w:endnote>
  <w:endnote w:id="90">
    <w:p w14:paraId="4280CD27" w14:textId="44A9EAC2"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UNIPSIL, United Nations Human Rights Office of the High Commissioner. Moving Forward Together: From National Commitment to Concrete Action. Report on the Rights of Persons with Disabilities in Sierra Leone. 2011. https://unipsil.unmissions.org/sites/default/files/movng_forwrd_rghts_person_disabilities.pdf.</w:t>
      </w:r>
    </w:p>
  </w:endnote>
  <w:endnote w:id="91">
    <w:p w14:paraId="26A7EA6E" w14:textId="53C313C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Personal communication Mr. Abdul Otonjo Conteh, Registrar, Cancer Registry, August 2018. </w:t>
      </w:r>
    </w:p>
  </w:endnote>
  <w:endnote w:id="92">
    <w:p w14:paraId="141A4828" w14:textId="650E189D"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Integrated Mission of PACT – imPACT – Cancer Control Capacity and Needs Assessment Report submitted to the Ministry of Health and Sanitation, Sierra Leone, November-December 2016. Programme of Action for Cancer Therapy (PACT), IAEA, WHO Regional Office for the Eastern Mediterranean, International Agency for Research on Cancer – WHO. </w:t>
      </w:r>
    </w:p>
  </w:endnote>
  <w:endnote w:id="93">
    <w:p w14:paraId="5BAB6C43" w14:textId="59AB3112"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Idriss A, Diaconu K,Zou G, et al. Rural–urban health-seeking behaviours for non-communicable diseases in Sierra Leone. BMJ Global Health 2020;</w:t>
      </w:r>
      <w:r w:rsidRPr="001B16D1">
        <w:rPr>
          <w:rFonts w:asciiTheme="minorHAnsi" w:hAnsiTheme="minorHAnsi" w:cstheme="minorHAnsi"/>
          <w:b/>
          <w:bCs/>
          <w:szCs w:val="18"/>
        </w:rPr>
        <w:t>5</w:t>
      </w:r>
      <w:r w:rsidRPr="001B16D1">
        <w:rPr>
          <w:rFonts w:asciiTheme="minorHAnsi" w:hAnsiTheme="minorHAnsi" w:cstheme="minorHAnsi"/>
          <w:szCs w:val="18"/>
        </w:rPr>
        <w:t xml:space="preserve">:e002024. doi:10.1136/ bmjgh-2019-002024 </w:t>
      </w:r>
    </w:p>
  </w:endnote>
  <w:endnote w:id="94">
    <w:p w14:paraId="2AC4A75A" w14:textId="54A082F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Actual document not found. Reference in COMAHS scoping study: Galway, D.C. (2013) ‘Context” in pp.28-29. </w:t>
      </w:r>
    </w:p>
  </w:endnote>
  <w:endnote w:id="95">
    <w:p w14:paraId="175C7713" w14:textId="36B507AB" w:rsidR="00504B06" w:rsidRPr="001B16D1" w:rsidRDefault="00504B06" w:rsidP="00E75F6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Herbal medicine use among hypertensive patients attending public and private health facilities in Freetown Sierra Leone. James PB, Kamara H, Bah AJ, Steel A, Wardle J.  Complement Ther Clin Pract. 2018 May; 31:7-15. doi: 10.1016/j.ctcp.2018.01.001. Epub 2018 Jan 5.</w:t>
      </w:r>
    </w:p>
  </w:endnote>
  <w:endnote w:id="96">
    <w:p w14:paraId="2DB208F5" w14:textId="5731BB19"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Violence and the body: somatic expressions of trauma and vulnerability during war. Henry D. Med Anthropol Q. 2006 Sep;20(3):379-98.</w:t>
      </w:r>
    </w:p>
  </w:endnote>
  <w:endnote w:id="97">
    <w:p w14:paraId="6B21CA30" w14:textId="64F71A1D" w:rsidR="00504B06" w:rsidRPr="001B16D1" w:rsidRDefault="00504B06" w:rsidP="00595344">
      <w:pPr>
        <w:pStyle w:val="EndnoteText"/>
        <w:rPr>
          <w:rFonts w:asciiTheme="minorHAnsi" w:hAnsiTheme="minorHAnsi" w:cstheme="minorHAnsi"/>
          <w:szCs w:val="18"/>
          <w:lang w:val="en-GB"/>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t>
      </w:r>
      <w:r w:rsidRPr="001B16D1">
        <w:rPr>
          <w:rFonts w:asciiTheme="minorHAnsi" w:hAnsiTheme="minorHAnsi" w:cstheme="minorHAnsi"/>
          <w:szCs w:val="18"/>
          <w:lang w:val="en-GB"/>
        </w:rPr>
        <w:t>Integrated people-centered health services, WHO. Accessed 13th June 2019:  https://www.who.int/servicedeliverysafety/areas/people-centred-care/ipchs-what/en/</w:t>
      </w:r>
    </w:p>
  </w:endnote>
  <w:endnote w:id="98">
    <w:p w14:paraId="31FB5F56" w14:textId="49E96D38" w:rsidR="00504B06" w:rsidRPr="001B16D1" w:rsidRDefault="00504B06" w:rsidP="0059534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Universal Health Coverage, WHO. Accessed 13</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June 2019: https://www.who.int/healthsystems/universal_health_coverage/en/</w:t>
      </w:r>
    </w:p>
  </w:endnote>
  <w:endnote w:id="99">
    <w:p w14:paraId="07933EE5" w14:textId="77777777" w:rsidR="00504B06" w:rsidRPr="001B16D1" w:rsidRDefault="00504B06" w:rsidP="00D45E09">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Best Buys. Accessed 13</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June 2019. https://www.who.int/ncds/management/best-buys/en/</w:t>
      </w:r>
    </w:p>
  </w:endnote>
  <w:endnote w:id="100">
    <w:p w14:paraId="5315F224" w14:textId="4ED4C65D" w:rsidR="00504B06" w:rsidRPr="001B16D1" w:rsidRDefault="00504B06" w:rsidP="00136C5E">
      <w:pPr>
        <w:rPr>
          <w:rFonts w:eastAsia="Times New Roman" w:cstheme="minorHAnsi"/>
          <w:sz w:val="18"/>
          <w:szCs w:val="18"/>
          <w:lang w:eastAsia="en-GB"/>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 xml:space="preserve">Mission, Vision and Goal – MoHS website. Ministry of Health and Sanitation, Government of Sierra Leone. http://health.gov.sl/index.php/page/mission-vision-goal. Accessed 15th August 2019. </w:t>
      </w:r>
    </w:p>
  </w:endnote>
  <w:endnote w:id="101">
    <w:p w14:paraId="0BF74398"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Leone’s Medium-Term National Development Plan 2019-2023 – Education for Development: A New Direction for Improving People’s Lives through Education, Inclusive Growth, and Building a Resilient Economy. Volume I &amp; II. Republic of Sierra Leone. </w:t>
      </w:r>
    </w:p>
  </w:endnote>
  <w:endnote w:id="102">
    <w:p w14:paraId="27E8E301"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Health Policy 2002 - revised in 2009. Ministry of Health and Sanitation, 2009.</w:t>
      </w:r>
    </w:p>
  </w:endnote>
  <w:endnote w:id="103">
    <w:p w14:paraId="2C596D77"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Health Sector Strategic Plan 2017-2021. Ministry of Health and Sanitation, 2017.</w:t>
      </w:r>
    </w:p>
  </w:endnote>
  <w:endnote w:id="104">
    <w:p w14:paraId="7DC9285F"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Basic Package of Essential Health Services 2015-2020. Ministry of Health and Sanitation, 2015.</w:t>
      </w:r>
    </w:p>
  </w:endnote>
  <w:endnote w:id="105">
    <w:p w14:paraId="291EC2EB"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Free healthcare services for pregnant and lactating women and young children in Sierra Leone. Government of Sierra Leone, 2009.</w:t>
      </w:r>
    </w:p>
  </w:endnote>
  <w:endnote w:id="106">
    <w:p w14:paraId="1C287555"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compact for progress towards universal health coverage. UHC2030. 2018. https://www.uhc2030.org/fileadmin/uploads/uhc2030/Documents/About_UHC2030/mgt_arrangemts___docs/UHC2030_Official_documents/UHC2030_Global_Compact_WEB.pdf.</w:t>
      </w:r>
    </w:p>
  </w:endnote>
  <w:endnote w:id="107">
    <w:p w14:paraId="572A0E0D"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UHC Scoping Mission Debrief for Stakeholders. World Health Organization. 2018.</w:t>
      </w:r>
    </w:p>
  </w:endnote>
  <w:endnote w:id="108">
    <w:p w14:paraId="0369F034"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Summary Report of the 2017 SARA Plus in Sierra Leone: Service Availability and Readiness Assessment (SARA), Quality of Care Survey, and Data Quality Review, Government of Sierra Leone, Ministry of Health and Sanitation, 2017. </w:t>
      </w:r>
    </w:p>
  </w:endnote>
  <w:endnote w:id="109">
    <w:p w14:paraId="1230A873"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Community Health Worker Policy 2016-2020, The Republic of Sierra Leone, Ministry of Health and Sanitation, 11</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October 2016. </w:t>
      </w:r>
    </w:p>
  </w:endnote>
  <w:endnote w:id="110">
    <w:p w14:paraId="2B7A237A" w14:textId="796D11B8"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Health Service Delivery in Sierra Leone, Results of 2018 Service Delivery Indicator Survey. World Bank Africa, GHNDR and GEDDR, June 2018. </w:t>
      </w:r>
    </w:p>
  </w:endnote>
  <w:endnote w:id="111">
    <w:p w14:paraId="6FBB0809"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Health Accounts 2013, Ministry of Health and Sanitation. 2014.</w:t>
      </w:r>
    </w:p>
  </w:endnote>
  <w:endnote w:id="112">
    <w:p w14:paraId="75302D50"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Sierra Leone Social Health Insurance Act, 2017. Supplement to the Sierra Leone Gazette Vol. CXLVIII, No. 8, dated 1st December 2017. Republic of Sierra Leone. </w:t>
      </w:r>
    </w:p>
  </w:endnote>
  <w:endnote w:id="113">
    <w:p w14:paraId="54475391"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Project Memo Health Insurance Engagement. Glennerster RR, Karing A, Verma P. </w:t>
      </w:r>
    </w:p>
  </w:endnote>
  <w:endnote w:id="114">
    <w:p w14:paraId="4F5DC51B" w14:textId="77777777" w:rsidR="00504B06" w:rsidRPr="001B16D1" w:rsidRDefault="00504B06" w:rsidP="00136C5E">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Willingness to pay for health insurance in the informal sector of Sierra Leone. Jofre-Bonet M, Kamara J. PLoS One. 2018;13(5): e0189915. doi: 10.1371/journal.pone.0189915.</w:t>
      </w:r>
    </w:p>
  </w:endnote>
  <w:endnote w:id="115">
    <w:p w14:paraId="5B5F7812"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Human Resources for Health Policy 2017-2021. Ministry of Health and Sanitation, Government of Sierra Leone, 2017.</w:t>
      </w:r>
    </w:p>
  </w:endnote>
  <w:endnote w:id="116">
    <w:p w14:paraId="788E2D84"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Human Resources for Health Strategy 2017-2021. Ministry of Health and Sanitation, Government of Sierra Leone, 2017.</w:t>
      </w:r>
    </w:p>
  </w:endnote>
  <w:endnote w:id="117">
    <w:p w14:paraId="01751F23"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Human Resources for Health Country Profile 2016. Ministry of Health and Sanitation, Government of Sierra Leone. 2016.</w:t>
      </w:r>
    </w:p>
  </w:endnote>
  <w:endnote w:id="118">
    <w:p w14:paraId="053830B3"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Health workforce requirements for universal health coverage and the Sustainable Development Goals.</w:t>
      </w:r>
    </w:p>
    <w:p w14:paraId="57B0F23B" w14:textId="77777777" w:rsidR="00504B06" w:rsidRPr="001B16D1" w:rsidRDefault="00504B06" w:rsidP="00136C5E">
      <w:pPr>
        <w:pStyle w:val="EndnoteText"/>
        <w:rPr>
          <w:rFonts w:asciiTheme="minorHAnsi" w:hAnsiTheme="minorHAnsi" w:cstheme="minorHAnsi"/>
          <w:szCs w:val="18"/>
        </w:rPr>
      </w:pPr>
      <w:r w:rsidRPr="001B16D1">
        <w:rPr>
          <w:rFonts w:asciiTheme="minorHAnsi" w:hAnsiTheme="minorHAnsi" w:cstheme="minorHAnsi"/>
          <w:szCs w:val="18"/>
        </w:rPr>
        <w:t>World Health Organization. ISBN 978 92 4 151140 7 (NLM classification: W 76). World Health Organization 2016</w:t>
      </w:r>
    </w:p>
  </w:endnote>
  <w:endnote w:id="119">
    <w:p w14:paraId="27B72A6F" w14:textId="229E9916"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Standards &amp; Guidelines for Water, Sanitation and Hygiene (WASH) Services in Healthcare facilties in Sierrra Leone. Government of Sierra Leone, Ministry of Health and Sanitation, February 2017. </w:t>
      </w:r>
    </w:p>
  </w:endnote>
  <w:endnote w:id="120">
    <w:p w14:paraId="3A49B767"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Medicines Policy. Republic of Sierra Leone, Ministry of Health and Sanitation. 2012. </w:t>
      </w:r>
    </w:p>
  </w:endnote>
  <w:endnote w:id="121">
    <w:p w14:paraId="390DCF92"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Essential Medicines List, 2016 Edition (Revised). Republic of Sierra Leone, Ministry of Health and Sanitation. 2016. </w:t>
      </w:r>
    </w:p>
  </w:endnote>
  <w:endnote w:id="122">
    <w:p w14:paraId="61E0F61E"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Standard Treatment Guidelines for Primary Level prescribers. Republic of Sierra Leone, Ministry of Health and Sanitation. 2012</w:t>
      </w:r>
    </w:p>
  </w:endnote>
  <w:endnote w:id="123">
    <w:p w14:paraId="0E4ED430"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National Formulary. Republic of Sierra Leone, Ministry of Health and Sanitation. 2012.</w:t>
      </w:r>
    </w:p>
  </w:endnote>
  <w:endnote w:id="124">
    <w:p w14:paraId="012EEF83"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Health Laboratory Strategic Plan 2016-2020 – Delivering Quality Laboratory Services. Republic of Sierra Leone, Ministry of Health and Sanitation.</w:t>
      </w:r>
    </w:p>
  </w:endnote>
  <w:endnote w:id="125">
    <w:p w14:paraId="00A71F4E"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National Medical Supplies Agency Act, 2017. Supplement to the Sierra Leone Gazette Vol. CXLVIII, No. 76</w:t>
      </w:r>
    </w:p>
    <w:p w14:paraId="266894FB" w14:textId="77777777" w:rsidR="00504B06" w:rsidRPr="001B16D1" w:rsidRDefault="00504B06" w:rsidP="00136C5E">
      <w:pPr>
        <w:pStyle w:val="EndnoteText"/>
        <w:rPr>
          <w:rFonts w:asciiTheme="minorHAnsi" w:hAnsiTheme="minorHAnsi" w:cstheme="minorHAnsi"/>
          <w:szCs w:val="18"/>
        </w:rPr>
      </w:pPr>
      <w:r w:rsidRPr="001B16D1">
        <w:rPr>
          <w:rFonts w:asciiTheme="minorHAnsi" w:hAnsiTheme="minorHAnsi" w:cstheme="minorHAnsi"/>
          <w:szCs w:val="18"/>
        </w:rPr>
        <w:t xml:space="preserve">dated 2nd November 2017. </w:t>
      </w:r>
    </w:p>
  </w:endnote>
  <w:endnote w:id="126">
    <w:p w14:paraId="15283584" w14:textId="77777777" w:rsidR="00504B06" w:rsidRPr="001B16D1" w:rsidRDefault="00504B06" w:rsidP="00136C5E">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Medical Supplies Agency of Sierra Leone. NPPU Reform Phase II. Draft Operational Plan 2017-2018 </w:t>
      </w:r>
    </w:p>
    <w:p w14:paraId="4299C95B" w14:textId="77777777" w:rsidR="00504B06" w:rsidRPr="001B16D1" w:rsidRDefault="00504B06" w:rsidP="00136C5E">
      <w:pPr>
        <w:pStyle w:val="EndnoteText"/>
        <w:rPr>
          <w:rFonts w:asciiTheme="minorHAnsi" w:hAnsiTheme="minorHAnsi" w:cstheme="minorHAnsi"/>
          <w:szCs w:val="18"/>
        </w:rPr>
      </w:pPr>
      <w:r w:rsidRPr="001B16D1">
        <w:rPr>
          <w:rFonts w:asciiTheme="minorHAnsi" w:hAnsiTheme="minorHAnsi" w:cstheme="minorHAnsi"/>
          <w:szCs w:val="18"/>
        </w:rPr>
        <w:t xml:space="preserve">24 January 2017. </w:t>
      </w:r>
    </w:p>
  </w:endnote>
  <w:endnote w:id="127">
    <w:p w14:paraId="103E85ED"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Noncommunicable diseases country profiles 2018 ISBN 978-92-4-151462-0, World Health Organization 2018 https://www.who.int/nmh/publications/ncd-profiles-2018/en/ </w:t>
      </w:r>
    </w:p>
  </w:endnote>
  <w:endnote w:id="128">
    <w:p w14:paraId="49A49683"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World health statistics 2018: monitoring health for the SDGs, sustainable development goals ISBN 978-92-4-156558-5, World Health Organization 2018 https://apps.who.int/iris/bitstream/handle/10665/272596/9789241565585-eng.pdf?ua=1</w:t>
      </w:r>
    </w:p>
  </w:endnote>
  <w:endnote w:id="129">
    <w:p w14:paraId="4A2EE905"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Country Profile 2017. Institute for Health Metrics and Evaluation (IHME). http://www.healthdata.org/sierra-leone. Accessed 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w:t>
      </w:r>
    </w:p>
  </w:endnote>
  <w:endnote w:id="130">
    <w:p w14:paraId="04AE3EF6"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Stroke in Sierra Leone, a prospective stroke register. Youkee D, Deen GF, Lisk R, Sackley CS. August 2019.</w:t>
      </w:r>
    </w:p>
  </w:endnote>
  <w:endnote w:id="131">
    <w:p w14:paraId="2BB20430"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Cardiovascular Diseases (CVDs) fact sheet, World Health Organization, 17 May 2017. https://www.who.int/news-room/fact-sheets/detail/cardiovascular-diseases-(cvds). </w:t>
      </w:r>
    </w:p>
  </w:endnote>
  <w:endnote w:id="132">
    <w:p w14:paraId="67576E57"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Cancer Fact Sheet 2018, Globocan 2018, The Global Cancer Observatory, International Agency for Research on Cancer, World Health Organization, May 2019.  http://gco.iarc.fr/today/data/factsheets/populations/694-sierra-leone-fact-sheets.pdf. </w:t>
      </w:r>
    </w:p>
  </w:endnote>
  <w:endnote w:id="133">
    <w:p w14:paraId="2030F5B2" w14:textId="60E37466"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Personal communication from Professor Richard Adams, Consultant Professor Oncology, South Wales  - Sierra Leone Cancer Care Link and Director Centre for Trials Research – Cancer Division &amp; Director Wales Cancer Bank &amp;Professor and Honorary Consultant Clinical Oncologist, Cardiff University and Velindre Cancer Centre, University Hospital of Wales. </w:t>
      </w:r>
    </w:p>
  </w:endnote>
  <w:endnote w:id="134">
    <w:p w14:paraId="114E6B55" w14:textId="77777777" w:rsidR="00504B06" w:rsidRPr="001B16D1" w:rsidRDefault="00504B06" w:rsidP="00FF70EA">
      <w:pPr>
        <w:rPr>
          <w:rFonts w:cstheme="minorHAnsi"/>
          <w:sz w:val="18"/>
          <w:szCs w:val="18"/>
        </w:rPr>
      </w:pPr>
      <w:r w:rsidRPr="001B16D1">
        <w:rPr>
          <w:rStyle w:val="EndnoteReference"/>
          <w:rFonts w:eastAsia="Times New Roman" w:cstheme="minorHAnsi"/>
          <w:sz w:val="18"/>
          <w:szCs w:val="18"/>
          <w:lang w:eastAsia="en-GB"/>
        </w:rPr>
        <w:endnoteRef/>
      </w:r>
      <w:r w:rsidRPr="001B16D1">
        <w:rPr>
          <w:rStyle w:val="EndnoteReference"/>
          <w:rFonts w:eastAsia="Times New Roman" w:cstheme="minorHAnsi"/>
          <w:sz w:val="18"/>
          <w:szCs w:val="18"/>
          <w:lang w:eastAsia="en-GB"/>
        </w:rPr>
        <w:t xml:space="preserve"> </w:t>
      </w:r>
      <w:r w:rsidRPr="001B16D1">
        <w:rPr>
          <w:rFonts w:eastAsia="Times New Roman" w:cstheme="minorHAnsi"/>
          <w:sz w:val="18"/>
          <w:szCs w:val="18"/>
          <w:lang w:eastAsia="en-GB"/>
        </w:rPr>
        <w:t xml:space="preserve">Personal communication from Dr. Mary Bunn, Palliative Care Doctor, Connaught Palliative Care Team, January 2020. Data covering period September 2018 – November 2019. </w:t>
      </w:r>
    </w:p>
  </w:endnote>
  <w:endnote w:id="135">
    <w:p w14:paraId="0878622A"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National Cancer Registry Sierra Leone. Data for 2015-2018, personal communication Mr. Abdul Otonjo Conteh, Registrar, August 2018. </w:t>
      </w:r>
    </w:p>
  </w:endnote>
  <w:endnote w:id="136">
    <w:p w14:paraId="0D5AA746"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spread of cancer among the descendant of the liberated Africans or Creole of Sierra Leone. Renner, W. The British Medical Journal, 1910, v.2(2592), pp. 587–589.</w:t>
      </w:r>
    </w:p>
  </w:endnote>
  <w:endnote w:id="137">
    <w:p w14:paraId="69CFDCE1"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Cancer and the creoles of Sierra Leone. Renner W.M. British Medical Journal, 2014, pp. 110– 111.</w:t>
      </w:r>
    </w:p>
  </w:endnote>
  <w:endnote w:id="138">
    <w:p w14:paraId="66598345"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Prevalence of breast masses and barriers to care: results from a population-based survey in Rwanda and Sierra Leone. Ntirenganya F, Petroze RT, Kamara TB, Groen RS, Kushner AL, Kyamanywa P, Calland JF, Kingham TP. J Surg Oncol. 2014 Dec;110(8):903-6. doi: 10.1002/jso.23726. Epub 2014 Aug 2.  </w:t>
      </w:r>
    </w:p>
  </w:endnote>
  <w:endnote w:id="139">
    <w:p w14:paraId="130DDE9D"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Non-communicable diseases in the Western Area District, Sierra Leone, before and during the Ebola outbreak. Samba T, Bhat P, Owiti P, Samuels L, Kanneh PJ, Paul R, Kargbo B, Harries AD.  Public Health Action. 2017;7(1):16–21.</w:t>
      </w:r>
    </w:p>
  </w:endnote>
  <w:endnote w:id="140">
    <w:p w14:paraId="1621D9C5"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Cancer Prevention. World Health Organization. https://www.who.int/cancer/prevention/en/. Accessed July 2019. </w:t>
      </w:r>
    </w:p>
  </w:endnote>
  <w:endnote w:id="141">
    <w:p w14:paraId="2BAC1EE7"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Hidden dangers-prevalence of blood borne pathogens, hepatitis B, C, HIV and syphilis, among blood donors in Sierra Leone in 2016: opportunities for improvement: a retrospective, cross-sectional study. Yambasu EE, Reid A, Owiti P, Manzi M, Murray MJS, Edwin AK. Pan Afr Med J. 2018 May 18; 30:44. doi: 10.11604/pamj.2018.30.44.14663. eCollection 2018.</w:t>
      </w:r>
    </w:p>
  </w:endnote>
  <w:endnote w:id="142">
    <w:p w14:paraId="052A5093"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Hepatitis B and C in Tonkolili Province, Sierra Leone. García-Tardón N, Gresnigt TM, Fofanah AB, Grobusch MP. Lancet. 2017 Sep 23;390(10101):1485. doi: 10.1016/S0140-6736(17)32390-5.</w:t>
      </w:r>
    </w:p>
  </w:endnote>
  <w:endnote w:id="143">
    <w:p w14:paraId="4361C3E9"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Cross sectional study of chronic hepatitis B prevalence among healthcare workers in an urban setting, Sierra Leone.</w:t>
      </w:r>
    </w:p>
    <w:p w14:paraId="18A59771" w14:textId="77777777" w:rsidR="00504B06" w:rsidRPr="001B16D1" w:rsidRDefault="00504B06" w:rsidP="00FF70EA">
      <w:pPr>
        <w:pStyle w:val="EndnoteText"/>
        <w:rPr>
          <w:rFonts w:asciiTheme="minorHAnsi" w:hAnsiTheme="minorHAnsi" w:cstheme="minorHAnsi"/>
          <w:szCs w:val="18"/>
        </w:rPr>
      </w:pPr>
      <w:r w:rsidRPr="001B16D1">
        <w:rPr>
          <w:rFonts w:asciiTheme="minorHAnsi" w:hAnsiTheme="minorHAnsi" w:cstheme="minorHAnsi"/>
          <w:szCs w:val="18"/>
        </w:rPr>
        <w:t>Massaquoi TA, Burke RM, Yang G, Lakoh S, Sevalie S, Li B, Jia H, Huang L, Deen GF, Beynon F, Sahr F.</w:t>
      </w:r>
    </w:p>
    <w:p w14:paraId="23AF7CB4" w14:textId="77777777" w:rsidR="00504B06" w:rsidRPr="001B16D1" w:rsidRDefault="00504B06" w:rsidP="00FF70EA">
      <w:pPr>
        <w:pStyle w:val="EndnoteText"/>
        <w:rPr>
          <w:rFonts w:asciiTheme="minorHAnsi" w:hAnsiTheme="minorHAnsi" w:cstheme="minorHAnsi"/>
          <w:szCs w:val="18"/>
        </w:rPr>
      </w:pPr>
      <w:r w:rsidRPr="001B16D1">
        <w:rPr>
          <w:rFonts w:asciiTheme="minorHAnsi" w:hAnsiTheme="minorHAnsi" w:cstheme="minorHAnsi"/>
          <w:szCs w:val="18"/>
        </w:rPr>
        <w:t>PLoS One. 2018 Aug 10;13(8): e0201820. doi: 10.1371/journal.pone.0201820. eCollection 2018.</w:t>
      </w:r>
    </w:p>
  </w:endnote>
  <w:endnote w:id="144">
    <w:p w14:paraId="1E4FD724"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Next-generation Sequencing Study of Pathogens in Serum from Patients with Febrile Jaundice in Sierra Leone.</w:t>
      </w:r>
    </w:p>
    <w:p w14:paraId="77FD3A12" w14:textId="77777777" w:rsidR="00504B06" w:rsidRPr="001B16D1" w:rsidRDefault="00504B06" w:rsidP="00FF70EA">
      <w:pPr>
        <w:pStyle w:val="EndnoteText"/>
        <w:rPr>
          <w:rFonts w:asciiTheme="minorHAnsi" w:hAnsiTheme="minorHAnsi" w:cstheme="minorHAnsi"/>
          <w:szCs w:val="18"/>
        </w:rPr>
      </w:pPr>
      <w:r w:rsidRPr="001B16D1">
        <w:rPr>
          <w:rFonts w:asciiTheme="minorHAnsi" w:hAnsiTheme="minorHAnsi" w:cstheme="minorHAnsi"/>
          <w:szCs w:val="18"/>
        </w:rPr>
        <w:t>Zhang Y, Ye F, Xia LX, Zhu LW, Kamara IL, Huang KQ, Zhang Y, Liu J, Kargbo B, Wang J, Liang MF, Song JD, Ma XJ, Wu GZ. Biomed Environ Sci. 2019 May;32(5):363-370. doi: 10.3967/bes2019.048.</w:t>
      </w:r>
    </w:p>
  </w:endnote>
  <w:endnote w:id="145">
    <w:p w14:paraId="48A9B502"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Seroprevalence of Hepatitis B, Hepatitis C, and Human T-Cell Lymphotropic Virus Infections in HIV-Infected Patients in Sierra Leone. Yendewa GA, Sahr F, Aguilera A, Lakoh S, Sesay M, Deen GF, Patiño L, Poveda E, Salata RA. Am J Trop Med Hyg. 2019 Jun;100(6):1521-1524. doi: 10.4269/ajtmh.18-1001.</w:t>
      </w:r>
    </w:p>
  </w:endnote>
  <w:endnote w:id="146">
    <w:p w14:paraId="3191D9EE"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Seroprevalence of hepatitis B surface antigen (HBsAg) in Bo, Sierra Leone, 2012-2013. Ansumana R, Dariano DF, Jacobsen KH, Leski TA, Lamin JM, Lahai J, Bangura U, Bockarie AS, Taitt CR, Yasuda C, Bockarie MJ, Stenger DA. BMC Res Notes. 2018 Feb 8;11(1):113. doi: 10.1186/s13104-018-3218-8.</w:t>
      </w:r>
    </w:p>
  </w:endnote>
  <w:endnote w:id="147">
    <w:p w14:paraId="43624EE3"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Sero-prevalence of hepatitis B virus among middle to high socio-economic antenatal population in Sierra Leone.</w:t>
      </w:r>
    </w:p>
    <w:p w14:paraId="2D79229F" w14:textId="77777777" w:rsidR="00504B06" w:rsidRPr="001B16D1" w:rsidRDefault="00504B06" w:rsidP="00FF70EA">
      <w:pPr>
        <w:pStyle w:val="EndnoteText"/>
        <w:rPr>
          <w:rFonts w:asciiTheme="minorHAnsi" w:hAnsiTheme="minorHAnsi" w:cstheme="minorHAnsi"/>
          <w:szCs w:val="18"/>
        </w:rPr>
      </w:pPr>
      <w:r w:rsidRPr="001B16D1">
        <w:rPr>
          <w:rFonts w:asciiTheme="minorHAnsi" w:hAnsiTheme="minorHAnsi" w:cstheme="minorHAnsi"/>
          <w:szCs w:val="18"/>
        </w:rPr>
        <w:t>Wurie IM, Wurie AT, Gevao SM. West Afr J Med. 2005 Jan-Mar;24(1):18-20.</w:t>
      </w:r>
    </w:p>
  </w:endnote>
  <w:endnote w:id="148">
    <w:p w14:paraId="1B320488"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Seroprevalence of hepatitis markers; HAV, HBV, HCV and HEV amongst primary school children in Freetown, Sierra Leone. Hodges M, Sanders E, Aitken C. West Afr J Med. 1998 Jan-Mar;17(1):36-7.</w:t>
      </w:r>
    </w:p>
  </w:endnote>
  <w:endnote w:id="149">
    <w:p w14:paraId="68E495EB"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use of immunochromatography test cards in the diagnosis of hepatitis B surface antigen among pregnant women in West Africa. Torlesse H, Wurie IM, Hodges M. Br J Biomed Sci. 1997 Dec;54(4):256-9.</w:t>
      </w:r>
    </w:p>
  </w:endnote>
  <w:endnote w:id="150">
    <w:p w14:paraId="24584146"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Chronic Respiratory Diseases. World Health Organization. https://www.who.int/respiratory/en/. Accessed 4</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151">
    <w:p w14:paraId="68CCD94B"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Supplementary appendix 2 – Supplement to: Global, regional, and national incidence, prevalence and years lived with disability for 354 diseases and injuries for 195 countries and territories, 1990-2017: a systematic analysis for the Global Burden of Disease Study 2017. Lancet 2018: 392: 1789-858. GBD 2017 Disease and Injury Incidence and Prevalence Collaborators. </w:t>
      </w:r>
    </w:p>
  </w:endnote>
  <w:endnote w:id="152">
    <w:p w14:paraId="15B8FB4C"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About Chronic Respiratory Diseases. World Health Organization. https://www.who.int/respiratory/about_topic/en/. Accessed 4th August 2019. </w:t>
      </w:r>
    </w:p>
  </w:endnote>
  <w:endnote w:id="153">
    <w:p w14:paraId="748D5F68" w14:textId="4B34742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DHIS2.0 analysis of 2018 NCD and general morbidity data – extracted 30 August 2018, see also Table 3 in section </w:t>
      </w:r>
      <w:r w:rsidRPr="001B16D1">
        <w:rPr>
          <w:rFonts w:asciiTheme="minorHAnsi" w:hAnsiTheme="minorHAnsi" w:cstheme="minorHAnsi"/>
          <w:szCs w:val="18"/>
        </w:rPr>
        <w:fldChar w:fldCharType="begin"/>
      </w:r>
      <w:r w:rsidRPr="001B16D1">
        <w:rPr>
          <w:rFonts w:asciiTheme="minorHAnsi" w:hAnsiTheme="minorHAnsi" w:cstheme="minorHAnsi"/>
          <w:szCs w:val="18"/>
        </w:rPr>
        <w:instrText xml:space="preserve"> REF _Ref18144851 \w \h  \* MERGEFORMAT </w:instrText>
      </w:r>
      <w:r w:rsidRPr="001B16D1">
        <w:rPr>
          <w:rFonts w:asciiTheme="minorHAnsi" w:hAnsiTheme="minorHAnsi" w:cstheme="minorHAnsi"/>
          <w:szCs w:val="18"/>
        </w:rPr>
      </w:r>
      <w:r w:rsidRPr="001B16D1">
        <w:rPr>
          <w:rFonts w:asciiTheme="minorHAnsi" w:hAnsiTheme="minorHAnsi" w:cstheme="minorHAnsi"/>
          <w:szCs w:val="18"/>
        </w:rPr>
        <w:fldChar w:fldCharType="separate"/>
      </w:r>
      <w:r>
        <w:rPr>
          <w:rFonts w:asciiTheme="minorHAnsi" w:hAnsiTheme="minorHAnsi" w:cstheme="minorHAnsi"/>
          <w:szCs w:val="18"/>
        </w:rPr>
        <w:t>0</w:t>
      </w:r>
      <w:r w:rsidRPr="001B16D1">
        <w:rPr>
          <w:rFonts w:asciiTheme="minorHAnsi" w:hAnsiTheme="minorHAnsi" w:cstheme="minorHAnsi"/>
          <w:szCs w:val="18"/>
        </w:rPr>
        <w:fldChar w:fldCharType="end"/>
      </w:r>
      <w:r w:rsidRPr="001B16D1">
        <w:rPr>
          <w:rFonts w:asciiTheme="minorHAnsi" w:hAnsiTheme="minorHAnsi" w:cstheme="minorHAnsi"/>
          <w:szCs w:val="18"/>
        </w:rPr>
        <w:t xml:space="preserve">. </w:t>
      </w:r>
    </w:p>
  </w:endnote>
  <w:endnote w:id="154">
    <w:p w14:paraId="6E921FF3"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Population prevalence was estimated using a projected population for 2017 using the medium variant option of 7,499,486 from the Sierra Leone 2015 Population and Housing Census – Thematic Report on Population Projections, Statistics Sierra Leone, October 2017</w:t>
      </w:r>
    </w:p>
  </w:endnote>
  <w:endnote w:id="155">
    <w:p w14:paraId="76E0A130"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Prevalence of diabetes in rural and urban populations in southern Sierra Leone: a preliminary survey. Ceesay MM, Morgan MW, Kamanda MO, Willoughby VR, Lisk DR. Trop Med Int Health. 1997 Mar;2(3):272-7.</w:t>
      </w:r>
    </w:p>
  </w:endnote>
  <w:endnote w:id="156">
    <w:p w14:paraId="2294AEA4"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prevalence of type 2 diabetes in urban Bo, Sierra Leone, and in the 16 countries of the West Africa region. Sundufu AJ, Bockarie CN, Jacobsen KH. Diabetes Metab Res Rev. 2017 Oct;33(7). doi: 10.1002/dmrr.2904. Epub 2017 Jun 16.</w:t>
      </w:r>
    </w:p>
  </w:endnote>
  <w:endnote w:id="157">
    <w:p w14:paraId="3CFC9B53" w14:textId="048F5670"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Cardiovascular disease risk factors in the over 40s in rural and urban Bo, A household survey – Justine Davies and Maria Lisa Odland, Institute of Applied Health Research, University of Birmingham; Tahir Bockarie, University of Warwick; Haja Wurie, COMAHS; Rashid Ansumana, Njala University (Unpublished study, data collected in 2018, supported by Wellcome Trust). </w:t>
      </w:r>
    </w:p>
  </w:endnote>
  <w:endnote w:id="158">
    <w:p w14:paraId="41DF9F83"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Diabetes Fact Sheet, World Health Organization, 30 October 2018. https://www.who.int/news-room/fact-sheets/detail/diabetes.</w:t>
      </w:r>
    </w:p>
  </w:endnote>
  <w:endnote w:id="159">
    <w:p w14:paraId="3AF72EB2"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Actual document not found. Quoted in 2019-2023 Mental Health Strategic Plan, Ministry of Health and Sanitation, Republic of Sierra Leone, May 2019. </w:t>
      </w:r>
    </w:p>
  </w:endnote>
  <w:endnote w:id="160">
    <w:p w14:paraId="37C72ECB"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Traumatic injuries in developing countries: report from a nationwide cross-sectional survey of Sierra Leone.</w:t>
      </w:r>
    </w:p>
    <w:p w14:paraId="6F5AEA33" w14:textId="77777777" w:rsidR="00504B06" w:rsidRPr="001B16D1" w:rsidRDefault="00504B06" w:rsidP="00FF70EA">
      <w:pPr>
        <w:pStyle w:val="EndnoteText"/>
        <w:rPr>
          <w:rFonts w:asciiTheme="minorHAnsi" w:hAnsiTheme="minorHAnsi" w:cstheme="minorHAnsi"/>
          <w:szCs w:val="18"/>
        </w:rPr>
      </w:pPr>
      <w:r w:rsidRPr="001B16D1">
        <w:rPr>
          <w:rFonts w:asciiTheme="minorHAnsi" w:hAnsiTheme="minorHAnsi" w:cstheme="minorHAnsi"/>
          <w:szCs w:val="18"/>
        </w:rPr>
        <w:t>Stewart KA, Groen RS, Kamara TB, Farahzad MM, Samai M, Cassidy LD, Kushner AL, Wren SM. JAMA Surg. 2013 May;148(5):463-9. doi: 10.1001/jamasurg.2013.1341.</w:t>
      </w:r>
    </w:p>
  </w:endnote>
  <w:endnote w:id="161">
    <w:p w14:paraId="0DD7992C"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Burns in Sierra Leone: a population-based assessment. Wong EG, Groen RS, Kamara TB, Stewart KA, Cassidy LD, Samai M, Kushner AL, Wren SM. Burns. 2014 Dec;40(8):1748-53. doi: 10.1016/j.burns.2014.03.007. Epub 2014 Apr 24.</w:t>
      </w:r>
    </w:p>
  </w:endnote>
  <w:endnote w:id="162">
    <w:p w14:paraId="5088A745" w14:textId="6BF3B452" w:rsidR="00504B06" w:rsidRPr="001B16D1" w:rsidRDefault="00504B06" w:rsidP="00241E47">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burden of trauma presenting to the government referral hospital in Freetown, Sierra Leone: An observational study. Bundu I, Lowsby R, Vandy HP, Kamara SP, Jalloh AM, Scott COS, Beynon F. </w:t>
      </w:r>
    </w:p>
  </w:endnote>
  <w:endnote w:id="163">
    <w:p w14:paraId="231BDD2A" w14:textId="77777777" w:rsidR="00504B06" w:rsidRPr="001B16D1" w:rsidRDefault="00504B06" w:rsidP="00FF70E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Personal communication from Dr. George T. Roberts, UK Chairman of the Sierra Leone Sickle Cell Society in May 2019. See also http://www.sleonesickle.org/. </w:t>
      </w:r>
    </w:p>
  </w:endnote>
  <w:endnote w:id="164">
    <w:p w14:paraId="4EF79554"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Kabia F, Tarawally U. Sierra Leone 2015 Population and Housing Census Thematic Report on Disability. 2017.</w:t>
      </w:r>
    </w:p>
  </w:endnote>
  <w:endnote w:id="165">
    <w:p w14:paraId="0B28A7B0"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Kamara JAL, Williams MLJ, Turay S, Sengeh P. 2004 Population and Housing Census: Analytical report on the Mortality and Disability status of the Population. 2006. https://www.statistics.sl/images/StatisticsSL/Documents/Census/2004/2004_population_and_housing_census_report_on_morbidity_and_mortality.pdf.</w:t>
      </w:r>
    </w:p>
  </w:endnote>
  <w:endnote w:id="166">
    <w:p w14:paraId="31B5BB31"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Berghs M, Dos Santos-Zingale M. A Comparative Analysis: Everyday Experiences of Disability in Sierra Leone. Afr Today. 2014;58(2):18-40. doi:10.1353/at.2011.0044</w:t>
      </w:r>
    </w:p>
  </w:endnote>
  <w:endnote w:id="167">
    <w:p w14:paraId="23DB1FBE"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O’Sullivan C, Maclachlan M. Childhood Disability in Burkina Faso and Sierra Leone. In: Maclachlan M, Swartz L, eds. Disability and International; Towards Inclusive Global Health. ; 2009:161-175.</w:t>
      </w:r>
    </w:p>
  </w:endnote>
  <w:endnote w:id="168">
    <w:p w14:paraId="285D86CE"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Bah AJ, Idriss A, Wurie H, Bertone M, Elimian K. A Scoping Study on Mental Health and Psychosocial Support (MHPSS) in Sierra Leone.; 2018.</w:t>
      </w:r>
    </w:p>
  </w:endnote>
  <w:endnote w:id="169">
    <w:p w14:paraId="27094AF4"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Trani J-F, Bah O, Bailey N, Browne J, Groce N, Kett M. Disability In and Around Urban Areas of Sierra Leone.; 2010.</w:t>
      </w:r>
    </w:p>
  </w:endnote>
  <w:endnote w:id="170">
    <w:p w14:paraId="2A8D3C5F"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Institute for Health Metrics and Evaluation. Global Burden of Disease Country Profile: Sierra Leone. 2017. http://www.healthdata.org/sierra-leone.</w:t>
      </w:r>
    </w:p>
  </w:endnote>
  <w:endnote w:id="171">
    <w:p w14:paraId="0751D82A"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World Health Organization. Health Situation Analysis in the African Region. Geneva; 2016. http://www.aho.afro.who.int/en/publication/5266/atlas-african-health-statistics-2016-health-situation-analysis-african-region.</w:t>
      </w:r>
    </w:p>
  </w:endnote>
  <w:endnote w:id="172">
    <w:p w14:paraId="69DE79F4"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Murray-Zmijewski A. Sierra Leone FHCI Evaluation: Fiscal Space Analysis: FHCI and UHC.; 2016.</w:t>
      </w:r>
    </w:p>
  </w:endnote>
  <w:endnote w:id="173">
    <w:p w14:paraId="16F97669" w14:textId="77777777" w:rsidR="00504B06" w:rsidRPr="001B16D1" w:rsidRDefault="00504B06" w:rsidP="0003380A">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Bah AJ, Idriss A, Wurie H, Bertone M, Elimian K. A Scoping Study on Mental Health and Psychosocial Support (MHPSS) in Sierra Leone.; 2018.</w:t>
      </w:r>
    </w:p>
  </w:endnote>
  <w:endnote w:id="174">
    <w:p w14:paraId="7784A6C9"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STEPS Survey 2009 – The Prevalence of the Common Risk Factors of Non-Communicable Diseases in Sierra Leone. No date. Ministry of Health and Sanitation. </w:t>
      </w:r>
    </w:p>
  </w:endnote>
  <w:endnote w:id="175">
    <w:p w14:paraId="36FF691A"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STEPS Survey 2009 Fact Sheet.  http://www.who.int/ncds/surveillance/steps/2009_Sierra_Leone_FactSheet_EN.pdf. WHO STEPS chronic disease risk factor surveillance. www.who.int/chp/steps.</w:t>
      </w:r>
    </w:p>
  </w:endnote>
  <w:endnote w:id="176">
    <w:p w14:paraId="7F6FDC7D"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Investment Case for Tobacco Control in Sierra Leone: The case for scaling-up WHO FCTC implementation. Prepared by RTI International, Ministry of Health, Sierra Leone United Nations Development Programme, WHO FCTC Secretariat, World Health Organization, June 2019.</w:t>
      </w:r>
    </w:p>
  </w:endnote>
  <w:endnote w:id="177">
    <w:p w14:paraId="016AA3A5" w14:textId="585E5CD3"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For complete definitions of low and high levels of physical activity, other conditions are specified in the GPAQ Analysis Guide, available at http://www.who.int/chp/steps/GPAQ/en/index.html.</w:t>
      </w:r>
    </w:p>
  </w:endnote>
  <w:endnote w:id="178">
    <w:p w14:paraId="44AD13CE" w14:textId="16B2968F"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Global recommendations on physical activity for health. World Health Organization. 2010.</w:t>
      </w:r>
    </w:p>
  </w:endnote>
  <w:endnote w:id="179">
    <w:p w14:paraId="7314AAB5"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Harmful use of alcohol. Infographic. Accessed 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November 2019: https://www.who.int/images/default-source/departments/substances-abuse/alcohol/infographics/alcohol-3-million-death-every-year.png?sfvrsn=8062967_2</w:t>
      </w:r>
    </w:p>
  </w:endnote>
  <w:endnote w:id="180">
    <w:p w14:paraId="45AF58A6" w14:textId="5DFABF31"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Factsheet healthy diet. World Health Organization. 23 October 2018. https://www.who.int/news-room/fact-sheets/detail/healthy-diet</w:t>
      </w:r>
    </w:p>
  </w:endnote>
  <w:endnote w:id="181">
    <w:p w14:paraId="1BB0AC79" w14:textId="190285DC" w:rsidR="00504B06" w:rsidRPr="001B16D1" w:rsidRDefault="00504B0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Factsheet salt reduction. World Health Organization. 30 June 2016. https://www.who.int/news-room/fact-sheets/detail/salt-reduction</w:t>
      </w:r>
    </w:p>
  </w:endnote>
  <w:endnote w:id="182">
    <w:p w14:paraId="275890DD" w14:textId="77777777" w:rsidR="00504B06" w:rsidRPr="001B16D1" w:rsidRDefault="00504B06" w:rsidP="001D7372">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Micronutrient Survey 2013 (SLMS 2013). Ministry of Health and Sanitation (Sierra Leone), UNICEF, Helen Keller International and WHO. 2013. Freetown, Sierra Leone; 2015.</w:t>
      </w:r>
    </w:p>
  </w:endnote>
  <w:endnote w:id="183">
    <w:p w14:paraId="7AE5E3AD"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Ambient air pollution: Health impacts. World Health Organization.  https://www.who.int/airpollution/ambient/health-impacts/en/. Accessed 15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w:t>
      </w:r>
    </w:p>
  </w:endnote>
  <w:endnote w:id="184">
    <w:p w14:paraId="605C6E3D"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Household air pollution: Heath impacts. World Health Organization. https://www.who.int/airpollution/household/health-impacts/en/. Accessed 15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w:t>
      </w:r>
    </w:p>
  </w:endnote>
  <w:endnote w:id="185">
    <w:p w14:paraId="54FE06E1"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Household air pollution: Pollutants. World Health Organization.</w:t>
      </w:r>
    </w:p>
    <w:p w14:paraId="305AD515" w14:textId="77777777" w:rsidR="00504B06" w:rsidRPr="001B16D1" w:rsidRDefault="00504B06" w:rsidP="007A5E46">
      <w:pPr>
        <w:rPr>
          <w:rFonts w:cstheme="minorHAnsi"/>
          <w:sz w:val="18"/>
          <w:szCs w:val="18"/>
        </w:rPr>
      </w:pPr>
      <w:r w:rsidRPr="001B16D1">
        <w:rPr>
          <w:rFonts w:eastAsia="Times New Roman" w:cstheme="minorHAnsi"/>
          <w:sz w:val="18"/>
          <w:szCs w:val="18"/>
          <w:lang w:eastAsia="en-GB"/>
        </w:rPr>
        <w:t xml:space="preserve">https://www.who.int/airpollution/household/pollutants/en/. Accessed 15th August 2019. </w:t>
      </w:r>
    </w:p>
  </w:endnote>
  <w:endnote w:id="186">
    <w:p w14:paraId="27AD5D53"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Joint effects of air pollution – Data by country. Public Health and environment section of the Global Health Observatory data repository. http://apps.who.int/gho/data/view.main.SDGAIRBOD392v?lang=en. Accessed 15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187">
    <w:p w14:paraId="40E1F2B3"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Global Ambient Air Quality Database (update 2018). https://www.who.int/airpollution/data/aap_air_quality_database_2018_v14.xlsx?ua=1 OR https://whoairquality.shinyapps.io/AmbientAirQualityDatabase/.  Accessed 15th August 2019. </w:t>
      </w:r>
    </w:p>
  </w:endnote>
  <w:endnote w:id="188">
    <w:p w14:paraId="372883B0"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WHO Global database of household air pollution measurements (update 2018). https://www.who.int/airpollution/data/HAP_Database_Version_4_2017.xlsx?ua=1 and https://www.who.int/airpollution/data/hap-measurements/en/. Accessed 15th August 2019. </w:t>
      </w:r>
    </w:p>
  </w:endnote>
  <w:endnote w:id="189">
    <w:p w14:paraId="2850B56E"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Impact of urban traffic on ambient air quality in Freetown. Environment Protection Agency Sierra Leone (EPA-SL), December 2015. Consultant: E.T. Taylor.</w:t>
      </w:r>
    </w:p>
  </w:endnote>
  <w:endnote w:id="190">
    <w:p w14:paraId="3B4D032B"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Monitoring the levels of toxic air pollutants in the ambient air of Freetown, Sierra Leone</w:t>
      </w:r>
    </w:p>
    <w:p w14:paraId="147F6A08" w14:textId="77777777" w:rsidR="00504B06" w:rsidRPr="001B16D1" w:rsidRDefault="00504B06" w:rsidP="007A5E46">
      <w:pPr>
        <w:pStyle w:val="EndnoteText"/>
        <w:rPr>
          <w:rFonts w:asciiTheme="minorHAnsi" w:hAnsiTheme="minorHAnsi" w:cstheme="minorHAnsi"/>
          <w:szCs w:val="18"/>
        </w:rPr>
      </w:pPr>
      <w:r w:rsidRPr="001B16D1">
        <w:rPr>
          <w:rFonts w:asciiTheme="minorHAnsi" w:hAnsiTheme="minorHAnsi" w:cstheme="minorHAnsi"/>
          <w:szCs w:val="18"/>
        </w:rPr>
        <w:t xml:space="preserve">Eldred Tunde Taylor and Satoshi Nakai. African Journal of Environmental Science and Technology Vol. 6(7), pp. 283-292, July 2012 </w:t>
      </w:r>
    </w:p>
  </w:endnote>
  <w:endnote w:id="191">
    <w:p w14:paraId="77136D79"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Characterization and Determination of PM2.5 Bound Polycyclic Aromatic Hydrocarbons (PAHS) in Indoor and Outdoor Air in Western Sierra Leone. Taylor ET, Wirmvem MJ, Sawyerr VH and Nakai S. J Environ Anal Toxicol 2015, Vol 5(5): 307   DOI: 10.4172/2161-0525.1000307</w:t>
      </w:r>
    </w:p>
  </w:endnote>
  <w:endnote w:id="192">
    <w:p w14:paraId="3F5BC07B"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Prevalence of acute respiratory infections in women and children in Western Sierra Leone due to smoke from wood and charcoal stoves. Taylor ET, Nakai S. Int J Environ Res Public Health. 2012 Jun;9(6):2252-65. doi: 10.3390/ijerph9062252. Epub 2012 Jun 19.</w:t>
      </w:r>
    </w:p>
  </w:endnote>
  <w:endnote w:id="193">
    <w:p w14:paraId="3DF3FC89"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Diurnal concentrations and variation of carbon monoxide in indoor and outdoor air of residential homes in Western Sierra Leone. Taylor ET, Wirmvem MJ, Sawyerr VH, Nakai S. Environment and Pollution 2015 Vol.4 No.3 pp.10-18 ref.29</w:t>
      </w:r>
    </w:p>
  </w:endnote>
  <w:endnote w:id="194">
    <w:p w14:paraId="542BE30B"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The Levels of Toxic Air Pollutants in Kitchens with Traditional Stoves in Rural Sierra Leone</w:t>
      </w:r>
    </w:p>
    <w:p w14:paraId="32B1FD94" w14:textId="77777777" w:rsidR="00504B06" w:rsidRPr="001B16D1" w:rsidRDefault="00504B06" w:rsidP="007A5E46">
      <w:pPr>
        <w:pStyle w:val="EndnoteText"/>
        <w:rPr>
          <w:rFonts w:asciiTheme="minorHAnsi" w:hAnsiTheme="minorHAnsi" w:cstheme="minorHAnsi"/>
          <w:szCs w:val="18"/>
        </w:rPr>
      </w:pPr>
      <w:r w:rsidRPr="001B16D1">
        <w:rPr>
          <w:rFonts w:asciiTheme="minorHAnsi" w:hAnsiTheme="minorHAnsi" w:cstheme="minorHAnsi"/>
          <w:szCs w:val="18"/>
        </w:rPr>
        <w:t>Eldred Tunde Taylor, Satoshi Nakai. Journal of Environmental Protection, 2012, 3, 1353-1363 1 http://dx.doi.org/10.4236/jep.2012.310154 Published Online October 2012 (http://www.SciRP.org/journal/jep)</w:t>
      </w:r>
    </w:p>
  </w:endnote>
  <w:endnote w:id="195">
    <w:p w14:paraId="7159F5C6"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Q&amp;As on Hypertension. Updated September 2015. World Health Organization. https://www.who.int/features/qa/82/en/. Accessed 20</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196">
    <w:p w14:paraId="2336930F"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A high prevalence of hypertension in rural Sierra Leone. Williams DE, Lisk DR. West Afr J Med. 1998 Apr-Jun;17(2):85-90.</w:t>
      </w:r>
    </w:p>
  </w:endnote>
  <w:endnote w:id="197">
    <w:p w14:paraId="7FB4701A"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Blood pressure and hypertension in rural and urban Sierra Leoneans. Lisk DR, Williams DE, Slattery J.</w:t>
      </w:r>
    </w:p>
    <w:p w14:paraId="483D847D" w14:textId="77777777" w:rsidR="00504B06" w:rsidRPr="001B16D1" w:rsidRDefault="00504B06" w:rsidP="007A5E46">
      <w:pPr>
        <w:pStyle w:val="EndnoteText"/>
        <w:rPr>
          <w:rFonts w:asciiTheme="minorHAnsi" w:hAnsiTheme="minorHAnsi" w:cstheme="minorHAnsi"/>
          <w:szCs w:val="18"/>
        </w:rPr>
      </w:pPr>
      <w:r w:rsidRPr="001B16D1">
        <w:rPr>
          <w:rFonts w:asciiTheme="minorHAnsi" w:hAnsiTheme="minorHAnsi" w:cstheme="minorHAnsi"/>
          <w:szCs w:val="18"/>
        </w:rPr>
        <w:t>Ethn Dis. 1999 Spring-Summer;9(2):254-63.</w:t>
      </w:r>
    </w:p>
  </w:endnote>
  <w:endnote w:id="198">
    <w:p w14:paraId="7B1090BD"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Predictors of Hypertension in a Population of Undergraduate Students in Sierra Leone. Lebbie A, Wadsworth R, Saidu J, Bangura C. Int J Hypertens. 2017; 2017:8196362. doi: 10.1155/2017/8196362. Epub 2017 Aug 3.</w:t>
      </w:r>
    </w:p>
  </w:endnote>
  <w:endnote w:id="199">
    <w:p w14:paraId="458DA0FD"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Hypertension in Sierra Leone stroke population. Lisk DR. East Afr Med J. 1993 May;70(5):284-7.</w:t>
      </w:r>
    </w:p>
  </w:endnote>
  <w:endnote w:id="200">
    <w:p w14:paraId="6565ED57"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Prevalence of hypertension in the Gambia and Sierra Leone, western Africa: a cross-sectional study. Awad M, Ruzza A, Mirocha J, Setareh-Shenas S, Pixton JR, Soliman C, Czer LS. Cardiovasc J Afr. 2014 Nov-Dec;25(6):269-78. doi: 10.5830/CVJA-2014-058. Epub 2014 Sep 29.</w:t>
      </w:r>
    </w:p>
  </w:endnote>
  <w:endnote w:id="201">
    <w:p w14:paraId="124EFDDF"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Hypertension in Bo, Sierra Leone. Meehan KA, Bankoski AJ, Tejan E, Ansumana R, Bangura U, Stenger DA, Jacobsen KH. Ethn Dis. 2011 Spring;21(2):237-42.</w:t>
      </w:r>
    </w:p>
  </w:endnote>
  <w:endnote w:id="202">
    <w:p w14:paraId="7B6E10A0"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Preliminary data from: Prevalence of hypertension and its risk factors in western area urban, Freetown Sierra Leone: a hospital-based survey. Hassan Benya, Online MPH student at University of Roehampton in London. 2019. (unpublished). </w:t>
      </w:r>
    </w:p>
  </w:endnote>
  <w:endnote w:id="203">
    <w:p w14:paraId="4880C84E"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CHO-MLTP - Community Health Officer-Management &amp; Leadership Training Program. Case study. https://www.ehealthafrica.org/community-health-officer-mltp. Accessed 20</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204">
    <w:p w14:paraId="0F912DAF"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CHO-MLTP - Community Health Officer-Management &amp; Leadership Training Program data, personal communication from Mr. Hassan Benya and Mr. Dennis Ocansey, CDC, 5</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205">
    <w:p w14:paraId="4F9241C7"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Obesity – Health Topic. World Health Organization. https://www.who.int/topics/obesity/en/. Accessed 20</w:t>
      </w:r>
      <w:r w:rsidRPr="001B16D1">
        <w:rPr>
          <w:rFonts w:asciiTheme="minorHAnsi" w:hAnsiTheme="minorHAnsi" w:cstheme="minorHAnsi"/>
          <w:szCs w:val="18"/>
          <w:vertAlign w:val="superscript"/>
        </w:rPr>
        <w:t>th</w:t>
      </w:r>
      <w:r w:rsidRPr="001B16D1">
        <w:rPr>
          <w:rFonts w:asciiTheme="minorHAnsi" w:hAnsiTheme="minorHAnsi" w:cstheme="minorHAnsi"/>
          <w:szCs w:val="18"/>
        </w:rPr>
        <w:t xml:space="preserve"> August 2019. </w:t>
      </w:r>
    </w:p>
  </w:endnote>
  <w:endnote w:id="206">
    <w:p w14:paraId="38F259C4"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Waist circumference and waist–hip ratio: report of a WHO expert consultation, Geneva, 8–11 December 2008. World Health Organization. 2011.</w:t>
      </w:r>
    </w:p>
  </w:endnote>
  <w:endnote w:id="207">
    <w:p w14:paraId="446A9250"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Prevalence and differentials of overweight and obesity in preschool children in Sub-Saharan Africa.</w:t>
      </w:r>
    </w:p>
    <w:p w14:paraId="477BE64C" w14:textId="77777777" w:rsidR="00504B06" w:rsidRPr="001B16D1" w:rsidRDefault="00504B06" w:rsidP="007A5E46">
      <w:pPr>
        <w:pStyle w:val="EndnoteText"/>
        <w:rPr>
          <w:rFonts w:asciiTheme="minorHAnsi" w:hAnsiTheme="minorHAnsi" w:cstheme="minorHAnsi"/>
          <w:szCs w:val="18"/>
        </w:rPr>
      </w:pPr>
      <w:r w:rsidRPr="001B16D1">
        <w:rPr>
          <w:rFonts w:asciiTheme="minorHAnsi" w:hAnsiTheme="minorHAnsi" w:cstheme="minorHAnsi"/>
          <w:szCs w:val="18"/>
        </w:rPr>
        <w:t>Gebremedhin S. BMJ Open. 2015 Dec 23;5(12):e009005. doi: 10.1136/bmjopen-2015-009005.</w:t>
      </w:r>
    </w:p>
  </w:endnote>
  <w:endnote w:id="208">
    <w:p w14:paraId="773EC646"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Demographic and Health Survey 2008. Statistics Sierra Leone (SSL) and ICF Macro. 2009.  Calverton, Maryland, USA: Statistics Sierra Leone (SSL) and ICF Macro.</w:t>
      </w:r>
    </w:p>
  </w:endnote>
  <w:endnote w:id="209">
    <w:p w14:paraId="3E497560"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Multiple Indicator Cluster Survey 2010, Final Report. Freetown, Sierra Leone: Statistics Sierra Leone and UNICEF-Sierra Leone. 2011.</w:t>
      </w:r>
    </w:p>
  </w:endnote>
  <w:endnote w:id="210">
    <w:p w14:paraId="2328A6CA" w14:textId="0AD8AA76"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Sierra Leone National Nutrition Survey 2017. Ministry of Health and Sanitation (MoHS), Directorate of Food and Nutrition (DFN), Action Against Hunger and Irish Aid. 2017. </w:t>
      </w:r>
    </w:p>
  </w:endnote>
  <w:endnote w:id="211">
    <w:p w14:paraId="69934EB9" w14:textId="77777777" w:rsidR="00504B06" w:rsidRPr="001B16D1" w:rsidRDefault="00504B06" w:rsidP="007A5E46">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Definition and diagnosis of diabetes mellitus and intermediate hyperglycemia: report of a WHO/IDF consultation. World Health Organization &amp; International Diabetes Federation. 2006. </w:t>
      </w:r>
    </w:p>
  </w:endnote>
  <w:endnote w:id="212">
    <w:p w14:paraId="56F473D2" w14:textId="77777777" w:rsidR="00504B06" w:rsidRPr="001B16D1" w:rsidRDefault="00504B06" w:rsidP="00AC1C5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Personal communication from Dr. Daniel Youkee, King’s Sierra Leone Partnership. </w:t>
      </w:r>
    </w:p>
  </w:endnote>
  <w:endnote w:id="213">
    <w:p w14:paraId="1BA98F4E" w14:textId="77777777" w:rsidR="00504B06" w:rsidRPr="001B16D1" w:rsidRDefault="00504B06" w:rsidP="00BB1D05">
      <w:pPr>
        <w:rPr>
          <w:rFonts w:cstheme="minorHAnsi"/>
          <w:sz w:val="18"/>
          <w:szCs w:val="18"/>
        </w:rPr>
      </w:pPr>
      <w:r w:rsidRPr="001B16D1">
        <w:rPr>
          <w:rStyle w:val="EndnoteReference"/>
          <w:rFonts w:cstheme="minorHAnsi"/>
          <w:sz w:val="18"/>
          <w:szCs w:val="18"/>
        </w:rPr>
        <w:endnoteRef/>
      </w:r>
      <w:r w:rsidRPr="001B16D1">
        <w:rPr>
          <w:rFonts w:cstheme="minorHAnsi"/>
          <w:sz w:val="18"/>
          <w:szCs w:val="18"/>
        </w:rPr>
        <w:t xml:space="preserve"> </w:t>
      </w:r>
      <w:r w:rsidRPr="001B16D1">
        <w:rPr>
          <w:rFonts w:eastAsia="Times New Roman" w:cstheme="minorHAnsi"/>
          <w:sz w:val="18"/>
          <w:szCs w:val="18"/>
          <w:lang w:eastAsia="en-GB"/>
        </w:rPr>
        <w:t>FoRUT website: https://forut.sl/ accessed 10</w:t>
      </w:r>
      <w:r w:rsidRPr="001B16D1">
        <w:rPr>
          <w:rFonts w:eastAsia="Times New Roman" w:cstheme="minorHAnsi"/>
          <w:sz w:val="18"/>
          <w:szCs w:val="18"/>
          <w:vertAlign w:val="superscript"/>
          <w:lang w:eastAsia="en-GB"/>
        </w:rPr>
        <w:t>th</w:t>
      </w:r>
      <w:r w:rsidRPr="001B16D1">
        <w:rPr>
          <w:rFonts w:eastAsia="Times New Roman" w:cstheme="minorHAnsi"/>
          <w:sz w:val="18"/>
          <w:szCs w:val="18"/>
          <w:lang w:eastAsia="en-GB"/>
        </w:rPr>
        <w:t xml:space="preserve"> February 2020. </w:t>
      </w:r>
    </w:p>
  </w:endnote>
  <w:endnote w:id="214">
    <w:p w14:paraId="7B0C1FDE" w14:textId="77777777" w:rsidR="00504B06" w:rsidRPr="001B16D1" w:rsidRDefault="00504B06" w:rsidP="00AC1C54">
      <w:pPr>
        <w:pStyle w:val="EndnoteText"/>
        <w:rPr>
          <w:rFonts w:asciiTheme="minorHAnsi" w:hAnsiTheme="minorHAnsi" w:cstheme="minorHAnsi"/>
          <w:szCs w:val="18"/>
        </w:rPr>
      </w:pPr>
      <w:r w:rsidRPr="001B16D1">
        <w:rPr>
          <w:rStyle w:val="EndnoteReference"/>
          <w:rFonts w:asciiTheme="minorHAnsi" w:hAnsiTheme="minorHAnsi" w:cstheme="minorHAnsi"/>
          <w:szCs w:val="18"/>
        </w:rPr>
        <w:endnoteRef/>
      </w:r>
      <w:r w:rsidRPr="001B16D1">
        <w:rPr>
          <w:rFonts w:asciiTheme="minorHAnsi" w:hAnsiTheme="minorHAnsi" w:cstheme="minorHAnsi"/>
          <w:szCs w:val="18"/>
        </w:rPr>
        <w:t xml:space="preserve"> http://www.thepatrioticvanguard.com/wes-strickland-and-the-village-medical-project-in-sierra-leone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Body)">
    <w:altName w:val="Calibri"/>
    <w:charset w:val="00"/>
    <w:family w:val="roman"/>
    <w:pitch w:val="default"/>
  </w:font>
  <w:font w:name="Gadugi">
    <w:panose1 w:val="020B0502040204020203"/>
    <w:charset w:val="00"/>
    <w:family w:val="swiss"/>
    <w:pitch w:val="variable"/>
    <w:sig w:usb0="80000003" w:usb1="02000000" w:usb2="00003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eXGyreAdventor">
    <w:altName w:val="Calibri"/>
    <w:charset w:val="00"/>
    <w:family w:val="swiss"/>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722203"/>
      <w:docPartObj>
        <w:docPartGallery w:val="Page Numbers (Bottom of Page)"/>
        <w:docPartUnique/>
      </w:docPartObj>
    </w:sdtPr>
    <w:sdtContent>
      <w:p w14:paraId="18F2D6D4" w14:textId="77777777" w:rsidR="00504B06" w:rsidRDefault="00504B06" w:rsidP="002C6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285297" w14:textId="77777777" w:rsidR="00504B06" w:rsidRDefault="00504B06" w:rsidP="00F923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490575"/>
      <w:docPartObj>
        <w:docPartGallery w:val="Page Numbers (Bottom of Page)"/>
        <w:docPartUnique/>
      </w:docPartObj>
    </w:sdtPr>
    <w:sdtContent>
      <w:p w14:paraId="7BC978CD" w14:textId="77777777" w:rsidR="00504B06" w:rsidRDefault="00504B06" w:rsidP="002C679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2C3818" w14:textId="31634FEB" w:rsidR="00504B06" w:rsidRDefault="00504B06" w:rsidP="00F9237E">
    <w:pPr>
      <w:pStyle w:val="Footer"/>
      <w:ind w:right="360"/>
    </w:pPr>
    <w:r>
      <w:t>Sierra Leone Non-Communicable Diseases (NCDs) Strategic Plan 2020-2024 – 23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A9C3" w14:textId="77777777" w:rsidR="001B1357" w:rsidRDefault="001B1357" w:rsidP="00F9237E">
      <w:r>
        <w:separator/>
      </w:r>
    </w:p>
  </w:footnote>
  <w:footnote w:type="continuationSeparator" w:id="0">
    <w:p w14:paraId="581A4944" w14:textId="77777777" w:rsidR="001B1357" w:rsidRDefault="001B1357" w:rsidP="00F92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CEEAC"/>
    <w:multiLevelType w:val="hybridMultilevel"/>
    <w:tmpl w:val="552C9D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698AC0"/>
    <w:multiLevelType w:val="hybridMultilevel"/>
    <w:tmpl w:val="5F856F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C4A89"/>
    <w:multiLevelType w:val="hybridMultilevel"/>
    <w:tmpl w:val="6D4A3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1E735C"/>
    <w:multiLevelType w:val="hybridMultilevel"/>
    <w:tmpl w:val="A02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70968"/>
    <w:multiLevelType w:val="hybridMultilevel"/>
    <w:tmpl w:val="8C343498"/>
    <w:lvl w:ilvl="0" w:tplc="6D0859B2">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8368C3"/>
    <w:multiLevelType w:val="hybridMultilevel"/>
    <w:tmpl w:val="C290A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67F82"/>
    <w:multiLevelType w:val="hybridMultilevel"/>
    <w:tmpl w:val="E0FCE574"/>
    <w:lvl w:ilvl="0" w:tplc="673284F2">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3BC6"/>
    <w:multiLevelType w:val="hybridMultilevel"/>
    <w:tmpl w:val="B68C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F32"/>
    <w:multiLevelType w:val="hybridMultilevel"/>
    <w:tmpl w:val="29E0F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24689"/>
    <w:multiLevelType w:val="hybridMultilevel"/>
    <w:tmpl w:val="7DBCFECA"/>
    <w:lvl w:ilvl="0" w:tplc="11F43D0A">
      <w:start w:val="1"/>
      <w:numFmt w:val="bullet"/>
      <w:lvlText w:val="•"/>
      <w:lvlJc w:val="left"/>
      <w:pPr>
        <w:tabs>
          <w:tab w:val="num" w:pos="720"/>
        </w:tabs>
        <w:ind w:left="720" w:hanging="360"/>
      </w:pPr>
      <w:rPr>
        <w:rFonts w:ascii="Arial" w:hAnsi="Arial" w:hint="default"/>
      </w:rPr>
    </w:lvl>
    <w:lvl w:ilvl="1" w:tplc="0BC86C00" w:tentative="1">
      <w:start w:val="1"/>
      <w:numFmt w:val="bullet"/>
      <w:lvlText w:val="•"/>
      <w:lvlJc w:val="left"/>
      <w:pPr>
        <w:tabs>
          <w:tab w:val="num" w:pos="1440"/>
        </w:tabs>
        <w:ind w:left="1440" w:hanging="360"/>
      </w:pPr>
      <w:rPr>
        <w:rFonts w:ascii="Arial" w:hAnsi="Arial" w:hint="default"/>
      </w:rPr>
    </w:lvl>
    <w:lvl w:ilvl="2" w:tplc="D1E283E2" w:tentative="1">
      <w:start w:val="1"/>
      <w:numFmt w:val="bullet"/>
      <w:lvlText w:val="•"/>
      <w:lvlJc w:val="left"/>
      <w:pPr>
        <w:tabs>
          <w:tab w:val="num" w:pos="2160"/>
        </w:tabs>
        <w:ind w:left="2160" w:hanging="360"/>
      </w:pPr>
      <w:rPr>
        <w:rFonts w:ascii="Arial" w:hAnsi="Arial" w:hint="default"/>
      </w:rPr>
    </w:lvl>
    <w:lvl w:ilvl="3" w:tplc="EC10C59E" w:tentative="1">
      <w:start w:val="1"/>
      <w:numFmt w:val="bullet"/>
      <w:lvlText w:val="•"/>
      <w:lvlJc w:val="left"/>
      <w:pPr>
        <w:tabs>
          <w:tab w:val="num" w:pos="2880"/>
        </w:tabs>
        <w:ind w:left="2880" w:hanging="360"/>
      </w:pPr>
      <w:rPr>
        <w:rFonts w:ascii="Arial" w:hAnsi="Arial" w:hint="default"/>
      </w:rPr>
    </w:lvl>
    <w:lvl w:ilvl="4" w:tplc="EBEE9F78" w:tentative="1">
      <w:start w:val="1"/>
      <w:numFmt w:val="bullet"/>
      <w:lvlText w:val="•"/>
      <w:lvlJc w:val="left"/>
      <w:pPr>
        <w:tabs>
          <w:tab w:val="num" w:pos="3600"/>
        </w:tabs>
        <w:ind w:left="3600" w:hanging="360"/>
      </w:pPr>
      <w:rPr>
        <w:rFonts w:ascii="Arial" w:hAnsi="Arial" w:hint="default"/>
      </w:rPr>
    </w:lvl>
    <w:lvl w:ilvl="5" w:tplc="613EF56E" w:tentative="1">
      <w:start w:val="1"/>
      <w:numFmt w:val="bullet"/>
      <w:lvlText w:val="•"/>
      <w:lvlJc w:val="left"/>
      <w:pPr>
        <w:tabs>
          <w:tab w:val="num" w:pos="4320"/>
        </w:tabs>
        <w:ind w:left="4320" w:hanging="360"/>
      </w:pPr>
      <w:rPr>
        <w:rFonts w:ascii="Arial" w:hAnsi="Arial" w:hint="default"/>
      </w:rPr>
    </w:lvl>
    <w:lvl w:ilvl="6" w:tplc="1CD0E014" w:tentative="1">
      <w:start w:val="1"/>
      <w:numFmt w:val="bullet"/>
      <w:lvlText w:val="•"/>
      <w:lvlJc w:val="left"/>
      <w:pPr>
        <w:tabs>
          <w:tab w:val="num" w:pos="5040"/>
        </w:tabs>
        <w:ind w:left="5040" w:hanging="360"/>
      </w:pPr>
      <w:rPr>
        <w:rFonts w:ascii="Arial" w:hAnsi="Arial" w:hint="default"/>
      </w:rPr>
    </w:lvl>
    <w:lvl w:ilvl="7" w:tplc="0392700C" w:tentative="1">
      <w:start w:val="1"/>
      <w:numFmt w:val="bullet"/>
      <w:lvlText w:val="•"/>
      <w:lvlJc w:val="left"/>
      <w:pPr>
        <w:tabs>
          <w:tab w:val="num" w:pos="5760"/>
        </w:tabs>
        <w:ind w:left="5760" w:hanging="360"/>
      </w:pPr>
      <w:rPr>
        <w:rFonts w:ascii="Arial" w:hAnsi="Arial" w:hint="default"/>
      </w:rPr>
    </w:lvl>
    <w:lvl w:ilvl="8" w:tplc="080612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B17968"/>
    <w:multiLevelType w:val="hybridMultilevel"/>
    <w:tmpl w:val="BE123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89881E"/>
    <w:multiLevelType w:val="hybridMultilevel"/>
    <w:tmpl w:val="78E792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364960"/>
    <w:multiLevelType w:val="hybridMultilevel"/>
    <w:tmpl w:val="8E0A94EE"/>
    <w:lvl w:ilvl="0" w:tplc="5A28078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D579E"/>
    <w:multiLevelType w:val="hybridMultilevel"/>
    <w:tmpl w:val="150A7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7476BE"/>
    <w:multiLevelType w:val="hybridMultilevel"/>
    <w:tmpl w:val="469A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CC4552"/>
    <w:multiLevelType w:val="hybridMultilevel"/>
    <w:tmpl w:val="1E8A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F1B54"/>
    <w:multiLevelType w:val="multilevel"/>
    <w:tmpl w:val="2E225A4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E435C24"/>
    <w:multiLevelType w:val="hybridMultilevel"/>
    <w:tmpl w:val="32DA3D6A"/>
    <w:lvl w:ilvl="0" w:tplc="8BEC5A44">
      <w:start w:val="1"/>
      <w:numFmt w:val="bullet"/>
      <w:lvlText w:val="•"/>
      <w:lvlJc w:val="left"/>
      <w:pPr>
        <w:tabs>
          <w:tab w:val="num" w:pos="720"/>
        </w:tabs>
        <w:ind w:left="720" w:hanging="360"/>
      </w:pPr>
      <w:rPr>
        <w:rFonts w:ascii="Arial" w:hAnsi="Arial" w:hint="default"/>
      </w:rPr>
    </w:lvl>
    <w:lvl w:ilvl="1" w:tplc="75E667B0" w:tentative="1">
      <w:start w:val="1"/>
      <w:numFmt w:val="bullet"/>
      <w:lvlText w:val="•"/>
      <w:lvlJc w:val="left"/>
      <w:pPr>
        <w:tabs>
          <w:tab w:val="num" w:pos="1440"/>
        </w:tabs>
        <w:ind w:left="1440" w:hanging="360"/>
      </w:pPr>
      <w:rPr>
        <w:rFonts w:ascii="Arial" w:hAnsi="Arial" w:hint="default"/>
      </w:rPr>
    </w:lvl>
    <w:lvl w:ilvl="2" w:tplc="4D58A29E" w:tentative="1">
      <w:start w:val="1"/>
      <w:numFmt w:val="bullet"/>
      <w:lvlText w:val="•"/>
      <w:lvlJc w:val="left"/>
      <w:pPr>
        <w:tabs>
          <w:tab w:val="num" w:pos="2160"/>
        </w:tabs>
        <w:ind w:left="2160" w:hanging="360"/>
      </w:pPr>
      <w:rPr>
        <w:rFonts w:ascii="Arial" w:hAnsi="Arial" w:hint="default"/>
      </w:rPr>
    </w:lvl>
    <w:lvl w:ilvl="3" w:tplc="F10E28B8" w:tentative="1">
      <w:start w:val="1"/>
      <w:numFmt w:val="bullet"/>
      <w:lvlText w:val="•"/>
      <w:lvlJc w:val="left"/>
      <w:pPr>
        <w:tabs>
          <w:tab w:val="num" w:pos="2880"/>
        </w:tabs>
        <w:ind w:left="2880" w:hanging="360"/>
      </w:pPr>
      <w:rPr>
        <w:rFonts w:ascii="Arial" w:hAnsi="Arial" w:hint="default"/>
      </w:rPr>
    </w:lvl>
    <w:lvl w:ilvl="4" w:tplc="5E3A43F6" w:tentative="1">
      <w:start w:val="1"/>
      <w:numFmt w:val="bullet"/>
      <w:lvlText w:val="•"/>
      <w:lvlJc w:val="left"/>
      <w:pPr>
        <w:tabs>
          <w:tab w:val="num" w:pos="3600"/>
        </w:tabs>
        <w:ind w:left="3600" w:hanging="360"/>
      </w:pPr>
      <w:rPr>
        <w:rFonts w:ascii="Arial" w:hAnsi="Arial" w:hint="default"/>
      </w:rPr>
    </w:lvl>
    <w:lvl w:ilvl="5" w:tplc="B2723F6E" w:tentative="1">
      <w:start w:val="1"/>
      <w:numFmt w:val="bullet"/>
      <w:lvlText w:val="•"/>
      <w:lvlJc w:val="left"/>
      <w:pPr>
        <w:tabs>
          <w:tab w:val="num" w:pos="4320"/>
        </w:tabs>
        <w:ind w:left="4320" w:hanging="360"/>
      </w:pPr>
      <w:rPr>
        <w:rFonts w:ascii="Arial" w:hAnsi="Arial" w:hint="default"/>
      </w:rPr>
    </w:lvl>
    <w:lvl w:ilvl="6" w:tplc="D6AAEA28" w:tentative="1">
      <w:start w:val="1"/>
      <w:numFmt w:val="bullet"/>
      <w:lvlText w:val="•"/>
      <w:lvlJc w:val="left"/>
      <w:pPr>
        <w:tabs>
          <w:tab w:val="num" w:pos="5040"/>
        </w:tabs>
        <w:ind w:left="5040" w:hanging="360"/>
      </w:pPr>
      <w:rPr>
        <w:rFonts w:ascii="Arial" w:hAnsi="Arial" w:hint="default"/>
      </w:rPr>
    </w:lvl>
    <w:lvl w:ilvl="7" w:tplc="C728FE4C" w:tentative="1">
      <w:start w:val="1"/>
      <w:numFmt w:val="bullet"/>
      <w:lvlText w:val="•"/>
      <w:lvlJc w:val="left"/>
      <w:pPr>
        <w:tabs>
          <w:tab w:val="num" w:pos="5760"/>
        </w:tabs>
        <w:ind w:left="5760" w:hanging="360"/>
      </w:pPr>
      <w:rPr>
        <w:rFonts w:ascii="Arial" w:hAnsi="Arial" w:hint="default"/>
      </w:rPr>
    </w:lvl>
    <w:lvl w:ilvl="8" w:tplc="58A401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C743EF"/>
    <w:multiLevelType w:val="hybridMultilevel"/>
    <w:tmpl w:val="68A4D882"/>
    <w:lvl w:ilvl="0" w:tplc="4F606426">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B89B1"/>
    <w:multiLevelType w:val="hybridMultilevel"/>
    <w:tmpl w:val="C9E393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F63E12"/>
    <w:multiLevelType w:val="hybridMultilevel"/>
    <w:tmpl w:val="D7C4FA12"/>
    <w:lvl w:ilvl="0" w:tplc="D54EBD1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2262D"/>
    <w:multiLevelType w:val="multilevel"/>
    <w:tmpl w:val="61CC575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603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386DEE"/>
    <w:multiLevelType w:val="hybridMultilevel"/>
    <w:tmpl w:val="FFEA47C8"/>
    <w:lvl w:ilvl="0" w:tplc="3F7856C0">
      <w:start w:val="1"/>
      <w:numFmt w:val="bullet"/>
      <w:lvlText w:val="•"/>
      <w:lvlJc w:val="left"/>
      <w:pPr>
        <w:tabs>
          <w:tab w:val="num" w:pos="720"/>
        </w:tabs>
        <w:ind w:left="720" w:hanging="360"/>
      </w:pPr>
      <w:rPr>
        <w:rFonts w:ascii="Arial" w:hAnsi="Arial" w:hint="default"/>
      </w:rPr>
    </w:lvl>
    <w:lvl w:ilvl="1" w:tplc="8BFCCD04" w:tentative="1">
      <w:start w:val="1"/>
      <w:numFmt w:val="bullet"/>
      <w:lvlText w:val="•"/>
      <w:lvlJc w:val="left"/>
      <w:pPr>
        <w:tabs>
          <w:tab w:val="num" w:pos="1440"/>
        </w:tabs>
        <w:ind w:left="1440" w:hanging="360"/>
      </w:pPr>
      <w:rPr>
        <w:rFonts w:ascii="Arial" w:hAnsi="Arial" w:hint="default"/>
      </w:rPr>
    </w:lvl>
    <w:lvl w:ilvl="2" w:tplc="9B1C0C38" w:tentative="1">
      <w:start w:val="1"/>
      <w:numFmt w:val="bullet"/>
      <w:lvlText w:val="•"/>
      <w:lvlJc w:val="left"/>
      <w:pPr>
        <w:tabs>
          <w:tab w:val="num" w:pos="2160"/>
        </w:tabs>
        <w:ind w:left="2160" w:hanging="360"/>
      </w:pPr>
      <w:rPr>
        <w:rFonts w:ascii="Arial" w:hAnsi="Arial" w:hint="default"/>
      </w:rPr>
    </w:lvl>
    <w:lvl w:ilvl="3" w:tplc="25326D4E" w:tentative="1">
      <w:start w:val="1"/>
      <w:numFmt w:val="bullet"/>
      <w:lvlText w:val="•"/>
      <w:lvlJc w:val="left"/>
      <w:pPr>
        <w:tabs>
          <w:tab w:val="num" w:pos="2880"/>
        </w:tabs>
        <w:ind w:left="2880" w:hanging="360"/>
      </w:pPr>
      <w:rPr>
        <w:rFonts w:ascii="Arial" w:hAnsi="Arial" w:hint="default"/>
      </w:rPr>
    </w:lvl>
    <w:lvl w:ilvl="4" w:tplc="C36CB3AC" w:tentative="1">
      <w:start w:val="1"/>
      <w:numFmt w:val="bullet"/>
      <w:lvlText w:val="•"/>
      <w:lvlJc w:val="left"/>
      <w:pPr>
        <w:tabs>
          <w:tab w:val="num" w:pos="3600"/>
        </w:tabs>
        <w:ind w:left="3600" w:hanging="360"/>
      </w:pPr>
      <w:rPr>
        <w:rFonts w:ascii="Arial" w:hAnsi="Arial" w:hint="default"/>
      </w:rPr>
    </w:lvl>
    <w:lvl w:ilvl="5" w:tplc="689E15E0" w:tentative="1">
      <w:start w:val="1"/>
      <w:numFmt w:val="bullet"/>
      <w:lvlText w:val="•"/>
      <w:lvlJc w:val="left"/>
      <w:pPr>
        <w:tabs>
          <w:tab w:val="num" w:pos="4320"/>
        </w:tabs>
        <w:ind w:left="4320" w:hanging="360"/>
      </w:pPr>
      <w:rPr>
        <w:rFonts w:ascii="Arial" w:hAnsi="Arial" w:hint="default"/>
      </w:rPr>
    </w:lvl>
    <w:lvl w:ilvl="6" w:tplc="870A18CE" w:tentative="1">
      <w:start w:val="1"/>
      <w:numFmt w:val="bullet"/>
      <w:lvlText w:val="•"/>
      <w:lvlJc w:val="left"/>
      <w:pPr>
        <w:tabs>
          <w:tab w:val="num" w:pos="5040"/>
        </w:tabs>
        <w:ind w:left="5040" w:hanging="360"/>
      </w:pPr>
      <w:rPr>
        <w:rFonts w:ascii="Arial" w:hAnsi="Arial" w:hint="default"/>
      </w:rPr>
    </w:lvl>
    <w:lvl w:ilvl="7" w:tplc="1C9033E4" w:tentative="1">
      <w:start w:val="1"/>
      <w:numFmt w:val="bullet"/>
      <w:lvlText w:val="•"/>
      <w:lvlJc w:val="left"/>
      <w:pPr>
        <w:tabs>
          <w:tab w:val="num" w:pos="5760"/>
        </w:tabs>
        <w:ind w:left="5760" w:hanging="360"/>
      </w:pPr>
      <w:rPr>
        <w:rFonts w:ascii="Arial" w:hAnsi="Arial" w:hint="default"/>
      </w:rPr>
    </w:lvl>
    <w:lvl w:ilvl="8" w:tplc="3F0C18E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CE0634"/>
    <w:multiLevelType w:val="hybridMultilevel"/>
    <w:tmpl w:val="2EB8C8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2C7C8A"/>
    <w:multiLevelType w:val="hybridMultilevel"/>
    <w:tmpl w:val="F9FCFA3E"/>
    <w:lvl w:ilvl="0" w:tplc="BA8AD19C">
      <w:start w:val="1"/>
      <w:numFmt w:val="bullet"/>
      <w:lvlText w:val="•"/>
      <w:lvlJc w:val="left"/>
      <w:pPr>
        <w:tabs>
          <w:tab w:val="num" w:pos="720"/>
        </w:tabs>
        <w:ind w:left="720" w:hanging="360"/>
      </w:pPr>
      <w:rPr>
        <w:rFonts w:ascii="Arial" w:hAnsi="Arial" w:hint="default"/>
      </w:rPr>
    </w:lvl>
    <w:lvl w:ilvl="1" w:tplc="FE0A781A" w:tentative="1">
      <w:start w:val="1"/>
      <w:numFmt w:val="bullet"/>
      <w:lvlText w:val="•"/>
      <w:lvlJc w:val="left"/>
      <w:pPr>
        <w:tabs>
          <w:tab w:val="num" w:pos="1440"/>
        </w:tabs>
        <w:ind w:left="1440" w:hanging="360"/>
      </w:pPr>
      <w:rPr>
        <w:rFonts w:ascii="Arial" w:hAnsi="Arial" w:hint="default"/>
      </w:rPr>
    </w:lvl>
    <w:lvl w:ilvl="2" w:tplc="E29ABEF6" w:tentative="1">
      <w:start w:val="1"/>
      <w:numFmt w:val="bullet"/>
      <w:lvlText w:val="•"/>
      <w:lvlJc w:val="left"/>
      <w:pPr>
        <w:tabs>
          <w:tab w:val="num" w:pos="2160"/>
        </w:tabs>
        <w:ind w:left="2160" w:hanging="360"/>
      </w:pPr>
      <w:rPr>
        <w:rFonts w:ascii="Arial" w:hAnsi="Arial" w:hint="default"/>
      </w:rPr>
    </w:lvl>
    <w:lvl w:ilvl="3" w:tplc="7186AC20" w:tentative="1">
      <w:start w:val="1"/>
      <w:numFmt w:val="bullet"/>
      <w:lvlText w:val="•"/>
      <w:lvlJc w:val="left"/>
      <w:pPr>
        <w:tabs>
          <w:tab w:val="num" w:pos="2880"/>
        </w:tabs>
        <w:ind w:left="2880" w:hanging="360"/>
      </w:pPr>
      <w:rPr>
        <w:rFonts w:ascii="Arial" w:hAnsi="Arial" w:hint="default"/>
      </w:rPr>
    </w:lvl>
    <w:lvl w:ilvl="4" w:tplc="CC24341A" w:tentative="1">
      <w:start w:val="1"/>
      <w:numFmt w:val="bullet"/>
      <w:lvlText w:val="•"/>
      <w:lvlJc w:val="left"/>
      <w:pPr>
        <w:tabs>
          <w:tab w:val="num" w:pos="3600"/>
        </w:tabs>
        <w:ind w:left="3600" w:hanging="360"/>
      </w:pPr>
      <w:rPr>
        <w:rFonts w:ascii="Arial" w:hAnsi="Arial" w:hint="default"/>
      </w:rPr>
    </w:lvl>
    <w:lvl w:ilvl="5" w:tplc="3822F6FA" w:tentative="1">
      <w:start w:val="1"/>
      <w:numFmt w:val="bullet"/>
      <w:lvlText w:val="•"/>
      <w:lvlJc w:val="left"/>
      <w:pPr>
        <w:tabs>
          <w:tab w:val="num" w:pos="4320"/>
        </w:tabs>
        <w:ind w:left="4320" w:hanging="360"/>
      </w:pPr>
      <w:rPr>
        <w:rFonts w:ascii="Arial" w:hAnsi="Arial" w:hint="default"/>
      </w:rPr>
    </w:lvl>
    <w:lvl w:ilvl="6" w:tplc="9E001680" w:tentative="1">
      <w:start w:val="1"/>
      <w:numFmt w:val="bullet"/>
      <w:lvlText w:val="•"/>
      <w:lvlJc w:val="left"/>
      <w:pPr>
        <w:tabs>
          <w:tab w:val="num" w:pos="5040"/>
        </w:tabs>
        <w:ind w:left="5040" w:hanging="360"/>
      </w:pPr>
      <w:rPr>
        <w:rFonts w:ascii="Arial" w:hAnsi="Arial" w:hint="default"/>
      </w:rPr>
    </w:lvl>
    <w:lvl w:ilvl="7" w:tplc="8AA20232" w:tentative="1">
      <w:start w:val="1"/>
      <w:numFmt w:val="bullet"/>
      <w:lvlText w:val="•"/>
      <w:lvlJc w:val="left"/>
      <w:pPr>
        <w:tabs>
          <w:tab w:val="num" w:pos="5760"/>
        </w:tabs>
        <w:ind w:left="5760" w:hanging="360"/>
      </w:pPr>
      <w:rPr>
        <w:rFonts w:ascii="Arial" w:hAnsi="Arial" w:hint="default"/>
      </w:rPr>
    </w:lvl>
    <w:lvl w:ilvl="8" w:tplc="A8347B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0E1D0D"/>
    <w:multiLevelType w:val="hybridMultilevel"/>
    <w:tmpl w:val="75EC5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A32AB"/>
    <w:multiLevelType w:val="hybridMultilevel"/>
    <w:tmpl w:val="C31EDC9A"/>
    <w:lvl w:ilvl="0" w:tplc="5A280782">
      <w:start w:val="1"/>
      <w:numFmt w:val="bullet"/>
      <w:lvlText w:val="•"/>
      <w:lvlJc w:val="left"/>
      <w:pPr>
        <w:tabs>
          <w:tab w:val="num" w:pos="360"/>
        </w:tabs>
        <w:ind w:left="360" w:hanging="360"/>
      </w:pPr>
      <w:rPr>
        <w:rFonts w:ascii="Arial" w:hAnsi="Arial" w:hint="default"/>
      </w:rPr>
    </w:lvl>
    <w:lvl w:ilvl="1" w:tplc="849E2DAE">
      <w:numFmt w:val="bullet"/>
      <w:lvlText w:val="•"/>
      <w:lvlJc w:val="left"/>
      <w:pPr>
        <w:tabs>
          <w:tab w:val="num" w:pos="1080"/>
        </w:tabs>
        <w:ind w:left="1080" w:hanging="360"/>
      </w:pPr>
      <w:rPr>
        <w:rFonts w:ascii="Arial" w:hAnsi="Arial" w:hint="default"/>
      </w:rPr>
    </w:lvl>
    <w:lvl w:ilvl="2" w:tplc="B8844BBC">
      <w:start w:val="1"/>
      <w:numFmt w:val="bullet"/>
      <w:lvlText w:val="•"/>
      <w:lvlJc w:val="left"/>
      <w:pPr>
        <w:tabs>
          <w:tab w:val="num" w:pos="1800"/>
        </w:tabs>
        <w:ind w:left="1800" w:hanging="360"/>
      </w:pPr>
      <w:rPr>
        <w:rFonts w:ascii="Arial" w:hAnsi="Arial" w:hint="default"/>
      </w:rPr>
    </w:lvl>
    <w:lvl w:ilvl="3" w:tplc="74A67A04">
      <w:start w:val="5"/>
      <w:numFmt w:val="bullet"/>
      <w:lvlText w:val=""/>
      <w:lvlJc w:val="left"/>
      <w:pPr>
        <w:ind w:left="2520" w:hanging="360"/>
      </w:pPr>
      <w:rPr>
        <w:rFonts w:ascii="Wingdings" w:eastAsiaTheme="minorHAnsi" w:hAnsi="Wingdings" w:cstheme="minorBidi" w:hint="default"/>
      </w:rPr>
    </w:lvl>
    <w:lvl w:ilvl="4" w:tplc="B6C65F42" w:tentative="1">
      <w:start w:val="1"/>
      <w:numFmt w:val="bullet"/>
      <w:lvlText w:val="•"/>
      <w:lvlJc w:val="left"/>
      <w:pPr>
        <w:tabs>
          <w:tab w:val="num" w:pos="3240"/>
        </w:tabs>
        <w:ind w:left="3240" w:hanging="360"/>
      </w:pPr>
      <w:rPr>
        <w:rFonts w:ascii="Arial" w:hAnsi="Arial" w:hint="default"/>
      </w:rPr>
    </w:lvl>
    <w:lvl w:ilvl="5" w:tplc="E5347B84" w:tentative="1">
      <w:start w:val="1"/>
      <w:numFmt w:val="bullet"/>
      <w:lvlText w:val="•"/>
      <w:lvlJc w:val="left"/>
      <w:pPr>
        <w:tabs>
          <w:tab w:val="num" w:pos="3960"/>
        </w:tabs>
        <w:ind w:left="3960" w:hanging="360"/>
      </w:pPr>
      <w:rPr>
        <w:rFonts w:ascii="Arial" w:hAnsi="Arial" w:hint="default"/>
      </w:rPr>
    </w:lvl>
    <w:lvl w:ilvl="6" w:tplc="EBF6F73C" w:tentative="1">
      <w:start w:val="1"/>
      <w:numFmt w:val="bullet"/>
      <w:lvlText w:val="•"/>
      <w:lvlJc w:val="left"/>
      <w:pPr>
        <w:tabs>
          <w:tab w:val="num" w:pos="4680"/>
        </w:tabs>
        <w:ind w:left="4680" w:hanging="360"/>
      </w:pPr>
      <w:rPr>
        <w:rFonts w:ascii="Arial" w:hAnsi="Arial" w:hint="default"/>
      </w:rPr>
    </w:lvl>
    <w:lvl w:ilvl="7" w:tplc="819010E0" w:tentative="1">
      <w:start w:val="1"/>
      <w:numFmt w:val="bullet"/>
      <w:lvlText w:val="•"/>
      <w:lvlJc w:val="left"/>
      <w:pPr>
        <w:tabs>
          <w:tab w:val="num" w:pos="5400"/>
        </w:tabs>
        <w:ind w:left="5400" w:hanging="360"/>
      </w:pPr>
      <w:rPr>
        <w:rFonts w:ascii="Arial" w:hAnsi="Arial" w:hint="default"/>
      </w:rPr>
    </w:lvl>
    <w:lvl w:ilvl="8" w:tplc="C7DA911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3F8F423"/>
    <w:multiLevelType w:val="hybridMultilevel"/>
    <w:tmpl w:val="236631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D06F3E"/>
    <w:multiLevelType w:val="hybridMultilevel"/>
    <w:tmpl w:val="7BFA8122"/>
    <w:lvl w:ilvl="0" w:tplc="EB62B1DA">
      <w:start w:val="100"/>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533DC"/>
    <w:multiLevelType w:val="multilevel"/>
    <w:tmpl w:val="E6A4C57A"/>
    <w:lvl w:ilvl="0">
      <w:start w:val="1"/>
      <w:numFmt w:val="decimal"/>
      <w:pStyle w:val="Heading1"/>
      <w:lvlText w:val="%1"/>
      <w:lvlJc w:val="left"/>
      <w:pPr>
        <w:ind w:left="432" w:hanging="432"/>
      </w:pPr>
    </w:lvl>
    <w:lvl w:ilvl="1">
      <w:start w:val="1"/>
      <w:numFmt w:val="decimal"/>
      <w:pStyle w:val="Heading2"/>
      <w:lvlText w:val="%1.%2"/>
      <w:lvlJc w:val="left"/>
      <w:pPr>
        <w:ind w:left="2844" w:hanging="576"/>
      </w:pPr>
    </w:lvl>
    <w:lvl w:ilvl="2">
      <w:start w:val="1"/>
      <w:numFmt w:val="decimal"/>
      <w:pStyle w:val="Heading3"/>
      <w:lvlText w:val="%1.%2.%3"/>
      <w:lvlJc w:val="left"/>
      <w:pPr>
        <w:ind w:left="3981"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CEC081F"/>
    <w:multiLevelType w:val="hybridMultilevel"/>
    <w:tmpl w:val="01A43616"/>
    <w:lvl w:ilvl="0" w:tplc="6FD83718">
      <w:start w:val="47"/>
      <w:numFmt w:val="bullet"/>
      <w:lvlText w:val="-"/>
      <w:lvlJc w:val="left"/>
      <w:pPr>
        <w:ind w:left="720" w:hanging="360"/>
      </w:pPr>
      <w:rPr>
        <w:rFonts w:ascii="Helvetica" w:eastAsiaTheme="minorHAnsi" w:hAnsi="Helvetica"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688AB"/>
    <w:multiLevelType w:val="hybridMultilevel"/>
    <w:tmpl w:val="12EDEB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CB401A"/>
    <w:multiLevelType w:val="hybridMultilevel"/>
    <w:tmpl w:val="FCC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6CB"/>
    <w:multiLevelType w:val="hybridMultilevel"/>
    <w:tmpl w:val="28CA3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0B027C"/>
    <w:multiLevelType w:val="hybridMultilevel"/>
    <w:tmpl w:val="FABA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5061D"/>
    <w:multiLevelType w:val="hybridMultilevel"/>
    <w:tmpl w:val="2CA85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2073DD"/>
    <w:multiLevelType w:val="hybridMultilevel"/>
    <w:tmpl w:val="6A0A8766"/>
    <w:lvl w:ilvl="0" w:tplc="D54EBD12">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C4083"/>
    <w:multiLevelType w:val="multilevel"/>
    <w:tmpl w:val="294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86229C"/>
    <w:multiLevelType w:val="hybridMultilevel"/>
    <w:tmpl w:val="CB06599C"/>
    <w:lvl w:ilvl="0" w:tplc="D00E361A">
      <w:start w:val="9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60740"/>
    <w:multiLevelType w:val="hybridMultilevel"/>
    <w:tmpl w:val="9EAE2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CF6353B"/>
    <w:multiLevelType w:val="hybridMultilevel"/>
    <w:tmpl w:val="EBD01508"/>
    <w:lvl w:ilvl="0" w:tplc="53F0B81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6"/>
  </w:num>
  <w:num w:numId="3">
    <w:abstractNumId w:val="26"/>
  </w:num>
  <w:num w:numId="4">
    <w:abstractNumId w:val="36"/>
  </w:num>
  <w:num w:numId="5">
    <w:abstractNumId w:val="12"/>
  </w:num>
  <w:num w:numId="6">
    <w:abstractNumId w:val="5"/>
  </w:num>
  <w:num w:numId="7">
    <w:abstractNumId w:val="25"/>
  </w:num>
  <w:num w:numId="8">
    <w:abstractNumId w:val="15"/>
  </w:num>
  <w:num w:numId="9">
    <w:abstractNumId w:val="34"/>
  </w:num>
  <w:num w:numId="10">
    <w:abstractNumId w:val="7"/>
  </w:num>
  <w:num w:numId="11">
    <w:abstractNumId w:val="18"/>
  </w:num>
  <w:num w:numId="12">
    <w:abstractNumId w:val="20"/>
  </w:num>
  <w:num w:numId="13">
    <w:abstractNumId w:val="30"/>
  </w:num>
  <w:num w:numId="14">
    <w:abstractNumId w:val="29"/>
  </w:num>
  <w:num w:numId="15">
    <w:abstractNumId w:val="10"/>
  </w:num>
  <w:num w:numId="16">
    <w:abstractNumId w:val="9"/>
  </w:num>
  <w:num w:numId="17">
    <w:abstractNumId w:val="22"/>
  </w:num>
  <w:num w:numId="18">
    <w:abstractNumId w:val="17"/>
  </w:num>
  <w:num w:numId="19">
    <w:abstractNumId w:val="2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6"/>
  </w:num>
  <w:num w:numId="23">
    <w:abstractNumId w:val="33"/>
  </w:num>
  <w:num w:numId="24">
    <w:abstractNumId w:val="38"/>
  </w:num>
  <w:num w:numId="25">
    <w:abstractNumId w:val="4"/>
  </w:num>
  <w:num w:numId="26">
    <w:abstractNumId w:val="27"/>
  </w:num>
  <w:num w:numId="27">
    <w:abstractNumId w:val="0"/>
  </w:num>
  <w:num w:numId="28">
    <w:abstractNumId w:val="35"/>
  </w:num>
  <w:num w:numId="29">
    <w:abstractNumId w:val="19"/>
  </w:num>
  <w:num w:numId="30">
    <w:abstractNumId w:val="31"/>
  </w:num>
  <w:num w:numId="31">
    <w:abstractNumId w:val="23"/>
  </w:num>
  <w:num w:numId="32">
    <w:abstractNumId w:val="11"/>
  </w:num>
  <w:num w:numId="33">
    <w:abstractNumId w:val="1"/>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9"/>
  </w:num>
  <w:num w:numId="38">
    <w:abstractNumId w:val="29"/>
  </w:num>
  <w:num w:numId="39">
    <w:abstractNumId w:val="29"/>
  </w:num>
  <w:num w:numId="40">
    <w:abstractNumId w:val="40"/>
  </w:num>
  <w:num w:numId="41">
    <w:abstractNumId w:val="8"/>
  </w:num>
  <w:num w:numId="42">
    <w:abstractNumId w:val="2"/>
  </w:num>
  <w:num w:numId="43">
    <w:abstractNumId w:val="13"/>
  </w:num>
  <w:num w:numId="44">
    <w:abstractNumId w:val="37"/>
  </w:num>
  <w:num w:numId="45">
    <w:abstractNumId w:val="39"/>
  </w:num>
  <w:num w:numId="46">
    <w:abstractNumId w:val="3"/>
  </w:num>
  <w:num w:numId="4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0F"/>
    <w:rsid w:val="0000390A"/>
    <w:rsid w:val="00005619"/>
    <w:rsid w:val="00016122"/>
    <w:rsid w:val="00017528"/>
    <w:rsid w:val="00026F06"/>
    <w:rsid w:val="00030D1A"/>
    <w:rsid w:val="0003380A"/>
    <w:rsid w:val="000347C8"/>
    <w:rsid w:val="00037642"/>
    <w:rsid w:val="0004347B"/>
    <w:rsid w:val="00043B28"/>
    <w:rsid w:val="00047FBF"/>
    <w:rsid w:val="00051AE5"/>
    <w:rsid w:val="0005389B"/>
    <w:rsid w:val="00060005"/>
    <w:rsid w:val="000611FF"/>
    <w:rsid w:val="00062350"/>
    <w:rsid w:val="00062C5C"/>
    <w:rsid w:val="00063ABA"/>
    <w:rsid w:val="00064074"/>
    <w:rsid w:val="0007397D"/>
    <w:rsid w:val="00074800"/>
    <w:rsid w:val="00075568"/>
    <w:rsid w:val="000811DB"/>
    <w:rsid w:val="00081C35"/>
    <w:rsid w:val="000828AC"/>
    <w:rsid w:val="000841C7"/>
    <w:rsid w:val="0009197E"/>
    <w:rsid w:val="000933BB"/>
    <w:rsid w:val="00097BFE"/>
    <w:rsid w:val="000A1AFC"/>
    <w:rsid w:val="000A1B4C"/>
    <w:rsid w:val="000B2042"/>
    <w:rsid w:val="000B24F6"/>
    <w:rsid w:val="000B5A7A"/>
    <w:rsid w:val="000C0289"/>
    <w:rsid w:val="000C0773"/>
    <w:rsid w:val="000C4BF8"/>
    <w:rsid w:val="000C5116"/>
    <w:rsid w:val="000C5578"/>
    <w:rsid w:val="000C57B2"/>
    <w:rsid w:val="000C61A3"/>
    <w:rsid w:val="000C69EE"/>
    <w:rsid w:val="000D6BC3"/>
    <w:rsid w:val="000E58CC"/>
    <w:rsid w:val="000E602D"/>
    <w:rsid w:val="000E6AA4"/>
    <w:rsid w:val="000F0627"/>
    <w:rsid w:val="000F5DAF"/>
    <w:rsid w:val="000F6304"/>
    <w:rsid w:val="000F6C9F"/>
    <w:rsid w:val="000F7DDA"/>
    <w:rsid w:val="00103DE8"/>
    <w:rsid w:val="00107558"/>
    <w:rsid w:val="00107685"/>
    <w:rsid w:val="001154F3"/>
    <w:rsid w:val="00122A40"/>
    <w:rsid w:val="001234F3"/>
    <w:rsid w:val="001251D9"/>
    <w:rsid w:val="00125F5B"/>
    <w:rsid w:val="0012740C"/>
    <w:rsid w:val="0013059F"/>
    <w:rsid w:val="00132FE8"/>
    <w:rsid w:val="00136C5E"/>
    <w:rsid w:val="00140F58"/>
    <w:rsid w:val="00143607"/>
    <w:rsid w:val="0014692C"/>
    <w:rsid w:val="001517AF"/>
    <w:rsid w:val="00156C15"/>
    <w:rsid w:val="00164B89"/>
    <w:rsid w:val="00173B73"/>
    <w:rsid w:val="00174929"/>
    <w:rsid w:val="001769A5"/>
    <w:rsid w:val="00177475"/>
    <w:rsid w:val="001814FD"/>
    <w:rsid w:val="0018668C"/>
    <w:rsid w:val="001931F8"/>
    <w:rsid w:val="0019368E"/>
    <w:rsid w:val="0019510F"/>
    <w:rsid w:val="001954A5"/>
    <w:rsid w:val="00196618"/>
    <w:rsid w:val="001A0B63"/>
    <w:rsid w:val="001A1FEF"/>
    <w:rsid w:val="001A662F"/>
    <w:rsid w:val="001A6AEF"/>
    <w:rsid w:val="001A7A3C"/>
    <w:rsid w:val="001A7D3E"/>
    <w:rsid w:val="001B1357"/>
    <w:rsid w:val="001B16D1"/>
    <w:rsid w:val="001B2C38"/>
    <w:rsid w:val="001B3480"/>
    <w:rsid w:val="001B5B96"/>
    <w:rsid w:val="001C119A"/>
    <w:rsid w:val="001C4038"/>
    <w:rsid w:val="001C45B5"/>
    <w:rsid w:val="001C4736"/>
    <w:rsid w:val="001C492E"/>
    <w:rsid w:val="001D1B62"/>
    <w:rsid w:val="001D1F74"/>
    <w:rsid w:val="001D4688"/>
    <w:rsid w:val="001D5EF6"/>
    <w:rsid w:val="001D7372"/>
    <w:rsid w:val="001E5BF3"/>
    <w:rsid w:val="001E671F"/>
    <w:rsid w:val="001F089A"/>
    <w:rsid w:val="001F6F97"/>
    <w:rsid w:val="001F74FD"/>
    <w:rsid w:val="00200ECE"/>
    <w:rsid w:val="00201A11"/>
    <w:rsid w:val="00204DAF"/>
    <w:rsid w:val="002051A8"/>
    <w:rsid w:val="00205604"/>
    <w:rsid w:val="00212143"/>
    <w:rsid w:val="0021385C"/>
    <w:rsid w:val="00214425"/>
    <w:rsid w:val="00214CBF"/>
    <w:rsid w:val="002173A2"/>
    <w:rsid w:val="00217981"/>
    <w:rsid w:val="00230FEA"/>
    <w:rsid w:val="002310D7"/>
    <w:rsid w:val="00236A4E"/>
    <w:rsid w:val="00241074"/>
    <w:rsid w:val="00241E47"/>
    <w:rsid w:val="0024345C"/>
    <w:rsid w:val="00243E98"/>
    <w:rsid w:val="00244256"/>
    <w:rsid w:val="002456A3"/>
    <w:rsid w:val="00245DE2"/>
    <w:rsid w:val="00246F22"/>
    <w:rsid w:val="002470D3"/>
    <w:rsid w:val="00250A62"/>
    <w:rsid w:val="00251FC1"/>
    <w:rsid w:val="0025219B"/>
    <w:rsid w:val="0025680A"/>
    <w:rsid w:val="00256987"/>
    <w:rsid w:val="002579F7"/>
    <w:rsid w:val="002605AC"/>
    <w:rsid w:val="002617DB"/>
    <w:rsid w:val="00261C95"/>
    <w:rsid w:val="002644BA"/>
    <w:rsid w:val="00265667"/>
    <w:rsid w:val="00266E8F"/>
    <w:rsid w:val="0027152A"/>
    <w:rsid w:val="00272161"/>
    <w:rsid w:val="00272C5D"/>
    <w:rsid w:val="0027335C"/>
    <w:rsid w:val="002769B6"/>
    <w:rsid w:val="00276F6D"/>
    <w:rsid w:val="00277EE6"/>
    <w:rsid w:val="002815FF"/>
    <w:rsid w:val="002828AE"/>
    <w:rsid w:val="00282C4D"/>
    <w:rsid w:val="00284317"/>
    <w:rsid w:val="00287E22"/>
    <w:rsid w:val="00291E86"/>
    <w:rsid w:val="0029311E"/>
    <w:rsid w:val="002957EE"/>
    <w:rsid w:val="002A3190"/>
    <w:rsid w:val="002A3ADF"/>
    <w:rsid w:val="002B69FA"/>
    <w:rsid w:val="002B6A70"/>
    <w:rsid w:val="002B764A"/>
    <w:rsid w:val="002C0824"/>
    <w:rsid w:val="002C1B9F"/>
    <w:rsid w:val="002C25C4"/>
    <w:rsid w:val="002C404D"/>
    <w:rsid w:val="002C6790"/>
    <w:rsid w:val="002D031E"/>
    <w:rsid w:val="002D13DE"/>
    <w:rsid w:val="002D67F4"/>
    <w:rsid w:val="002E02A5"/>
    <w:rsid w:val="002E0C12"/>
    <w:rsid w:val="002E4316"/>
    <w:rsid w:val="002E47CE"/>
    <w:rsid w:val="002E4F9F"/>
    <w:rsid w:val="002E6D67"/>
    <w:rsid w:val="002E6DF3"/>
    <w:rsid w:val="002E7A3B"/>
    <w:rsid w:val="002F142B"/>
    <w:rsid w:val="002F1570"/>
    <w:rsid w:val="002F3337"/>
    <w:rsid w:val="002F3D13"/>
    <w:rsid w:val="002F473C"/>
    <w:rsid w:val="002F6B0F"/>
    <w:rsid w:val="002F6DB1"/>
    <w:rsid w:val="003038AE"/>
    <w:rsid w:val="003039D0"/>
    <w:rsid w:val="0030494F"/>
    <w:rsid w:val="003058AA"/>
    <w:rsid w:val="00311CAE"/>
    <w:rsid w:val="003127E1"/>
    <w:rsid w:val="003132F4"/>
    <w:rsid w:val="0031704D"/>
    <w:rsid w:val="00317A48"/>
    <w:rsid w:val="00320001"/>
    <w:rsid w:val="0032528C"/>
    <w:rsid w:val="00326310"/>
    <w:rsid w:val="003265F4"/>
    <w:rsid w:val="0033146B"/>
    <w:rsid w:val="003319D3"/>
    <w:rsid w:val="0033343B"/>
    <w:rsid w:val="00334BB2"/>
    <w:rsid w:val="00343744"/>
    <w:rsid w:val="003447AA"/>
    <w:rsid w:val="00353C0D"/>
    <w:rsid w:val="003561E5"/>
    <w:rsid w:val="00356A13"/>
    <w:rsid w:val="0036040E"/>
    <w:rsid w:val="003614E8"/>
    <w:rsid w:val="00364591"/>
    <w:rsid w:val="00364DBE"/>
    <w:rsid w:val="003661DB"/>
    <w:rsid w:val="003679E5"/>
    <w:rsid w:val="00367D11"/>
    <w:rsid w:val="00370881"/>
    <w:rsid w:val="00371F3F"/>
    <w:rsid w:val="00372CA5"/>
    <w:rsid w:val="003761CC"/>
    <w:rsid w:val="00386197"/>
    <w:rsid w:val="0038621E"/>
    <w:rsid w:val="00387174"/>
    <w:rsid w:val="00390572"/>
    <w:rsid w:val="003910EC"/>
    <w:rsid w:val="003912E0"/>
    <w:rsid w:val="0039316E"/>
    <w:rsid w:val="0039514C"/>
    <w:rsid w:val="003A0670"/>
    <w:rsid w:val="003A31E3"/>
    <w:rsid w:val="003B0BF4"/>
    <w:rsid w:val="003B3295"/>
    <w:rsid w:val="003B6F50"/>
    <w:rsid w:val="003B7251"/>
    <w:rsid w:val="003B79DA"/>
    <w:rsid w:val="003B7A85"/>
    <w:rsid w:val="003C1093"/>
    <w:rsid w:val="003C280B"/>
    <w:rsid w:val="003C435D"/>
    <w:rsid w:val="003C4A5C"/>
    <w:rsid w:val="003C6724"/>
    <w:rsid w:val="003D09E2"/>
    <w:rsid w:val="003D477E"/>
    <w:rsid w:val="003D4E8C"/>
    <w:rsid w:val="003D5A5B"/>
    <w:rsid w:val="003D7673"/>
    <w:rsid w:val="003E0B7A"/>
    <w:rsid w:val="003E20B2"/>
    <w:rsid w:val="003E33C4"/>
    <w:rsid w:val="003E41B9"/>
    <w:rsid w:val="003E5937"/>
    <w:rsid w:val="003E711F"/>
    <w:rsid w:val="003F050D"/>
    <w:rsid w:val="003F2988"/>
    <w:rsid w:val="003F4462"/>
    <w:rsid w:val="00400D15"/>
    <w:rsid w:val="00402030"/>
    <w:rsid w:val="004042EC"/>
    <w:rsid w:val="004059E6"/>
    <w:rsid w:val="00407048"/>
    <w:rsid w:val="004075FC"/>
    <w:rsid w:val="00410C05"/>
    <w:rsid w:val="00411494"/>
    <w:rsid w:val="0041566F"/>
    <w:rsid w:val="00421202"/>
    <w:rsid w:val="004238A3"/>
    <w:rsid w:val="0042511A"/>
    <w:rsid w:val="00426F61"/>
    <w:rsid w:val="004274CC"/>
    <w:rsid w:val="00427579"/>
    <w:rsid w:val="00427655"/>
    <w:rsid w:val="00430CA8"/>
    <w:rsid w:val="00430F09"/>
    <w:rsid w:val="00433EB2"/>
    <w:rsid w:val="004342BA"/>
    <w:rsid w:val="00435967"/>
    <w:rsid w:val="00436C0C"/>
    <w:rsid w:val="00437299"/>
    <w:rsid w:val="00437BEE"/>
    <w:rsid w:val="0044074E"/>
    <w:rsid w:val="00440852"/>
    <w:rsid w:val="00440F58"/>
    <w:rsid w:val="0044528E"/>
    <w:rsid w:val="004524EE"/>
    <w:rsid w:val="00454DA8"/>
    <w:rsid w:val="00454F94"/>
    <w:rsid w:val="004551A4"/>
    <w:rsid w:val="004553A1"/>
    <w:rsid w:val="00455B9A"/>
    <w:rsid w:val="00460BAD"/>
    <w:rsid w:val="004612A8"/>
    <w:rsid w:val="00461778"/>
    <w:rsid w:val="004617C8"/>
    <w:rsid w:val="004649FF"/>
    <w:rsid w:val="00466A6A"/>
    <w:rsid w:val="0047125C"/>
    <w:rsid w:val="00471B36"/>
    <w:rsid w:val="00473338"/>
    <w:rsid w:val="00477232"/>
    <w:rsid w:val="004773E6"/>
    <w:rsid w:val="00480271"/>
    <w:rsid w:val="00481CF0"/>
    <w:rsid w:val="00482E6B"/>
    <w:rsid w:val="004839BA"/>
    <w:rsid w:val="00486CA1"/>
    <w:rsid w:val="00487AAE"/>
    <w:rsid w:val="00487FED"/>
    <w:rsid w:val="00490191"/>
    <w:rsid w:val="00490476"/>
    <w:rsid w:val="00492FF1"/>
    <w:rsid w:val="004943EC"/>
    <w:rsid w:val="00494B06"/>
    <w:rsid w:val="00497E1A"/>
    <w:rsid w:val="004A05C8"/>
    <w:rsid w:val="004A0C39"/>
    <w:rsid w:val="004A3765"/>
    <w:rsid w:val="004A61F5"/>
    <w:rsid w:val="004B0FCF"/>
    <w:rsid w:val="004B1F85"/>
    <w:rsid w:val="004B2FB3"/>
    <w:rsid w:val="004B5C1C"/>
    <w:rsid w:val="004B75DF"/>
    <w:rsid w:val="004C1016"/>
    <w:rsid w:val="004C157F"/>
    <w:rsid w:val="004C1593"/>
    <w:rsid w:val="004C2636"/>
    <w:rsid w:val="004C7CE2"/>
    <w:rsid w:val="004C7D72"/>
    <w:rsid w:val="004D19EC"/>
    <w:rsid w:val="004D2F40"/>
    <w:rsid w:val="004D35B8"/>
    <w:rsid w:val="004D37AA"/>
    <w:rsid w:val="004E0207"/>
    <w:rsid w:val="004E3F73"/>
    <w:rsid w:val="004E4D3B"/>
    <w:rsid w:val="004E4E29"/>
    <w:rsid w:val="004E540B"/>
    <w:rsid w:val="004E581D"/>
    <w:rsid w:val="004F0DC3"/>
    <w:rsid w:val="004F3E04"/>
    <w:rsid w:val="004F41A0"/>
    <w:rsid w:val="004F6324"/>
    <w:rsid w:val="004F6505"/>
    <w:rsid w:val="00503248"/>
    <w:rsid w:val="00504B06"/>
    <w:rsid w:val="00507C07"/>
    <w:rsid w:val="00507CBE"/>
    <w:rsid w:val="00516DA8"/>
    <w:rsid w:val="00517E40"/>
    <w:rsid w:val="005228C0"/>
    <w:rsid w:val="00531412"/>
    <w:rsid w:val="005334A4"/>
    <w:rsid w:val="00534F0D"/>
    <w:rsid w:val="00541D92"/>
    <w:rsid w:val="0054243B"/>
    <w:rsid w:val="0054280C"/>
    <w:rsid w:val="005433E8"/>
    <w:rsid w:val="005439D8"/>
    <w:rsid w:val="00545ED5"/>
    <w:rsid w:val="005505BF"/>
    <w:rsid w:val="00554368"/>
    <w:rsid w:val="005546E1"/>
    <w:rsid w:val="00555687"/>
    <w:rsid w:val="00560AC0"/>
    <w:rsid w:val="00560BE5"/>
    <w:rsid w:val="00566100"/>
    <w:rsid w:val="005665E8"/>
    <w:rsid w:val="00567473"/>
    <w:rsid w:val="00571786"/>
    <w:rsid w:val="00571FCB"/>
    <w:rsid w:val="0057242E"/>
    <w:rsid w:val="0057323A"/>
    <w:rsid w:val="00575550"/>
    <w:rsid w:val="0057784B"/>
    <w:rsid w:val="0058201E"/>
    <w:rsid w:val="00587A5C"/>
    <w:rsid w:val="00587FD1"/>
    <w:rsid w:val="0059016A"/>
    <w:rsid w:val="00592BCF"/>
    <w:rsid w:val="00595344"/>
    <w:rsid w:val="005A2A4D"/>
    <w:rsid w:val="005A572E"/>
    <w:rsid w:val="005A5D2F"/>
    <w:rsid w:val="005B2830"/>
    <w:rsid w:val="005C50B7"/>
    <w:rsid w:val="005C6DCD"/>
    <w:rsid w:val="005D0E96"/>
    <w:rsid w:val="005D149F"/>
    <w:rsid w:val="005D2336"/>
    <w:rsid w:val="005D5042"/>
    <w:rsid w:val="005E14FE"/>
    <w:rsid w:val="005E3FA5"/>
    <w:rsid w:val="005E628B"/>
    <w:rsid w:val="005E6737"/>
    <w:rsid w:val="005F16D8"/>
    <w:rsid w:val="005F4041"/>
    <w:rsid w:val="005F7858"/>
    <w:rsid w:val="006030F1"/>
    <w:rsid w:val="00603B31"/>
    <w:rsid w:val="00604264"/>
    <w:rsid w:val="006048F4"/>
    <w:rsid w:val="00606001"/>
    <w:rsid w:val="00607B2D"/>
    <w:rsid w:val="00610088"/>
    <w:rsid w:val="0061009A"/>
    <w:rsid w:val="00610DDF"/>
    <w:rsid w:val="00614E97"/>
    <w:rsid w:val="006153AB"/>
    <w:rsid w:val="00620481"/>
    <w:rsid w:val="00622306"/>
    <w:rsid w:val="00625DF7"/>
    <w:rsid w:val="00626D64"/>
    <w:rsid w:val="00634FCB"/>
    <w:rsid w:val="006365A3"/>
    <w:rsid w:val="00637715"/>
    <w:rsid w:val="00640482"/>
    <w:rsid w:val="0065439F"/>
    <w:rsid w:val="0065465F"/>
    <w:rsid w:val="00654C51"/>
    <w:rsid w:val="00655035"/>
    <w:rsid w:val="006601F2"/>
    <w:rsid w:val="00660F8D"/>
    <w:rsid w:val="00662B01"/>
    <w:rsid w:val="006656D0"/>
    <w:rsid w:val="00665773"/>
    <w:rsid w:val="00665FF7"/>
    <w:rsid w:val="00667003"/>
    <w:rsid w:val="0066744E"/>
    <w:rsid w:val="00676107"/>
    <w:rsid w:val="00676FA0"/>
    <w:rsid w:val="00682225"/>
    <w:rsid w:val="006837ED"/>
    <w:rsid w:val="006845FE"/>
    <w:rsid w:val="006852EB"/>
    <w:rsid w:val="006945C8"/>
    <w:rsid w:val="006A073E"/>
    <w:rsid w:val="006A1A97"/>
    <w:rsid w:val="006A2316"/>
    <w:rsid w:val="006A5CA9"/>
    <w:rsid w:val="006A7DA4"/>
    <w:rsid w:val="006B1388"/>
    <w:rsid w:val="006B2038"/>
    <w:rsid w:val="006B30FE"/>
    <w:rsid w:val="006B3511"/>
    <w:rsid w:val="006B4910"/>
    <w:rsid w:val="006C1A6C"/>
    <w:rsid w:val="006C3058"/>
    <w:rsid w:val="006C57CA"/>
    <w:rsid w:val="006D035C"/>
    <w:rsid w:val="006D3825"/>
    <w:rsid w:val="006D459F"/>
    <w:rsid w:val="006D6393"/>
    <w:rsid w:val="006E76BB"/>
    <w:rsid w:val="006F05DB"/>
    <w:rsid w:val="006F3AA7"/>
    <w:rsid w:val="006F46E6"/>
    <w:rsid w:val="006F470A"/>
    <w:rsid w:val="006F471F"/>
    <w:rsid w:val="006F5730"/>
    <w:rsid w:val="006F5871"/>
    <w:rsid w:val="006F6A9D"/>
    <w:rsid w:val="00702C96"/>
    <w:rsid w:val="00702EEF"/>
    <w:rsid w:val="00703145"/>
    <w:rsid w:val="00705D85"/>
    <w:rsid w:val="00706346"/>
    <w:rsid w:val="007069A4"/>
    <w:rsid w:val="00707685"/>
    <w:rsid w:val="00712348"/>
    <w:rsid w:val="00714C8C"/>
    <w:rsid w:val="00716A4A"/>
    <w:rsid w:val="007172B2"/>
    <w:rsid w:val="00717599"/>
    <w:rsid w:val="00723E27"/>
    <w:rsid w:val="00724B5A"/>
    <w:rsid w:val="00731538"/>
    <w:rsid w:val="0073174F"/>
    <w:rsid w:val="00750800"/>
    <w:rsid w:val="00751165"/>
    <w:rsid w:val="00751180"/>
    <w:rsid w:val="0075250C"/>
    <w:rsid w:val="00755AD1"/>
    <w:rsid w:val="00760857"/>
    <w:rsid w:val="00762F59"/>
    <w:rsid w:val="007670C0"/>
    <w:rsid w:val="00770F9F"/>
    <w:rsid w:val="00771E05"/>
    <w:rsid w:val="00773404"/>
    <w:rsid w:val="007764E0"/>
    <w:rsid w:val="007769FA"/>
    <w:rsid w:val="00777E5F"/>
    <w:rsid w:val="00780675"/>
    <w:rsid w:val="0078146D"/>
    <w:rsid w:val="0078458F"/>
    <w:rsid w:val="00786E88"/>
    <w:rsid w:val="007874B6"/>
    <w:rsid w:val="0078798B"/>
    <w:rsid w:val="00790318"/>
    <w:rsid w:val="00790FA5"/>
    <w:rsid w:val="00792135"/>
    <w:rsid w:val="007930D8"/>
    <w:rsid w:val="00793FB9"/>
    <w:rsid w:val="00795B1B"/>
    <w:rsid w:val="00796876"/>
    <w:rsid w:val="00797E92"/>
    <w:rsid w:val="007A2168"/>
    <w:rsid w:val="007A3E6E"/>
    <w:rsid w:val="007A5E46"/>
    <w:rsid w:val="007A6EB6"/>
    <w:rsid w:val="007A6FD4"/>
    <w:rsid w:val="007B3019"/>
    <w:rsid w:val="007B4087"/>
    <w:rsid w:val="007B4AE4"/>
    <w:rsid w:val="007B4DEC"/>
    <w:rsid w:val="007C2D36"/>
    <w:rsid w:val="007C2D50"/>
    <w:rsid w:val="007C2F38"/>
    <w:rsid w:val="007C5AEA"/>
    <w:rsid w:val="007D0E3E"/>
    <w:rsid w:val="007D17E9"/>
    <w:rsid w:val="007D4053"/>
    <w:rsid w:val="007D4960"/>
    <w:rsid w:val="007D5EAA"/>
    <w:rsid w:val="007E1934"/>
    <w:rsid w:val="007E1C58"/>
    <w:rsid w:val="007E3213"/>
    <w:rsid w:val="007E3F1F"/>
    <w:rsid w:val="007E5856"/>
    <w:rsid w:val="007F27FF"/>
    <w:rsid w:val="007F58EA"/>
    <w:rsid w:val="008023B9"/>
    <w:rsid w:val="008135F8"/>
    <w:rsid w:val="00813E11"/>
    <w:rsid w:val="00814A40"/>
    <w:rsid w:val="008162A6"/>
    <w:rsid w:val="00824B84"/>
    <w:rsid w:val="008259C9"/>
    <w:rsid w:val="00826E74"/>
    <w:rsid w:val="0082754F"/>
    <w:rsid w:val="0083225A"/>
    <w:rsid w:val="0083362D"/>
    <w:rsid w:val="00833698"/>
    <w:rsid w:val="008348C0"/>
    <w:rsid w:val="0083688E"/>
    <w:rsid w:val="00837997"/>
    <w:rsid w:val="008410B2"/>
    <w:rsid w:val="00841ABC"/>
    <w:rsid w:val="00842154"/>
    <w:rsid w:val="00844B57"/>
    <w:rsid w:val="0084605B"/>
    <w:rsid w:val="00847993"/>
    <w:rsid w:val="00851C97"/>
    <w:rsid w:val="008532AC"/>
    <w:rsid w:val="00853A2C"/>
    <w:rsid w:val="00855313"/>
    <w:rsid w:val="00855F6B"/>
    <w:rsid w:val="0085645C"/>
    <w:rsid w:val="008643C6"/>
    <w:rsid w:val="00866DAE"/>
    <w:rsid w:val="0086719C"/>
    <w:rsid w:val="00871567"/>
    <w:rsid w:val="0087347B"/>
    <w:rsid w:val="00877364"/>
    <w:rsid w:val="008845B9"/>
    <w:rsid w:val="00885B7C"/>
    <w:rsid w:val="0089153F"/>
    <w:rsid w:val="00891FA4"/>
    <w:rsid w:val="00892220"/>
    <w:rsid w:val="00892F11"/>
    <w:rsid w:val="008958E7"/>
    <w:rsid w:val="008972EC"/>
    <w:rsid w:val="00897D18"/>
    <w:rsid w:val="008B377C"/>
    <w:rsid w:val="008B5DD9"/>
    <w:rsid w:val="008B7E7E"/>
    <w:rsid w:val="008C20F7"/>
    <w:rsid w:val="008C5B62"/>
    <w:rsid w:val="008C5F34"/>
    <w:rsid w:val="008C7324"/>
    <w:rsid w:val="008C7A9C"/>
    <w:rsid w:val="008D13FF"/>
    <w:rsid w:val="008D60A5"/>
    <w:rsid w:val="008D70D0"/>
    <w:rsid w:val="008E053E"/>
    <w:rsid w:val="008E1BF1"/>
    <w:rsid w:val="008E4241"/>
    <w:rsid w:val="008F0251"/>
    <w:rsid w:val="008F1F5B"/>
    <w:rsid w:val="008F28BB"/>
    <w:rsid w:val="008F3E7E"/>
    <w:rsid w:val="008F4071"/>
    <w:rsid w:val="008F61A1"/>
    <w:rsid w:val="009006F0"/>
    <w:rsid w:val="00904C61"/>
    <w:rsid w:val="00905A07"/>
    <w:rsid w:val="00907889"/>
    <w:rsid w:val="00913259"/>
    <w:rsid w:val="009145FB"/>
    <w:rsid w:val="009167AC"/>
    <w:rsid w:val="00917FE1"/>
    <w:rsid w:val="00931393"/>
    <w:rsid w:val="009341A3"/>
    <w:rsid w:val="0093694D"/>
    <w:rsid w:val="00937967"/>
    <w:rsid w:val="00941829"/>
    <w:rsid w:val="009427E5"/>
    <w:rsid w:val="0094355C"/>
    <w:rsid w:val="00945220"/>
    <w:rsid w:val="009454AE"/>
    <w:rsid w:val="00950685"/>
    <w:rsid w:val="0095126F"/>
    <w:rsid w:val="00953AF9"/>
    <w:rsid w:val="00956A0E"/>
    <w:rsid w:val="00956BFC"/>
    <w:rsid w:val="00960686"/>
    <w:rsid w:val="00961851"/>
    <w:rsid w:val="00962978"/>
    <w:rsid w:val="00965C0F"/>
    <w:rsid w:val="00966E9E"/>
    <w:rsid w:val="00970D19"/>
    <w:rsid w:val="009717C4"/>
    <w:rsid w:val="009734DA"/>
    <w:rsid w:val="00974A3E"/>
    <w:rsid w:val="00974B96"/>
    <w:rsid w:val="00975F46"/>
    <w:rsid w:val="00976124"/>
    <w:rsid w:val="009808EE"/>
    <w:rsid w:val="009817CB"/>
    <w:rsid w:val="009826D9"/>
    <w:rsid w:val="00982CB2"/>
    <w:rsid w:val="009832F9"/>
    <w:rsid w:val="00983785"/>
    <w:rsid w:val="00983A91"/>
    <w:rsid w:val="00987695"/>
    <w:rsid w:val="009913A8"/>
    <w:rsid w:val="0099187F"/>
    <w:rsid w:val="00995974"/>
    <w:rsid w:val="0099695D"/>
    <w:rsid w:val="009A0992"/>
    <w:rsid w:val="009A1F7A"/>
    <w:rsid w:val="009A229F"/>
    <w:rsid w:val="009A3EA4"/>
    <w:rsid w:val="009B4AAF"/>
    <w:rsid w:val="009B6524"/>
    <w:rsid w:val="009C141A"/>
    <w:rsid w:val="009C3553"/>
    <w:rsid w:val="009C38AB"/>
    <w:rsid w:val="009C5739"/>
    <w:rsid w:val="009C6824"/>
    <w:rsid w:val="009D1248"/>
    <w:rsid w:val="009D29D4"/>
    <w:rsid w:val="009D3BBF"/>
    <w:rsid w:val="009D4AAA"/>
    <w:rsid w:val="009E0FE8"/>
    <w:rsid w:val="009E16EC"/>
    <w:rsid w:val="009E1AAB"/>
    <w:rsid w:val="009E1E03"/>
    <w:rsid w:val="009E4109"/>
    <w:rsid w:val="009E5A71"/>
    <w:rsid w:val="009E79AB"/>
    <w:rsid w:val="009E7B22"/>
    <w:rsid w:val="009E7BB8"/>
    <w:rsid w:val="009F353D"/>
    <w:rsid w:val="009F38A6"/>
    <w:rsid w:val="009F4182"/>
    <w:rsid w:val="009F6073"/>
    <w:rsid w:val="009F7C25"/>
    <w:rsid w:val="009F7E12"/>
    <w:rsid w:val="00A00B4E"/>
    <w:rsid w:val="00A0230F"/>
    <w:rsid w:val="00A028C9"/>
    <w:rsid w:val="00A03F7C"/>
    <w:rsid w:val="00A05F85"/>
    <w:rsid w:val="00A060E2"/>
    <w:rsid w:val="00A15183"/>
    <w:rsid w:val="00A16509"/>
    <w:rsid w:val="00A16C96"/>
    <w:rsid w:val="00A1755E"/>
    <w:rsid w:val="00A20BA3"/>
    <w:rsid w:val="00A2168A"/>
    <w:rsid w:val="00A26D16"/>
    <w:rsid w:val="00A30444"/>
    <w:rsid w:val="00A32C64"/>
    <w:rsid w:val="00A33BF5"/>
    <w:rsid w:val="00A349A1"/>
    <w:rsid w:val="00A36FE5"/>
    <w:rsid w:val="00A414F8"/>
    <w:rsid w:val="00A429BD"/>
    <w:rsid w:val="00A452F7"/>
    <w:rsid w:val="00A45BC4"/>
    <w:rsid w:val="00A45EB9"/>
    <w:rsid w:val="00A46540"/>
    <w:rsid w:val="00A51889"/>
    <w:rsid w:val="00A544A3"/>
    <w:rsid w:val="00A562AD"/>
    <w:rsid w:val="00A62334"/>
    <w:rsid w:val="00A62779"/>
    <w:rsid w:val="00A665B8"/>
    <w:rsid w:val="00A71DF7"/>
    <w:rsid w:val="00A8191E"/>
    <w:rsid w:val="00A83BD4"/>
    <w:rsid w:val="00A851EC"/>
    <w:rsid w:val="00A865AF"/>
    <w:rsid w:val="00A866E6"/>
    <w:rsid w:val="00A91623"/>
    <w:rsid w:val="00A929FE"/>
    <w:rsid w:val="00A969C4"/>
    <w:rsid w:val="00A96A62"/>
    <w:rsid w:val="00AA1531"/>
    <w:rsid w:val="00AA6D88"/>
    <w:rsid w:val="00AB485D"/>
    <w:rsid w:val="00AB6BE3"/>
    <w:rsid w:val="00AC1C54"/>
    <w:rsid w:val="00AC6890"/>
    <w:rsid w:val="00AC7CC5"/>
    <w:rsid w:val="00AD0FA5"/>
    <w:rsid w:val="00AD435E"/>
    <w:rsid w:val="00AD4C8A"/>
    <w:rsid w:val="00AD594B"/>
    <w:rsid w:val="00AD59FD"/>
    <w:rsid w:val="00AD5FF3"/>
    <w:rsid w:val="00AD6574"/>
    <w:rsid w:val="00AD7268"/>
    <w:rsid w:val="00AE0A1E"/>
    <w:rsid w:val="00AF0701"/>
    <w:rsid w:val="00AF38D4"/>
    <w:rsid w:val="00AF3F19"/>
    <w:rsid w:val="00AF491F"/>
    <w:rsid w:val="00AF4DD1"/>
    <w:rsid w:val="00AF5EF2"/>
    <w:rsid w:val="00AF6739"/>
    <w:rsid w:val="00AF6AF2"/>
    <w:rsid w:val="00AF7C32"/>
    <w:rsid w:val="00B01D3E"/>
    <w:rsid w:val="00B0272A"/>
    <w:rsid w:val="00B02ABC"/>
    <w:rsid w:val="00B039CE"/>
    <w:rsid w:val="00B063FD"/>
    <w:rsid w:val="00B0792C"/>
    <w:rsid w:val="00B07D0B"/>
    <w:rsid w:val="00B10B90"/>
    <w:rsid w:val="00B10CBB"/>
    <w:rsid w:val="00B11228"/>
    <w:rsid w:val="00B15679"/>
    <w:rsid w:val="00B23CCB"/>
    <w:rsid w:val="00B241FE"/>
    <w:rsid w:val="00B26C4F"/>
    <w:rsid w:val="00B31AE4"/>
    <w:rsid w:val="00B33920"/>
    <w:rsid w:val="00B37459"/>
    <w:rsid w:val="00B44215"/>
    <w:rsid w:val="00B542C7"/>
    <w:rsid w:val="00B56EC9"/>
    <w:rsid w:val="00B620A6"/>
    <w:rsid w:val="00B645C7"/>
    <w:rsid w:val="00B6673E"/>
    <w:rsid w:val="00B66CBF"/>
    <w:rsid w:val="00B67EF2"/>
    <w:rsid w:val="00B70350"/>
    <w:rsid w:val="00B7217B"/>
    <w:rsid w:val="00B73049"/>
    <w:rsid w:val="00B77F9D"/>
    <w:rsid w:val="00B80766"/>
    <w:rsid w:val="00B80C28"/>
    <w:rsid w:val="00B81298"/>
    <w:rsid w:val="00B815FD"/>
    <w:rsid w:val="00B82C13"/>
    <w:rsid w:val="00B83CC7"/>
    <w:rsid w:val="00B84039"/>
    <w:rsid w:val="00B84C19"/>
    <w:rsid w:val="00B84D22"/>
    <w:rsid w:val="00B90939"/>
    <w:rsid w:val="00B90ACE"/>
    <w:rsid w:val="00B94BCF"/>
    <w:rsid w:val="00B95B4A"/>
    <w:rsid w:val="00B96168"/>
    <w:rsid w:val="00B967A2"/>
    <w:rsid w:val="00B96B3A"/>
    <w:rsid w:val="00BA2573"/>
    <w:rsid w:val="00BA66BC"/>
    <w:rsid w:val="00BA6E3F"/>
    <w:rsid w:val="00BB066F"/>
    <w:rsid w:val="00BB0711"/>
    <w:rsid w:val="00BB0E24"/>
    <w:rsid w:val="00BB1BB4"/>
    <w:rsid w:val="00BB1D05"/>
    <w:rsid w:val="00BB371B"/>
    <w:rsid w:val="00BC2ED3"/>
    <w:rsid w:val="00BC4243"/>
    <w:rsid w:val="00BC49DC"/>
    <w:rsid w:val="00BC5195"/>
    <w:rsid w:val="00BC72C4"/>
    <w:rsid w:val="00BD026E"/>
    <w:rsid w:val="00BD21D7"/>
    <w:rsid w:val="00BD6CBE"/>
    <w:rsid w:val="00BE103F"/>
    <w:rsid w:val="00BE28F6"/>
    <w:rsid w:val="00BE3E67"/>
    <w:rsid w:val="00BE4EB5"/>
    <w:rsid w:val="00BF1205"/>
    <w:rsid w:val="00BF126A"/>
    <w:rsid w:val="00BF31B7"/>
    <w:rsid w:val="00BF3588"/>
    <w:rsid w:val="00BF54E2"/>
    <w:rsid w:val="00BF6339"/>
    <w:rsid w:val="00C009EA"/>
    <w:rsid w:val="00C012E3"/>
    <w:rsid w:val="00C03C67"/>
    <w:rsid w:val="00C1414E"/>
    <w:rsid w:val="00C16A5F"/>
    <w:rsid w:val="00C16E6A"/>
    <w:rsid w:val="00C2324B"/>
    <w:rsid w:val="00C2359C"/>
    <w:rsid w:val="00C23F1E"/>
    <w:rsid w:val="00C27D22"/>
    <w:rsid w:val="00C3208E"/>
    <w:rsid w:val="00C34583"/>
    <w:rsid w:val="00C37177"/>
    <w:rsid w:val="00C421AB"/>
    <w:rsid w:val="00C4492D"/>
    <w:rsid w:val="00C50424"/>
    <w:rsid w:val="00C535A0"/>
    <w:rsid w:val="00C54076"/>
    <w:rsid w:val="00C55E9D"/>
    <w:rsid w:val="00C5696C"/>
    <w:rsid w:val="00C57B3E"/>
    <w:rsid w:val="00C60FE3"/>
    <w:rsid w:val="00C61165"/>
    <w:rsid w:val="00C62DA3"/>
    <w:rsid w:val="00C63E9A"/>
    <w:rsid w:val="00C730D1"/>
    <w:rsid w:val="00C74C3A"/>
    <w:rsid w:val="00C75D3E"/>
    <w:rsid w:val="00C76035"/>
    <w:rsid w:val="00C83613"/>
    <w:rsid w:val="00C874D6"/>
    <w:rsid w:val="00C87E2E"/>
    <w:rsid w:val="00C90299"/>
    <w:rsid w:val="00C91BBD"/>
    <w:rsid w:val="00C94BAF"/>
    <w:rsid w:val="00C95727"/>
    <w:rsid w:val="00C95991"/>
    <w:rsid w:val="00CA1133"/>
    <w:rsid w:val="00CA1E5B"/>
    <w:rsid w:val="00CA291F"/>
    <w:rsid w:val="00CA2EAC"/>
    <w:rsid w:val="00CA2FBB"/>
    <w:rsid w:val="00CA310E"/>
    <w:rsid w:val="00CA3EED"/>
    <w:rsid w:val="00CA4348"/>
    <w:rsid w:val="00CA6D1B"/>
    <w:rsid w:val="00CB016D"/>
    <w:rsid w:val="00CB03E7"/>
    <w:rsid w:val="00CB0BB0"/>
    <w:rsid w:val="00CB2E65"/>
    <w:rsid w:val="00CB3465"/>
    <w:rsid w:val="00CB360C"/>
    <w:rsid w:val="00CB75D2"/>
    <w:rsid w:val="00CC13DD"/>
    <w:rsid w:val="00CD0010"/>
    <w:rsid w:val="00CD3529"/>
    <w:rsid w:val="00CE42AD"/>
    <w:rsid w:val="00CE5885"/>
    <w:rsid w:val="00CF1229"/>
    <w:rsid w:val="00CF28D8"/>
    <w:rsid w:val="00CF5668"/>
    <w:rsid w:val="00CF6ACF"/>
    <w:rsid w:val="00CF73A7"/>
    <w:rsid w:val="00D01526"/>
    <w:rsid w:val="00D0167E"/>
    <w:rsid w:val="00D027AD"/>
    <w:rsid w:val="00D04655"/>
    <w:rsid w:val="00D05C84"/>
    <w:rsid w:val="00D06B14"/>
    <w:rsid w:val="00D146B7"/>
    <w:rsid w:val="00D14D60"/>
    <w:rsid w:val="00D15C14"/>
    <w:rsid w:val="00D177C5"/>
    <w:rsid w:val="00D216B8"/>
    <w:rsid w:val="00D2238B"/>
    <w:rsid w:val="00D2511B"/>
    <w:rsid w:val="00D26A30"/>
    <w:rsid w:val="00D27E1F"/>
    <w:rsid w:val="00D32169"/>
    <w:rsid w:val="00D33DFC"/>
    <w:rsid w:val="00D34B5B"/>
    <w:rsid w:val="00D35B3B"/>
    <w:rsid w:val="00D45E09"/>
    <w:rsid w:val="00D4610F"/>
    <w:rsid w:val="00D507A5"/>
    <w:rsid w:val="00D539D8"/>
    <w:rsid w:val="00D55904"/>
    <w:rsid w:val="00D57693"/>
    <w:rsid w:val="00D620FF"/>
    <w:rsid w:val="00D71328"/>
    <w:rsid w:val="00D71C9B"/>
    <w:rsid w:val="00D7371C"/>
    <w:rsid w:val="00D739DF"/>
    <w:rsid w:val="00D776F1"/>
    <w:rsid w:val="00D77FF5"/>
    <w:rsid w:val="00D80366"/>
    <w:rsid w:val="00D820D6"/>
    <w:rsid w:val="00D8255A"/>
    <w:rsid w:val="00D84ECA"/>
    <w:rsid w:val="00D93E22"/>
    <w:rsid w:val="00DA0AAD"/>
    <w:rsid w:val="00DA0B2F"/>
    <w:rsid w:val="00DA138A"/>
    <w:rsid w:val="00DA2C57"/>
    <w:rsid w:val="00DA41EA"/>
    <w:rsid w:val="00DA48EF"/>
    <w:rsid w:val="00DB13CE"/>
    <w:rsid w:val="00DB6A1C"/>
    <w:rsid w:val="00DC0BB8"/>
    <w:rsid w:val="00DC13D3"/>
    <w:rsid w:val="00DC1486"/>
    <w:rsid w:val="00DC538C"/>
    <w:rsid w:val="00DC5701"/>
    <w:rsid w:val="00DC67A7"/>
    <w:rsid w:val="00DD0EF1"/>
    <w:rsid w:val="00DD710B"/>
    <w:rsid w:val="00DE1DA8"/>
    <w:rsid w:val="00DE208E"/>
    <w:rsid w:val="00DE38A9"/>
    <w:rsid w:val="00DE5386"/>
    <w:rsid w:val="00DE5DDE"/>
    <w:rsid w:val="00DE6921"/>
    <w:rsid w:val="00DE799E"/>
    <w:rsid w:val="00DF00C0"/>
    <w:rsid w:val="00DF0811"/>
    <w:rsid w:val="00DF7871"/>
    <w:rsid w:val="00E01313"/>
    <w:rsid w:val="00E01479"/>
    <w:rsid w:val="00E0329E"/>
    <w:rsid w:val="00E06253"/>
    <w:rsid w:val="00E117FD"/>
    <w:rsid w:val="00E147A3"/>
    <w:rsid w:val="00E149E3"/>
    <w:rsid w:val="00E14B0C"/>
    <w:rsid w:val="00E15E56"/>
    <w:rsid w:val="00E201A0"/>
    <w:rsid w:val="00E23D18"/>
    <w:rsid w:val="00E27982"/>
    <w:rsid w:val="00E27B4C"/>
    <w:rsid w:val="00E32FDE"/>
    <w:rsid w:val="00E34918"/>
    <w:rsid w:val="00E35C39"/>
    <w:rsid w:val="00E40A90"/>
    <w:rsid w:val="00E412C1"/>
    <w:rsid w:val="00E447EA"/>
    <w:rsid w:val="00E45D44"/>
    <w:rsid w:val="00E47DE5"/>
    <w:rsid w:val="00E47FA3"/>
    <w:rsid w:val="00E51ED4"/>
    <w:rsid w:val="00E5427E"/>
    <w:rsid w:val="00E5519B"/>
    <w:rsid w:val="00E61BD5"/>
    <w:rsid w:val="00E65B7A"/>
    <w:rsid w:val="00E66E94"/>
    <w:rsid w:val="00E71579"/>
    <w:rsid w:val="00E72D24"/>
    <w:rsid w:val="00E73334"/>
    <w:rsid w:val="00E738F2"/>
    <w:rsid w:val="00E75093"/>
    <w:rsid w:val="00E75F64"/>
    <w:rsid w:val="00E8441D"/>
    <w:rsid w:val="00E85205"/>
    <w:rsid w:val="00E85A9A"/>
    <w:rsid w:val="00E8647F"/>
    <w:rsid w:val="00E86B69"/>
    <w:rsid w:val="00E87AA8"/>
    <w:rsid w:val="00E905DD"/>
    <w:rsid w:val="00E95609"/>
    <w:rsid w:val="00E97CF5"/>
    <w:rsid w:val="00EA1909"/>
    <w:rsid w:val="00EA1D35"/>
    <w:rsid w:val="00EA341B"/>
    <w:rsid w:val="00EA4C49"/>
    <w:rsid w:val="00EA600F"/>
    <w:rsid w:val="00EB087B"/>
    <w:rsid w:val="00EB5BDD"/>
    <w:rsid w:val="00EC256F"/>
    <w:rsid w:val="00EC3A08"/>
    <w:rsid w:val="00EC5B68"/>
    <w:rsid w:val="00EC7BA5"/>
    <w:rsid w:val="00ED1B2C"/>
    <w:rsid w:val="00ED43C6"/>
    <w:rsid w:val="00ED6794"/>
    <w:rsid w:val="00ED7C66"/>
    <w:rsid w:val="00EE09DD"/>
    <w:rsid w:val="00EE5703"/>
    <w:rsid w:val="00EE582D"/>
    <w:rsid w:val="00EF1168"/>
    <w:rsid w:val="00EF62D1"/>
    <w:rsid w:val="00EF7194"/>
    <w:rsid w:val="00F0634E"/>
    <w:rsid w:val="00F1043E"/>
    <w:rsid w:val="00F11557"/>
    <w:rsid w:val="00F12DA5"/>
    <w:rsid w:val="00F142A7"/>
    <w:rsid w:val="00F169AD"/>
    <w:rsid w:val="00F311D6"/>
    <w:rsid w:val="00F31FC4"/>
    <w:rsid w:val="00F3491B"/>
    <w:rsid w:val="00F34A24"/>
    <w:rsid w:val="00F415FB"/>
    <w:rsid w:val="00F41E96"/>
    <w:rsid w:val="00F43B59"/>
    <w:rsid w:val="00F44854"/>
    <w:rsid w:val="00F45E9D"/>
    <w:rsid w:val="00F46F53"/>
    <w:rsid w:val="00F47941"/>
    <w:rsid w:val="00F53DBE"/>
    <w:rsid w:val="00F56026"/>
    <w:rsid w:val="00F56555"/>
    <w:rsid w:val="00F56CAD"/>
    <w:rsid w:val="00F66AB8"/>
    <w:rsid w:val="00F66EB1"/>
    <w:rsid w:val="00F67078"/>
    <w:rsid w:val="00F81F3F"/>
    <w:rsid w:val="00F8290A"/>
    <w:rsid w:val="00F84688"/>
    <w:rsid w:val="00F8718F"/>
    <w:rsid w:val="00F87A37"/>
    <w:rsid w:val="00F9237E"/>
    <w:rsid w:val="00F92698"/>
    <w:rsid w:val="00F94101"/>
    <w:rsid w:val="00F95A38"/>
    <w:rsid w:val="00FA06D3"/>
    <w:rsid w:val="00FA2345"/>
    <w:rsid w:val="00FA2C30"/>
    <w:rsid w:val="00FA411C"/>
    <w:rsid w:val="00FB05B1"/>
    <w:rsid w:val="00FB07D9"/>
    <w:rsid w:val="00FB1757"/>
    <w:rsid w:val="00FB7D24"/>
    <w:rsid w:val="00FC1049"/>
    <w:rsid w:val="00FC35CF"/>
    <w:rsid w:val="00FC47F6"/>
    <w:rsid w:val="00FC5BA9"/>
    <w:rsid w:val="00FC5D9B"/>
    <w:rsid w:val="00FC6DE9"/>
    <w:rsid w:val="00FC7B82"/>
    <w:rsid w:val="00FD30AF"/>
    <w:rsid w:val="00FD63A3"/>
    <w:rsid w:val="00FD6486"/>
    <w:rsid w:val="00FD6CB4"/>
    <w:rsid w:val="00FE10A7"/>
    <w:rsid w:val="00FE42DC"/>
    <w:rsid w:val="00FF222C"/>
    <w:rsid w:val="00FF23D8"/>
    <w:rsid w:val="00FF2960"/>
    <w:rsid w:val="00FF2A88"/>
    <w:rsid w:val="00FF70EA"/>
    <w:rsid w:val="00FF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F5763"/>
  <w14:defaultImageDpi w14:val="32767"/>
  <w15:chartTrackingRefBased/>
  <w15:docId w15:val="{C88DF3F8-70B1-3A4F-ACE7-BCF7923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1E86"/>
    <w:rPr>
      <w:sz w:val="21"/>
    </w:rPr>
  </w:style>
  <w:style w:type="paragraph" w:styleId="Heading1">
    <w:name w:val="heading 1"/>
    <w:basedOn w:val="Normal"/>
    <w:next w:val="Normal"/>
    <w:link w:val="Heading1Char"/>
    <w:uiPriority w:val="9"/>
    <w:qFormat/>
    <w:rsid w:val="00C009EA"/>
    <w:pPr>
      <w:keepNext/>
      <w:keepLines/>
      <w:numPr>
        <w:numId w:val="14"/>
      </w:numPr>
      <w:spacing w:before="240"/>
      <w:outlineLvl w:val="0"/>
    </w:pPr>
    <w:rPr>
      <w:rFonts w:asciiTheme="majorHAnsi" w:eastAsiaTheme="majorEastAsia" w:hAnsiTheme="majorHAns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C009EA"/>
    <w:pPr>
      <w:keepNext/>
      <w:keepLines/>
      <w:numPr>
        <w:ilvl w:val="1"/>
        <w:numId w:val="14"/>
      </w:numPr>
      <w:spacing w:before="40"/>
      <w:ind w:left="576"/>
      <w:outlineLvl w:val="1"/>
    </w:pPr>
    <w:rPr>
      <w:rFonts w:asciiTheme="majorHAnsi" w:eastAsiaTheme="majorEastAsia" w:hAnsiTheme="majorHAnsi"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F1043E"/>
    <w:pPr>
      <w:keepNext/>
      <w:keepLines/>
      <w:numPr>
        <w:ilvl w:val="2"/>
        <w:numId w:val="14"/>
      </w:numPr>
      <w:spacing w:before="40"/>
      <w:ind w:left="216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1043E"/>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7323A"/>
    <w:pPr>
      <w:keepNext/>
      <w:keepLines/>
      <w:numPr>
        <w:ilvl w:val="4"/>
        <w:numId w:val="14"/>
      </w:numPr>
      <w:spacing w:before="40"/>
      <w:outlineLvl w:val="4"/>
    </w:pPr>
    <w:rPr>
      <w:rFonts w:asciiTheme="majorHAnsi" w:eastAsiaTheme="majorEastAsia" w:hAnsiTheme="majorHAnsi" w:cstheme="majorBidi"/>
      <w:color w:val="2F5496" w:themeColor="accent1" w:themeShade="BF"/>
      <w:lang w:eastAsia="en-GB"/>
    </w:rPr>
  </w:style>
  <w:style w:type="paragraph" w:styleId="Heading6">
    <w:name w:val="heading 6"/>
    <w:basedOn w:val="Normal"/>
    <w:next w:val="Normal"/>
    <w:link w:val="Heading6Char"/>
    <w:uiPriority w:val="9"/>
    <w:unhideWhenUsed/>
    <w:qFormat/>
    <w:rsid w:val="0057323A"/>
    <w:pPr>
      <w:keepNext/>
      <w:keepLines/>
      <w:numPr>
        <w:ilvl w:val="5"/>
        <w:numId w:val="14"/>
      </w:numPr>
      <w:spacing w:before="40"/>
      <w:outlineLvl w:val="5"/>
    </w:pPr>
    <w:rPr>
      <w:rFonts w:asciiTheme="majorHAnsi" w:eastAsiaTheme="majorEastAsia" w:hAnsiTheme="majorHAnsi" w:cstheme="majorBidi"/>
      <w:color w:val="1F3763" w:themeColor="accent1" w:themeShade="7F"/>
      <w:lang w:eastAsia="en-GB"/>
    </w:rPr>
  </w:style>
  <w:style w:type="paragraph" w:styleId="Heading7">
    <w:name w:val="heading 7"/>
    <w:basedOn w:val="Normal"/>
    <w:next w:val="Normal"/>
    <w:link w:val="Heading7Char"/>
    <w:uiPriority w:val="9"/>
    <w:semiHidden/>
    <w:unhideWhenUsed/>
    <w:qFormat/>
    <w:rsid w:val="0057323A"/>
    <w:pPr>
      <w:keepNext/>
      <w:keepLines/>
      <w:numPr>
        <w:ilvl w:val="6"/>
        <w:numId w:val="14"/>
      </w:numPr>
      <w:spacing w:before="40"/>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uiPriority w:val="9"/>
    <w:semiHidden/>
    <w:unhideWhenUsed/>
    <w:qFormat/>
    <w:rsid w:val="0057323A"/>
    <w:pPr>
      <w:keepNext/>
      <w:keepLines/>
      <w:numPr>
        <w:ilvl w:val="7"/>
        <w:numId w:val="14"/>
      </w:numPr>
      <w:spacing w:before="40"/>
      <w:outlineLvl w:val="7"/>
    </w:pPr>
    <w:rPr>
      <w:rFonts w:asciiTheme="majorHAnsi" w:eastAsiaTheme="majorEastAsia" w:hAnsiTheme="majorHAnsi" w:cstheme="majorBidi"/>
      <w:color w:val="272727" w:themeColor="text1" w:themeTint="D8"/>
      <w:lang w:eastAsia="en-GB"/>
    </w:rPr>
  </w:style>
  <w:style w:type="paragraph" w:styleId="Heading9">
    <w:name w:val="heading 9"/>
    <w:basedOn w:val="Normal"/>
    <w:next w:val="Normal"/>
    <w:link w:val="Heading9Char"/>
    <w:uiPriority w:val="9"/>
    <w:semiHidden/>
    <w:unhideWhenUsed/>
    <w:qFormat/>
    <w:rsid w:val="0057323A"/>
    <w:pPr>
      <w:keepNext/>
      <w:keepLines/>
      <w:numPr>
        <w:ilvl w:val="8"/>
        <w:numId w:val="14"/>
      </w:numPr>
      <w:spacing w:before="40"/>
      <w:outlineLvl w:val="8"/>
    </w:pPr>
    <w:rPr>
      <w:rFonts w:asciiTheme="majorHAnsi" w:eastAsiaTheme="majorEastAsia" w:hAnsiTheme="majorHAnsi" w:cstheme="majorBidi"/>
      <w:i/>
      <w:iCs/>
      <w:color w:val="272727" w:themeColor="text1" w:themeTint="D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EA"/>
    <w:rPr>
      <w:rFonts w:asciiTheme="majorHAnsi" w:eastAsiaTheme="majorEastAsia" w:hAnsiTheme="majorHAnsi" w:cstheme="majorBidi"/>
      <w:color w:val="2F5496" w:themeColor="accent1" w:themeShade="BF"/>
      <w:sz w:val="28"/>
      <w:szCs w:val="32"/>
    </w:rPr>
  </w:style>
  <w:style w:type="character" w:customStyle="1" w:styleId="Heading2Char">
    <w:name w:val="Heading 2 Char"/>
    <w:basedOn w:val="DefaultParagraphFont"/>
    <w:link w:val="Heading2"/>
    <w:uiPriority w:val="9"/>
    <w:rsid w:val="00C009EA"/>
    <w:rPr>
      <w:rFonts w:asciiTheme="majorHAnsi" w:eastAsiaTheme="majorEastAsia" w:hAnsiTheme="majorHAnsi" w:cstheme="majorBidi"/>
      <w:color w:val="2F5496" w:themeColor="accent1" w:themeShade="BF"/>
      <w:szCs w:val="26"/>
    </w:rPr>
  </w:style>
  <w:style w:type="character" w:customStyle="1" w:styleId="Heading3Char">
    <w:name w:val="Heading 3 Char"/>
    <w:basedOn w:val="DefaultParagraphFont"/>
    <w:link w:val="Heading3"/>
    <w:uiPriority w:val="9"/>
    <w:rsid w:val="00F1043E"/>
    <w:rPr>
      <w:rFonts w:asciiTheme="majorHAnsi" w:eastAsiaTheme="majorEastAsia" w:hAnsiTheme="majorHAnsi" w:cstheme="majorBidi"/>
      <w:color w:val="1F3763" w:themeColor="accent1" w:themeShade="7F"/>
      <w:sz w:val="22"/>
    </w:rPr>
  </w:style>
  <w:style w:type="character" w:customStyle="1" w:styleId="Heading4Char">
    <w:name w:val="Heading 4 Char"/>
    <w:basedOn w:val="DefaultParagraphFont"/>
    <w:link w:val="Heading4"/>
    <w:uiPriority w:val="9"/>
    <w:rsid w:val="00F1043E"/>
    <w:rPr>
      <w:rFonts w:asciiTheme="majorHAnsi" w:eastAsiaTheme="majorEastAsia" w:hAnsiTheme="majorHAnsi" w:cstheme="majorBidi"/>
      <w:i/>
      <w:iCs/>
      <w:color w:val="2F5496" w:themeColor="accent1" w:themeShade="BF"/>
      <w:sz w:val="22"/>
    </w:rPr>
  </w:style>
  <w:style w:type="paragraph" w:styleId="Index1">
    <w:name w:val="index 1"/>
    <w:basedOn w:val="Normal"/>
    <w:next w:val="Normal"/>
    <w:autoRedefine/>
    <w:uiPriority w:val="99"/>
    <w:unhideWhenUsed/>
    <w:rsid w:val="00F9237E"/>
    <w:pPr>
      <w:ind w:left="240" w:hanging="240"/>
    </w:pPr>
    <w:rPr>
      <w:rFonts w:cstheme="minorHAnsi"/>
      <w:sz w:val="18"/>
      <w:szCs w:val="18"/>
    </w:rPr>
  </w:style>
  <w:style w:type="paragraph" w:styleId="Index2">
    <w:name w:val="index 2"/>
    <w:basedOn w:val="Normal"/>
    <w:next w:val="Normal"/>
    <w:autoRedefine/>
    <w:uiPriority w:val="99"/>
    <w:unhideWhenUsed/>
    <w:rsid w:val="00F9237E"/>
    <w:pPr>
      <w:ind w:left="480" w:hanging="240"/>
    </w:pPr>
    <w:rPr>
      <w:rFonts w:cstheme="minorHAnsi"/>
      <w:sz w:val="18"/>
      <w:szCs w:val="18"/>
    </w:rPr>
  </w:style>
  <w:style w:type="paragraph" w:styleId="Index3">
    <w:name w:val="index 3"/>
    <w:basedOn w:val="Normal"/>
    <w:next w:val="Normal"/>
    <w:autoRedefine/>
    <w:uiPriority w:val="99"/>
    <w:unhideWhenUsed/>
    <w:rsid w:val="00F9237E"/>
    <w:pPr>
      <w:ind w:left="720" w:hanging="240"/>
    </w:pPr>
    <w:rPr>
      <w:rFonts w:cstheme="minorHAnsi"/>
      <w:sz w:val="18"/>
      <w:szCs w:val="18"/>
    </w:rPr>
  </w:style>
  <w:style w:type="paragraph" w:styleId="Index4">
    <w:name w:val="index 4"/>
    <w:basedOn w:val="Normal"/>
    <w:next w:val="Normal"/>
    <w:autoRedefine/>
    <w:uiPriority w:val="99"/>
    <w:unhideWhenUsed/>
    <w:rsid w:val="00F9237E"/>
    <w:pPr>
      <w:ind w:left="960" w:hanging="240"/>
    </w:pPr>
    <w:rPr>
      <w:rFonts w:cstheme="minorHAnsi"/>
      <w:sz w:val="18"/>
      <w:szCs w:val="18"/>
    </w:rPr>
  </w:style>
  <w:style w:type="paragraph" w:styleId="Index5">
    <w:name w:val="index 5"/>
    <w:basedOn w:val="Normal"/>
    <w:next w:val="Normal"/>
    <w:autoRedefine/>
    <w:uiPriority w:val="99"/>
    <w:unhideWhenUsed/>
    <w:rsid w:val="00F9237E"/>
    <w:pPr>
      <w:ind w:left="1200" w:hanging="240"/>
    </w:pPr>
    <w:rPr>
      <w:rFonts w:cstheme="minorHAnsi"/>
      <w:sz w:val="18"/>
      <w:szCs w:val="18"/>
    </w:rPr>
  </w:style>
  <w:style w:type="paragraph" w:styleId="Index6">
    <w:name w:val="index 6"/>
    <w:basedOn w:val="Normal"/>
    <w:next w:val="Normal"/>
    <w:autoRedefine/>
    <w:uiPriority w:val="99"/>
    <w:unhideWhenUsed/>
    <w:rsid w:val="00F9237E"/>
    <w:pPr>
      <w:ind w:left="1440" w:hanging="240"/>
    </w:pPr>
    <w:rPr>
      <w:rFonts w:cstheme="minorHAnsi"/>
      <w:sz w:val="18"/>
      <w:szCs w:val="18"/>
    </w:rPr>
  </w:style>
  <w:style w:type="paragraph" w:styleId="Index7">
    <w:name w:val="index 7"/>
    <w:basedOn w:val="Normal"/>
    <w:next w:val="Normal"/>
    <w:autoRedefine/>
    <w:uiPriority w:val="99"/>
    <w:unhideWhenUsed/>
    <w:rsid w:val="00F9237E"/>
    <w:pPr>
      <w:ind w:left="1680" w:hanging="240"/>
    </w:pPr>
    <w:rPr>
      <w:rFonts w:cstheme="minorHAnsi"/>
      <w:sz w:val="18"/>
      <w:szCs w:val="18"/>
    </w:rPr>
  </w:style>
  <w:style w:type="paragraph" w:styleId="Index8">
    <w:name w:val="index 8"/>
    <w:basedOn w:val="Normal"/>
    <w:next w:val="Normal"/>
    <w:autoRedefine/>
    <w:uiPriority w:val="99"/>
    <w:unhideWhenUsed/>
    <w:rsid w:val="00F9237E"/>
    <w:pPr>
      <w:ind w:left="1920" w:hanging="240"/>
    </w:pPr>
    <w:rPr>
      <w:rFonts w:cstheme="minorHAnsi"/>
      <w:sz w:val="18"/>
      <w:szCs w:val="18"/>
    </w:rPr>
  </w:style>
  <w:style w:type="paragraph" w:styleId="Index9">
    <w:name w:val="index 9"/>
    <w:basedOn w:val="Normal"/>
    <w:next w:val="Normal"/>
    <w:autoRedefine/>
    <w:uiPriority w:val="99"/>
    <w:unhideWhenUsed/>
    <w:rsid w:val="00F9237E"/>
    <w:pPr>
      <w:ind w:left="2160" w:hanging="240"/>
    </w:pPr>
    <w:rPr>
      <w:rFonts w:cstheme="minorHAnsi"/>
      <w:sz w:val="18"/>
      <w:szCs w:val="18"/>
    </w:rPr>
  </w:style>
  <w:style w:type="paragraph" w:styleId="IndexHeading">
    <w:name w:val="index heading"/>
    <w:basedOn w:val="Normal"/>
    <w:next w:val="Index1"/>
    <w:uiPriority w:val="99"/>
    <w:unhideWhenUsed/>
    <w:rsid w:val="00F9237E"/>
    <w:pPr>
      <w:spacing w:before="240" w:after="120"/>
      <w:jc w:val="center"/>
    </w:pPr>
    <w:rPr>
      <w:rFonts w:cstheme="minorHAnsi"/>
      <w:b/>
      <w:bCs/>
      <w:sz w:val="26"/>
      <w:szCs w:val="26"/>
    </w:rPr>
  </w:style>
  <w:style w:type="paragraph" w:styleId="Footer">
    <w:name w:val="footer"/>
    <w:basedOn w:val="Normal"/>
    <w:link w:val="FooterChar"/>
    <w:uiPriority w:val="99"/>
    <w:unhideWhenUsed/>
    <w:rsid w:val="00F9237E"/>
    <w:pPr>
      <w:tabs>
        <w:tab w:val="center" w:pos="4680"/>
        <w:tab w:val="right" w:pos="9360"/>
      </w:tabs>
    </w:pPr>
  </w:style>
  <w:style w:type="character" w:customStyle="1" w:styleId="FooterChar">
    <w:name w:val="Footer Char"/>
    <w:basedOn w:val="DefaultParagraphFont"/>
    <w:link w:val="Footer"/>
    <w:uiPriority w:val="99"/>
    <w:rsid w:val="00F9237E"/>
  </w:style>
  <w:style w:type="character" w:styleId="PageNumber">
    <w:name w:val="page number"/>
    <w:basedOn w:val="DefaultParagraphFont"/>
    <w:uiPriority w:val="99"/>
    <w:semiHidden/>
    <w:unhideWhenUsed/>
    <w:rsid w:val="00F9237E"/>
  </w:style>
  <w:style w:type="paragraph" w:styleId="TOC1">
    <w:name w:val="toc 1"/>
    <w:basedOn w:val="Normal"/>
    <w:next w:val="Normal"/>
    <w:autoRedefine/>
    <w:uiPriority w:val="39"/>
    <w:unhideWhenUsed/>
    <w:rsid w:val="00282C4D"/>
    <w:pPr>
      <w:spacing w:after="100"/>
    </w:pPr>
    <w:rPr>
      <w:sz w:val="20"/>
    </w:rPr>
  </w:style>
  <w:style w:type="character" w:styleId="Hyperlink">
    <w:name w:val="Hyperlink"/>
    <w:basedOn w:val="DefaultParagraphFont"/>
    <w:uiPriority w:val="99"/>
    <w:unhideWhenUsed/>
    <w:qFormat/>
    <w:rsid w:val="00F9237E"/>
    <w:rPr>
      <w:color w:val="0563C1" w:themeColor="hyperlink"/>
      <w:u w:val="single"/>
    </w:rPr>
  </w:style>
  <w:style w:type="table" w:styleId="TableGrid">
    <w:name w:val="Table Grid"/>
    <w:basedOn w:val="TableNormal"/>
    <w:uiPriority w:val="39"/>
    <w:rsid w:val="00F9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qFormat/>
    <w:rsid w:val="00F9237E"/>
    <w:rPr>
      <w:sz w:val="20"/>
      <w:szCs w:val="20"/>
    </w:rPr>
  </w:style>
  <w:style w:type="character" w:customStyle="1" w:styleId="FootnoteTextChar">
    <w:name w:val="Footnote Text Char"/>
    <w:basedOn w:val="DefaultParagraphFont"/>
    <w:link w:val="FootnoteText"/>
    <w:uiPriority w:val="99"/>
    <w:semiHidden/>
    <w:rsid w:val="00F9237E"/>
    <w:rPr>
      <w:sz w:val="20"/>
      <w:szCs w:val="20"/>
    </w:rPr>
  </w:style>
  <w:style w:type="character" w:styleId="FootnoteReference">
    <w:name w:val="footnote reference"/>
    <w:basedOn w:val="DefaultParagraphFont"/>
    <w:uiPriority w:val="99"/>
    <w:semiHidden/>
    <w:unhideWhenUsed/>
    <w:qFormat/>
    <w:rsid w:val="00F9237E"/>
    <w:rPr>
      <w:vertAlign w:val="superscript"/>
    </w:rPr>
  </w:style>
  <w:style w:type="paragraph" w:styleId="NormalWeb">
    <w:name w:val="Normal (Web)"/>
    <w:basedOn w:val="Normal"/>
    <w:uiPriority w:val="99"/>
    <w:unhideWhenUsed/>
    <w:qFormat/>
    <w:rsid w:val="001F6F97"/>
    <w:pPr>
      <w:spacing w:before="100" w:beforeAutospacing="1" w:after="100" w:afterAutospacing="1"/>
    </w:pPr>
    <w:rPr>
      <w:rFonts w:ascii="Times New Roman" w:eastAsia="Times New Roman" w:hAnsi="Times New Roman" w:cs="Times New Roman"/>
    </w:rPr>
  </w:style>
  <w:style w:type="paragraph" w:styleId="TOC2">
    <w:name w:val="toc 2"/>
    <w:basedOn w:val="Normal"/>
    <w:next w:val="Normal"/>
    <w:autoRedefine/>
    <w:uiPriority w:val="39"/>
    <w:unhideWhenUsed/>
    <w:rsid w:val="001F6F97"/>
    <w:pPr>
      <w:spacing w:after="100"/>
      <w:ind w:left="240"/>
    </w:pPr>
  </w:style>
  <w:style w:type="paragraph" w:styleId="NoSpacing">
    <w:name w:val="No Spacing"/>
    <w:uiPriority w:val="1"/>
    <w:qFormat/>
    <w:rsid w:val="002C6790"/>
  </w:style>
  <w:style w:type="paragraph" w:styleId="ListParagraph">
    <w:name w:val="List Paragraph"/>
    <w:basedOn w:val="Normal"/>
    <w:uiPriority w:val="34"/>
    <w:qFormat/>
    <w:rsid w:val="002C6790"/>
    <w:pPr>
      <w:ind w:left="720"/>
      <w:contextualSpacing/>
    </w:pPr>
  </w:style>
  <w:style w:type="paragraph" w:styleId="TOC3">
    <w:name w:val="toc 3"/>
    <w:basedOn w:val="Normal"/>
    <w:next w:val="Normal"/>
    <w:autoRedefine/>
    <w:uiPriority w:val="39"/>
    <w:unhideWhenUsed/>
    <w:rsid w:val="002C6790"/>
    <w:pPr>
      <w:spacing w:after="100"/>
      <w:ind w:left="480"/>
    </w:pPr>
  </w:style>
  <w:style w:type="character" w:styleId="UnresolvedMention">
    <w:name w:val="Unresolved Mention"/>
    <w:basedOn w:val="DefaultParagraphFont"/>
    <w:uiPriority w:val="99"/>
    <w:rsid w:val="00097BFE"/>
    <w:rPr>
      <w:color w:val="605E5C"/>
      <w:shd w:val="clear" w:color="auto" w:fill="E1DFDD"/>
    </w:rPr>
  </w:style>
  <w:style w:type="paragraph" w:styleId="Caption">
    <w:name w:val="caption"/>
    <w:basedOn w:val="Normal"/>
    <w:next w:val="Normal"/>
    <w:uiPriority w:val="35"/>
    <w:unhideWhenUsed/>
    <w:qFormat/>
    <w:rsid w:val="00097BFE"/>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DC13D3"/>
    <w:rPr>
      <w:sz w:val="16"/>
      <w:szCs w:val="16"/>
    </w:rPr>
  </w:style>
  <w:style w:type="paragraph" w:styleId="CommentText">
    <w:name w:val="annotation text"/>
    <w:basedOn w:val="Normal"/>
    <w:link w:val="CommentTextChar"/>
    <w:uiPriority w:val="99"/>
    <w:unhideWhenUsed/>
    <w:rsid w:val="00DC13D3"/>
    <w:rPr>
      <w:sz w:val="20"/>
      <w:szCs w:val="20"/>
    </w:rPr>
  </w:style>
  <w:style w:type="character" w:customStyle="1" w:styleId="CommentTextChar">
    <w:name w:val="Comment Text Char"/>
    <w:basedOn w:val="DefaultParagraphFont"/>
    <w:link w:val="CommentText"/>
    <w:uiPriority w:val="99"/>
    <w:rsid w:val="00DC13D3"/>
    <w:rPr>
      <w:sz w:val="20"/>
      <w:szCs w:val="20"/>
    </w:rPr>
  </w:style>
  <w:style w:type="paragraph" w:styleId="CommentSubject">
    <w:name w:val="annotation subject"/>
    <w:basedOn w:val="CommentText"/>
    <w:next w:val="CommentText"/>
    <w:link w:val="CommentSubjectChar"/>
    <w:uiPriority w:val="99"/>
    <w:semiHidden/>
    <w:unhideWhenUsed/>
    <w:rsid w:val="00DC13D3"/>
    <w:rPr>
      <w:b/>
      <w:bCs/>
    </w:rPr>
  </w:style>
  <w:style w:type="character" w:customStyle="1" w:styleId="CommentSubjectChar">
    <w:name w:val="Comment Subject Char"/>
    <w:basedOn w:val="CommentTextChar"/>
    <w:link w:val="CommentSubject"/>
    <w:uiPriority w:val="99"/>
    <w:semiHidden/>
    <w:rsid w:val="00DC13D3"/>
    <w:rPr>
      <w:b/>
      <w:bCs/>
      <w:sz w:val="20"/>
      <w:szCs w:val="20"/>
    </w:rPr>
  </w:style>
  <w:style w:type="paragraph" w:styleId="BalloonText">
    <w:name w:val="Balloon Text"/>
    <w:basedOn w:val="Normal"/>
    <w:link w:val="BalloonTextChar"/>
    <w:uiPriority w:val="99"/>
    <w:semiHidden/>
    <w:unhideWhenUsed/>
    <w:rsid w:val="00DC13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3D3"/>
    <w:rPr>
      <w:rFonts w:ascii="Times New Roman" w:hAnsi="Times New Roman" w:cs="Times New Roman"/>
      <w:sz w:val="18"/>
      <w:szCs w:val="18"/>
    </w:rPr>
  </w:style>
  <w:style w:type="table" w:styleId="GridTable4-Accent1">
    <w:name w:val="Grid Table 4 Accent 1"/>
    <w:basedOn w:val="TableNormal"/>
    <w:uiPriority w:val="49"/>
    <w:rsid w:val="007A3E6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C34583"/>
    <w:pPr>
      <w:tabs>
        <w:tab w:val="center" w:pos="4680"/>
        <w:tab w:val="right" w:pos="9360"/>
      </w:tabs>
    </w:pPr>
  </w:style>
  <w:style w:type="character" w:customStyle="1" w:styleId="HeaderChar">
    <w:name w:val="Header Char"/>
    <w:basedOn w:val="DefaultParagraphFont"/>
    <w:link w:val="Header"/>
    <w:uiPriority w:val="99"/>
    <w:rsid w:val="00C34583"/>
  </w:style>
  <w:style w:type="character" w:styleId="FollowedHyperlink">
    <w:name w:val="FollowedHyperlink"/>
    <w:basedOn w:val="DefaultParagraphFont"/>
    <w:uiPriority w:val="99"/>
    <w:semiHidden/>
    <w:unhideWhenUsed/>
    <w:rsid w:val="00D26A30"/>
    <w:rPr>
      <w:color w:val="954F72" w:themeColor="followedHyperlink"/>
      <w:u w:val="single"/>
    </w:rPr>
  </w:style>
  <w:style w:type="paragraph" w:customStyle="1" w:styleId="msonormal0">
    <w:name w:val="msonormal"/>
    <w:basedOn w:val="Normal"/>
    <w:rsid w:val="00855F6B"/>
    <w:pPr>
      <w:spacing w:before="100" w:beforeAutospacing="1" w:after="100" w:afterAutospacing="1"/>
    </w:pPr>
    <w:rPr>
      <w:rFonts w:ascii="Times New Roman" w:eastAsia="Times New Roman" w:hAnsi="Times New Roman" w:cs="Times New Roman"/>
      <w:sz w:val="24"/>
      <w:lang w:eastAsia="en-GB"/>
    </w:rPr>
  </w:style>
  <w:style w:type="paragraph" w:customStyle="1" w:styleId="font5">
    <w:name w:val="font5"/>
    <w:basedOn w:val="Normal"/>
    <w:rsid w:val="00855F6B"/>
    <w:pPr>
      <w:spacing w:before="100" w:beforeAutospacing="1" w:after="100" w:afterAutospacing="1"/>
    </w:pPr>
    <w:rPr>
      <w:rFonts w:ascii="Calibri (Body)" w:eastAsia="Times New Roman" w:hAnsi="Calibri (Body)" w:cs="Times New Roman"/>
      <w:i/>
      <w:iCs/>
      <w:color w:val="000000"/>
      <w:sz w:val="18"/>
      <w:szCs w:val="18"/>
      <w:lang w:eastAsia="en-GB"/>
    </w:rPr>
  </w:style>
  <w:style w:type="paragraph" w:customStyle="1" w:styleId="font6">
    <w:name w:val="font6"/>
    <w:basedOn w:val="Normal"/>
    <w:rsid w:val="00855F6B"/>
    <w:pPr>
      <w:spacing w:before="100" w:beforeAutospacing="1" w:after="100" w:afterAutospacing="1"/>
    </w:pPr>
    <w:rPr>
      <w:rFonts w:ascii="Calibri" w:eastAsia="Times New Roman" w:hAnsi="Calibri" w:cs="Times New Roman"/>
      <w:b/>
      <w:bCs/>
      <w:color w:val="000000"/>
      <w:sz w:val="18"/>
      <w:szCs w:val="18"/>
      <w:lang w:eastAsia="en-GB"/>
    </w:rPr>
  </w:style>
  <w:style w:type="paragraph" w:customStyle="1" w:styleId="font7">
    <w:name w:val="font7"/>
    <w:basedOn w:val="Normal"/>
    <w:rsid w:val="00855F6B"/>
    <w:pPr>
      <w:spacing w:before="100" w:beforeAutospacing="1" w:after="100" w:afterAutospacing="1"/>
    </w:pPr>
    <w:rPr>
      <w:rFonts w:ascii="Calibri" w:eastAsia="Times New Roman" w:hAnsi="Calibri" w:cs="Times New Roman"/>
      <w:color w:val="000000"/>
      <w:sz w:val="18"/>
      <w:szCs w:val="18"/>
      <w:lang w:eastAsia="en-GB"/>
    </w:rPr>
  </w:style>
  <w:style w:type="paragraph" w:customStyle="1" w:styleId="font8">
    <w:name w:val="font8"/>
    <w:basedOn w:val="Normal"/>
    <w:rsid w:val="00855F6B"/>
    <w:pPr>
      <w:spacing w:before="100" w:beforeAutospacing="1" w:after="100" w:afterAutospacing="1"/>
    </w:pPr>
    <w:rPr>
      <w:rFonts w:ascii="Calibri" w:eastAsia="Times New Roman" w:hAnsi="Calibri" w:cs="Times New Roman"/>
      <w:i/>
      <w:iCs/>
      <w:color w:val="000000"/>
      <w:sz w:val="18"/>
      <w:szCs w:val="18"/>
      <w:lang w:eastAsia="en-GB"/>
    </w:rPr>
  </w:style>
  <w:style w:type="paragraph" w:customStyle="1" w:styleId="font9">
    <w:name w:val="font9"/>
    <w:basedOn w:val="Normal"/>
    <w:rsid w:val="00855F6B"/>
    <w:pPr>
      <w:spacing w:before="100" w:beforeAutospacing="1" w:after="100" w:afterAutospacing="1"/>
    </w:pPr>
    <w:rPr>
      <w:rFonts w:ascii="Calibri" w:eastAsia="Times New Roman" w:hAnsi="Calibri" w:cs="Times New Roman"/>
      <w:color w:val="FF0000"/>
      <w:sz w:val="18"/>
      <w:szCs w:val="18"/>
      <w:lang w:eastAsia="en-GB"/>
    </w:rPr>
  </w:style>
  <w:style w:type="paragraph" w:customStyle="1" w:styleId="font10">
    <w:name w:val="font10"/>
    <w:basedOn w:val="Normal"/>
    <w:rsid w:val="00855F6B"/>
    <w:pPr>
      <w:spacing w:before="100" w:beforeAutospacing="1" w:after="100" w:afterAutospacing="1"/>
    </w:pPr>
    <w:rPr>
      <w:rFonts w:ascii="Calibri (Body)" w:eastAsia="Times New Roman" w:hAnsi="Calibri (Body)" w:cs="Times New Roman"/>
      <w:color w:val="FF0000"/>
      <w:sz w:val="18"/>
      <w:szCs w:val="18"/>
      <w:lang w:eastAsia="en-GB"/>
    </w:rPr>
  </w:style>
  <w:style w:type="paragraph" w:customStyle="1" w:styleId="font11">
    <w:name w:val="font11"/>
    <w:basedOn w:val="Normal"/>
    <w:rsid w:val="00855F6B"/>
    <w:pPr>
      <w:spacing w:before="100" w:beforeAutospacing="1" w:after="100" w:afterAutospacing="1"/>
    </w:pPr>
    <w:rPr>
      <w:rFonts w:ascii="Calibri" w:eastAsia="Times New Roman" w:hAnsi="Calibri" w:cs="Times New Roman"/>
      <w:b/>
      <w:bCs/>
      <w:color w:val="000000"/>
      <w:sz w:val="18"/>
      <w:szCs w:val="18"/>
      <w:lang w:eastAsia="en-GB"/>
    </w:rPr>
  </w:style>
  <w:style w:type="paragraph" w:customStyle="1" w:styleId="font12">
    <w:name w:val="font12"/>
    <w:basedOn w:val="Normal"/>
    <w:rsid w:val="00855F6B"/>
    <w:pPr>
      <w:spacing w:before="100" w:beforeAutospacing="1" w:after="100" w:afterAutospacing="1"/>
    </w:pPr>
    <w:rPr>
      <w:rFonts w:ascii="Arial" w:eastAsia="Times New Roman" w:hAnsi="Arial" w:cs="Arial"/>
      <w:b/>
      <w:bCs/>
      <w:color w:val="000000"/>
      <w:sz w:val="18"/>
      <w:szCs w:val="18"/>
      <w:lang w:eastAsia="en-GB"/>
    </w:rPr>
  </w:style>
  <w:style w:type="paragraph" w:customStyle="1" w:styleId="font13">
    <w:name w:val="font13"/>
    <w:basedOn w:val="Normal"/>
    <w:rsid w:val="00855F6B"/>
    <w:pPr>
      <w:spacing w:before="100" w:beforeAutospacing="1" w:after="100" w:afterAutospacing="1"/>
    </w:pPr>
    <w:rPr>
      <w:rFonts w:ascii="Calibri" w:eastAsia="Times New Roman" w:hAnsi="Calibri" w:cs="Times New Roman"/>
      <w:color w:val="000000"/>
      <w:sz w:val="18"/>
      <w:szCs w:val="18"/>
      <w:lang w:eastAsia="en-GB"/>
    </w:rPr>
  </w:style>
  <w:style w:type="paragraph" w:customStyle="1" w:styleId="font14">
    <w:name w:val="font14"/>
    <w:basedOn w:val="Normal"/>
    <w:rsid w:val="00855F6B"/>
    <w:pPr>
      <w:spacing w:before="100" w:beforeAutospacing="1" w:after="100" w:afterAutospacing="1"/>
    </w:pPr>
    <w:rPr>
      <w:rFonts w:ascii="Calibri" w:eastAsia="Times New Roman" w:hAnsi="Calibri" w:cs="Times New Roman"/>
      <w:i/>
      <w:iCs/>
      <w:color w:val="000000"/>
      <w:sz w:val="18"/>
      <w:szCs w:val="18"/>
      <w:lang w:eastAsia="en-GB"/>
    </w:rPr>
  </w:style>
  <w:style w:type="paragraph" w:customStyle="1" w:styleId="font15">
    <w:name w:val="font15"/>
    <w:basedOn w:val="Normal"/>
    <w:rsid w:val="00855F6B"/>
    <w:pPr>
      <w:spacing w:before="100" w:beforeAutospacing="1" w:after="100" w:afterAutospacing="1"/>
    </w:pPr>
    <w:rPr>
      <w:rFonts w:ascii="Arial" w:eastAsia="Times New Roman" w:hAnsi="Arial" w:cs="Arial"/>
      <w:color w:val="000000"/>
      <w:sz w:val="18"/>
      <w:szCs w:val="18"/>
      <w:lang w:eastAsia="en-GB"/>
    </w:rPr>
  </w:style>
  <w:style w:type="paragraph" w:customStyle="1" w:styleId="font16">
    <w:name w:val="font16"/>
    <w:basedOn w:val="Normal"/>
    <w:rsid w:val="00855F6B"/>
    <w:pPr>
      <w:spacing w:before="100" w:beforeAutospacing="1" w:after="100" w:afterAutospacing="1"/>
    </w:pPr>
    <w:rPr>
      <w:rFonts w:ascii="Times New Roman" w:eastAsia="Times New Roman" w:hAnsi="Times New Roman" w:cs="Times New Roman"/>
      <w:color w:val="FF0000"/>
      <w:sz w:val="18"/>
      <w:szCs w:val="18"/>
      <w:lang w:eastAsia="en-GB"/>
    </w:rPr>
  </w:style>
  <w:style w:type="paragraph" w:customStyle="1" w:styleId="font17">
    <w:name w:val="font17"/>
    <w:basedOn w:val="Normal"/>
    <w:rsid w:val="00855F6B"/>
    <w:pPr>
      <w:spacing w:before="100" w:beforeAutospacing="1" w:after="100" w:afterAutospacing="1"/>
    </w:pPr>
    <w:rPr>
      <w:rFonts w:ascii="Calibri" w:eastAsia="Times New Roman" w:hAnsi="Calibri" w:cs="Times New Roman"/>
      <w:color w:val="FF0000"/>
      <w:sz w:val="18"/>
      <w:szCs w:val="18"/>
      <w:lang w:eastAsia="en-GB"/>
    </w:rPr>
  </w:style>
  <w:style w:type="paragraph" w:customStyle="1" w:styleId="font18">
    <w:name w:val="font18"/>
    <w:basedOn w:val="Normal"/>
    <w:rsid w:val="00855F6B"/>
    <w:pPr>
      <w:spacing w:before="100" w:beforeAutospacing="1" w:after="100" w:afterAutospacing="1"/>
    </w:pPr>
    <w:rPr>
      <w:rFonts w:ascii="Calibri" w:eastAsia="Times New Roman" w:hAnsi="Calibri" w:cs="Times New Roman"/>
      <w:b/>
      <w:bCs/>
      <w:color w:val="000000"/>
      <w:sz w:val="18"/>
      <w:szCs w:val="18"/>
      <w:u w:val="single"/>
      <w:lang w:eastAsia="en-GB"/>
    </w:rPr>
  </w:style>
  <w:style w:type="paragraph" w:customStyle="1" w:styleId="font19">
    <w:name w:val="font19"/>
    <w:basedOn w:val="Normal"/>
    <w:rsid w:val="00855F6B"/>
    <w:pPr>
      <w:spacing w:before="100" w:beforeAutospacing="1" w:after="100" w:afterAutospacing="1"/>
    </w:pPr>
    <w:rPr>
      <w:rFonts w:ascii="Calibri (Body)" w:eastAsia="Times New Roman" w:hAnsi="Calibri (Body)" w:cs="Times New Roman"/>
      <w:i/>
      <w:iCs/>
      <w:color w:val="FF0000"/>
      <w:sz w:val="18"/>
      <w:szCs w:val="18"/>
      <w:lang w:eastAsia="en-GB"/>
    </w:rPr>
  </w:style>
  <w:style w:type="paragraph" w:customStyle="1" w:styleId="xl65">
    <w:name w:val="xl65"/>
    <w:basedOn w:val="Normal"/>
    <w:rsid w:val="00855F6B"/>
    <w:pPr>
      <w:spacing w:before="100" w:beforeAutospacing="1" w:after="100" w:afterAutospacing="1"/>
    </w:pPr>
    <w:rPr>
      <w:rFonts w:ascii="Times New Roman" w:eastAsia="Times New Roman" w:hAnsi="Times New Roman" w:cs="Times New Roman"/>
      <w:sz w:val="18"/>
      <w:szCs w:val="18"/>
      <w:lang w:eastAsia="en-GB"/>
    </w:rPr>
  </w:style>
  <w:style w:type="paragraph" w:customStyle="1" w:styleId="xl66">
    <w:name w:val="xl66"/>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8"/>
      <w:szCs w:val="18"/>
      <w:lang w:eastAsia="en-GB"/>
    </w:rPr>
  </w:style>
  <w:style w:type="paragraph" w:customStyle="1" w:styleId="xl67">
    <w:name w:val="xl67"/>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lang w:eastAsia="en-GB"/>
    </w:rPr>
  </w:style>
  <w:style w:type="paragraph" w:customStyle="1" w:styleId="xl68">
    <w:name w:val="xl68"/>
    <w:basedOn w:val="Normal"/>
    <w:rsid w:val="00855F6B"/>
    <w:pPr>
      <w:spacing w:before="100" w:beforeAutospacing="1" w:after="100" w:afterAutospacing="1"/>
    </w:pPr>
    <w:rPr>
      <w:rFonts w:ascii="Times New Roman" w:eastAsia="Times New Roman" w:hAnsi="Times New Roman" w:cs="Times New Roman"/>
      <w:b/>
      <w:bCs/>
      <w:sz w:val="18"/>
      <w:szCs w:val="18"/>
      <w:lang w:eastAsia="en-GB"/>
    </w:rPr>
  </w:style>
  <w:style w:type="paragraph" w:customStyle="1" w:styleId="xl69">
    <w:name w:val="xl69"/>
    <w:basedOn w:val="Normal"/>
    <w:rsid w:val="00855F6B"/>
    <w:pPr>
      <w:spacing w:before="100" w:beforeAutospacing="1" w:after="100" w:afterAutospacing="1"/>
      <w:textAlignment w:val="center"/>
    </w:pPr>
    <w:rPr>
      <w:rFonts w:ascii="Arial" w:eastAsia="Times New Roman" w:hAnsi="Arial" w:cs="Arial"/>
      <w:b/>
      <w:bCs/>
      <w:color w:val="000000"/>
      <w:sz w:val="18"/>
      <w:szCs w:val="18"/>
      <w:lang w:eastAsia="en-GB"/>
    </w:rPr>
  </w:style>
  <w:style w:type="paragraph" w:customStyle="1" w:styleId="xl70">
    <w:name w:val="xl70"/>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71">
    <w:name w:val="xl71"/>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72">
    <w:name w:val="xl72"/>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73">
    <w:name w:val="xl73"/>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textAlignment w:val="top"/>
    </w:pPr>
    <w:rPr>
      <w:rFonts w:ascii="Times New Roman" w:eastAsia="Times New Roman" w:hAnsi="Times New Roman" w:cs="Times New Roman"/>
      <w:b/>
      <w:bCs/>
      <w:color w:val="FFFFFF"/>
      <w:sz w:val="18"/>
      <w:szCs w:val="18"/>
      <w:lang w:eastAsia="en-GB"/>
    </w:rPr>
  </w:style>
  <w:style w:type="paragraph" w:customStyle="1" w:styleId="xl74">
    <w:name w:val="xl74"/>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textAlignment w:val="top"/>
    </w:pPr>
    <w:rPr>
      <w:rFonts w:ascii="Arial" w:eastAsia="Times New Roman" w:hAnsi="Arial" w:cs="Arial"/>
      <w:b/>
      <w:bCs/>
      <w:color w:val="FFFFFF"/>
      <w:sz w:val="18"/>
      <w:szCs w:val="18"/>
      <w:lang w:eastAsia="en-GB"/>
    </w:rPr>
  </w:style>
  <w:style w:type="paragraph" w:customStyle="1" w:styleId="xl75">
    <w:name w:val="xl75"/>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textAlignment w:val="top"/>
    </w:pPr>
    <w:rPr>
      <w:rFonts w:ascii="Arial" w:eastAsia="Times New Roman" w:hAnsi="Arial" w:cs="Arial"/>
      <w:b/>
      <w:bCs/>
      <w:color w:val="FFFFFF"/>
      <w:sz w:val="18"/>
      <w:szCs w:val="18"/>
      <w:lang w:eastAsia="en-GB"/>
    </w:rPr>
  </w:style>
  <w:style w:type="paragraph" w:customStyle="1" w:styleId="xl76">
    <w:name w:val="xl76"/>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jc w:val="center"/>
      <w:textAlignment w:val="top"/>
    </w:pPr>
    <w:rPr>
      <w:rFonts w:ascii="Arial" w:eastAsia="Times New Roman" w:hAnsi="Arial" w:cs="Arial"/>
      <w:b/>
      <w:bCs/>
      <w:color w:val="FFFFFF"/>
      <w:sz w:val="18"/>
      <w:szCs w:val="18"/>
      <w:lang w:eastAsia="en-GB"/>
    </w:rPr>
  </w:style>
  <w:style w:type="paragraph" w:customStyle="1" w:styleId="xl77">
    <w:name w:val="xl77"/>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textAlignment w:val="top"/>
    </w:pPr>
    <w:rPr>
      <w:rFonts w:ascii="Arial" w:eastAsia="Times New Roman" w:hAnsi="Arial" w:cs="Arial"/>
      <w:color w:val="FFFFFF"/>
      <w:sz w:val="18"/>
      <w:szCs w:val="18"/>
      <w:lang w:eastAsia="en-GB"/>
    </w:rPr>
  </w:style>
  <w:style w:type="paragraph" w:customStyle="1" w:styleId="xl78">
    <w:name w:val="xl78"/>
    <w:basedOn w:val="Normal"/>
    <w:rsid w:val="00855F6B"/>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textAlignment w:val="top"/>
    </w:pPr>
    <w:rPr>
      <w:rFonts w:ascii="Arial" w:eastAsia="Times New Roman" w:hAnsi="Arial" w:cs="Arial"/>
      <w:color w:val="FFFFFF"/>
      <w:sz w:val="18"/>
      <w:szCs w:val="18"/>
      <w:lang w:eastAsia="en-GB"/>
    </w:rPr>
  </w:style>
  <w:style w:type="paragraph" w:customStyle="1" w:styleId="xl79">
    <w:name w:val="xl79"/>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color w:val="000000"/>
      <w:sz w:val="18"/>
      <w:szCs w:val="18"/>
      <w:lang w:eastAsia="en-GB"/>
    </w:rPr>
  </w:style>
  <w:style w:type="paragraph" w:customStyle="1" w:styleId="xl80">
    <w:name w:val="xl80"/>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81">
    <w:name w:val="xl81"/>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82">
    <w:name w:val="xl82"/>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i/>
      <w:iCs/>
      <w:color w:val="000000"/>
      <w:sz w:val="18"/>
      <w:szCs w:val="18"/>
      <w:lang w:eastAsia="en-GB"/>
    </w:rPr>
  </w:style>
  <w:style w:type="paragraph" w:customStyle="1" w:styleId="xl83">
    <w:name w:val="xl83"/>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84">
    <w:name w:val="xl84"/>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color w:val="000000"/>
      <w:sz w:val="18"/>
      <w:szCs w:val="18"/>
      <w:lang w:eastAsia="en-GB"/>
    </w:rPr>
  </w:style>
  <w:style w:type="paragraph" w:customStyle="1" w:styleId="xl85">
    <w:name w:val="xl85"/>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86">
    <w:name w:val="xl86"/>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lang w:eastAsia="en-GB"/>
    </w:rPr>
  </w:style>
  <w:style w:type="paragraph" w:customStyle="1" w:styleId="xl87">
    <w:name w:val="xl87"/>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eastAsia="en-GB"/>
    </w:rPr>
  </w:style>
  <w:style w:type="paragraph" w:customStyle="1" w:styleId="xl88">
    <w:name w:val="xl88"/>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b/>
      <w:bCs/>
      <w:color w:val="000000"/>
      <w:sz w:val="18"/>
      <w:szCs w:val="18"/>
      <w:lang w:eastAsia="en-GB"/>
    </w:rPr>
  </w:style>
  <w:style w:type="paragraph" w:customStyle="1" w:styleId="xl89">
    <w:name w:val="xl89"/>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color w:val="FF0000"/>
      <w:sz w:val="18"/>
      <w:szCs w:val="18"/>
      <w:lang w:eastAsia="en-GB"/>
    </w:rPr>
  </w:style>
  <w:style w:type="paragraph" w:customStyle="1" w:styleId="xl90">
    <w:name w:val="xl90"/>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Arial" w:eastAsia="Times New Roman" w:hAnsi="Arial" w:cs="Arial"/>
      <w:color w:val="FF0000"/>
      <w:sz w:val="18"/>
      <w:szCs w:val="18"/>
      <w:lang w:eastAsia="en-GB"/>
    </w:rPr>
  </w:style>
  <w:style w:type="paragraph" w:customStyle="1" w:styleId="xl91">
    <w:name w:val="xl91"/>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18"/>
      <w:szCs w:val="18"/>
      <w:lang w:eastAsia="en-GB"/>
    </w:rPr>
  </w:style>
  <w:style w:type="paragraph" w:customStyle="1" w:styleId="xl92">
    <w:name w:val="xl92"/>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Arial" w:eastAsia="Times New Roman" w:hAnsi="Arial" w:cs="Arial"/>
      <w:b/>
      <w:bCs/>
      <w:color w:val="000000"/>
      <w:sz w:val="18"/>
      <w:szCs w:val="18"/>
      <w:lang w:eastAsia="en-GB"/>
    </w:rPr>
  </w:style>
  <w:style w:type="paragraph" w:customStyle="1" w:styleId="xl93">
    <w:name w:val="xl93"/>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Arial" w:eastAsia="Times New Roman" w:hAnsi="Arial" w:cs="Arial"/>
      <w:color w:val="000000"/>
      <w:sz w:val="18"/>
      <w:szCs w:val="18"/>
      <w:lang w:eastAsia="en-GB"/>
    </w:rPr>
  </w:style>
  <w:style w:type="paragraph" w:customStyle="1" w:styleId="xl94">
    <w:name w:val="xl94"/>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8"/>
      <w:szCs w:val="18"/>
      <w:lang w:eastAsia="en-GB"/>
    </w:rPr>
  </w:style>
  <w:style w:type="paragraph" w:customStyle="1" w:styleId="xl95">
    <w:name w:val="xl95"/>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8"/>
      <w:szCs w:val="18"/>
      <w:lang w:eastAsia="en-GB"/>
    </w:rPr>
  </w:style>
  <w:style w:type="paragraph" w:customStyle="1" w:styleId="xl96">
    <w:name w:val="xl96"/>
    <w:basedOn w:val="Normal"/>
    <w:rsid w:val="00855F6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97">
    <w:name w:val="xl97"/>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lang w:eastAsia="en-GB"/>
    </w:rPr>
  </w:style>
  <w:style w:type="paragraph" w:customStyle="1" w:styleId="xl98">
    <w:name w:val="xl98"/>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lang w:eastAsia="en-GB"/>
    </w:rPr>
  </w:style>
  <w:style w:type="paragraph" w:customStyle="1" w:styleId="xl99">
    <w:name w:val="xl99"/>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sz w:val="18"/>
      <w:szCs w:val="18"/>
      <w:lang w:eastAsia="en-GB"/>
    </w:rPr>
  </w:style>
  <w:style w:type="paragraph" w:customStyle="1" w:styleId="xl100">
    <w:name w:val="xl100"/>
    <w:basedOn w:val="Normal"/>
    <w:rsid w:val="00855F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lang w:eastAsia="en-GB"/>
    </w:rPr>
  </w:style>
  <w:style w:type="paragraph" w:customStyle="1" w:styleId="xl101">
    <w:name w:val="xl101"/>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b/>
      <w:bCs/>
      <w:color w:val="002060"/>
      <w:sz w:val="18"/>
      <w:szCs w:val="18"/>
      <w:lang w:eastAsia="en-GB"/>
    </w:rPr>
  </w:style>
  <w:style w:type="paragraph" w:customStyle="1" w:styleId="xl102">
    <w:name w:val="xl102"/>
    <w:basedOn w:val="Normal"/>
    <w:rsid w:val="00855F6B"/>
    <w:pPr>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103">
    <w:name w:val="xl103"/>
    <w:basedOn w:val="Normal"/>
    <w:rsid w:val="00855F6B"/>
    <w:pPr>
      <w:spacing w:before="100" w:beforeAutospacing="1" w:after="100" w:afterAutospacing="1"/>
      <w:textAlignment w:val="top"/>
    </w:pPr>
    <w:rPr>
      <w:rFonts w:ascii="Times New Roman" w:eastAsia="Times New Roman" w:hAnsi="Times New Roman" w:cs="Times New Roman"/>
      <w:sz w:val="18"/>
      <w:szCs w:val="18"/>
      <w:lang w:eastAsia="en-GB"/>
    </w:rPr>
  </w:style>
  <w:style w:type="paragraph" w:customStyle="1" w:styleId="xl104">
    <w:name w:val="xl104"/>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customStyle="1" w:styleId="xl105">
    <w:name w:val="xl105"/>
    <w:basedOn w:val="Normal"/>
    <w:rsid w:val="00855F6B"/>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textAlignment w:val="top"/>
    </w:pPr>
    <w:rPr>
      <w:rFonts w:ascii="Times New Roman" w:eastAsia="Times New Roman" w:hAnsi="Times New Roman" w:cs="Times New Roman"/>
      <w:color w:val="000000"/>
      <w:sz w:val="18"/>
      <w:szCs w:val="18"/>
      <w:lang w:eastAsia="en-GB"/>
    </w:rPr>
  </w:style>
  <w:style w:type="paragraph" w:styleId="Revision">
    <w:name w:val="Revision"/>
    <w:hidden/>
    <w:uiPriority w:val="99"/>
    <w:semiHidden/>
    <w:rsid w:val="00A8191E"/>
    <w:rPr>
      <w:sz w:val="22"/>
    </w:rPr>
  </w:style>
  <w:style w:type="character" w:customStyle="1" w:styleId="Heading5Char">
    <w:name w:val="Heading 5 Char"/>
    <w:basedOn w:val="DefaultParagraphFont"/>
    <w:link w:val="Heading5"/>
    <w:uiPriority w:val="9"/>
    <w:rsid w:val="0057323A"/>
    <w:rPr>
      <w:rFonts w:asciiTheme="majorHAnsi" w:eastAsiaTheme="majorEastAsia" w:hAnsiTheme="majorHAnsi" w:cstheme="majorBidi"/>
      <w:color w:val="2F5496" w:themeColor="accent1" w:themeShade="BF"/>
      <w:sz w:val="21"/>
      <w:lang w:eastAsia="en-GB"/>
    </w:rPr>
  </w:style>
  <w:style w:type="character" w:customStyle="1" w:styleId="Heading6Char">
    <w:name w:val="Heading 6 Char"/>
    <w:basedOn w:val="DefaultParagraphFont"/>
    <w:link w:val="Heading6"/>
    <w:uiPriority w:val="9"/>
    <w:rsid w:val="0057323A"/>
    <w:rPr>
      <w:rFonts w:asciiTheme="majorHAnsi" w:eastAsiaTheme="majorEastAsia" w:hAnsiTheme="majorHAnsi" w:cstheme="majorBidi"/>
      <w:color w:val="1F3763" w:themeColor="accent1" w:themeShade="7F"/>
      <w:sz w:val="21"/>
      <w:lang w:eastAsia="en-GB"/>
    </w:rPr>
  </w:style>
  <w:style w:type="character" w:customStyle="1" w:styleId="Heading7Char">
    <w:name w:val="Heading 7 Char"/>
    <w:basedOn w:val="DefaultParagraphFont"/>
    <w:link w:val="Heading7"/>
    <w:uiPriority w:val="9"/>
    <w:semiHidden/>
    <w:rsid w:val="0057323A"/>
    <w:rPr>
      <w:rFonts w:asciiTheme="majorHAnsi" w:eastAsiaTheme="majorEastAsia" w:hAnsiTheme="majorHAnsi" w:cstheme="majorBidi"/>
      <w:i/>
      <w:iCs/>
      <w:color w:val="1F3763" w:themeColor="accent1" w:themeShade="7F"/>
      <w:sz w:val="21"/>
      <w:lang w:eastAsia="en-GB"/>
    </w:rPr>
  </w:style>
  <w:style w:type="character" w:customStyle="1" w:styleId="Heading8Char">
    <w:name w:val="Heading 8 Char"/>
    <w:basedOn w:val="DefaultParagraphFont"/>
    <w:link w:val="Heading8"/>
    <w:uiPriority w:val="9"/>
    <w:semiHidden/>
    <w:rsid w:val="0057323A"/>
    <w:rPr>
      <w:rFonts w:asciiTheme="majorHAnsi" w:eastAsiaTheme="majorEastAsia" w:hAnsiTheme="majorHAnsi" w:cstheme="majorBidi"/>
      <w:color w:val="272727" w:themeColor="text1" w:themeTint="D8"/>
      <w:sz w:val="21"/>
      <w:lang w:eastAsia="en-GB"/>
    </w:rPr>
  </w:style>
  <w:style w:type="character" w:customStyle="1" w:styleId="Heading9Char">
    <w:name w:val="Heading 9 Char"/>
    <w:basedOn w:val="DefaultParagraphFont"/>
    <w:link w:val="Heading9"/>
    <w:uiPriority w:val="9"/>
    <w:semiHidden/>
    <w:rsid w:val="0057323A"/>
    <w:rPr>
      <w:rFonts w:asciiTheme="majorHAnsi" w:eastAsiaTheme="majorEastAsia" w:hAnsiTheme="majorHAnsi" w:cstheme="majorBidi"/>
      <w:i/>
      <w:iCs/>
      <w:color w:val="272727" w:themeColor="text1" w:themeTint="D8"/>
      <w:sz w:val="21"/>
      <w:lang w:eastAsia="en-GB"/>
    </w:rPr>
  </w:style>
  <w:style w:type="paragraph" w:styleId="EndnoteText">
    <w:name w:val="endnote text"/>
    <w:basedOn w:val="Normal"/>
    <w:link w:val="EndnoteTextChar"/>
    <w:uiPriority w:val="99"/>
    <w:unhideWhenUsed/>
    <w:rsid w:val="007A5E46"/>
    <w:rPr>
      <w:rFonts w:ascii="Arial Narrow" w:eastAsia="Times New Roman" w:hAnsi="Arial Narrow" w:cs="Times New Roman"/>
      <w:sz w:val="18"/>
      <w:szCs w:val="20"/>
      <w:lang w:eastAsia="en-GB"/>
    </w:rPr>
  </w:style>
  <w:style w:type="character" w:customStyle="1" w:styleId="EndnoteTextChar">
    <w:name w:val="Endnote Text Char"/>
    <w:basedOn w:val="DefaultParagraphFont"/>
    <w:link w:val="EndnoteText"/>
    <w:uiPriority w:val="99"/>
    <w:rsid w:val="007A5E46"/>
    <w:rPr>
      <w:rFonts w:ascii="Arial Narrow" w:eastAsia="Times New Roman" w:hAnsi="Arial Narrow" w:cs="Times New Roman"/>
      <w:sz w:val="18"/>
      <w:szCs w:val="20"/>
      <w:lang w:eastAsia="en-GB"/>
    </w:rPr>
  </w:style>
  <w:style w:type="character" w:styleId="EndnoteReference">
    <w:name w:val="endnote reference"/>
    <w:basedOn w:val="DefaultParagraphFont"/>
    <w:uiPriority w:val="99"/>
    <w:unhideWhenUsed/>
    <w:rsid w:val="0057323A"/>
    <w:rPr>
      <w:vertAlign w:val="superscript"/>
    </w:rPr>
  </w:style>
  <w:style w:type="character" w:customStyle="1" w:styleId="highlight">
    <w:name w:val="highlight"/>
    <w:basedOn w:val="DefaultParagraphFont"/>
    <w:rsid w:val="0057323A"/>
  </w:style>
  <w:style w:type="paragraph" w:customStyle="1" w:styleId="M03BodyText">
    <w:name w:val="M03 Body Text"/>
    <w:basedOn w:val="Normal"/>
    <w:link w:val="M03BodyTextChar"/>
    <w:qFormat/>
    <w:rsid w:val="006D3825"/>
    <w:pPr>
      <w:jc w:val="both"/>
    </w:pPr>
    <w:rPr>
      <w:rFonts w:ascii="Gadugi" w:eastAsia="Times New Roman" w:hAnsi="Gadugi" w:cs="Calibri"/>
      <w:sz w:val="20"/>
      <w:szCs w:val="20"/>
      <w:lang w:val="en-GB" w:eastAsia="ja-JP"/>
    </w:rPr>
  </w:style>
  <w:style w:type="character" w:customStyle="1" w:styleId="M03BodyTextChar">
    <w:name w:val="M03 Body Text Char"/>
    <w:basedOn w:val="DefaultParagraphFont"/>
    <w:link w:val="M03BodyText"/>
    <w:rsid w:val="006D3825"/>
    <w:rPr>
      <w:rFonts w:ascii="Gadugi" w:eastAsia="Times New Roman" w:hAnsi="Gadugi" w:cs="Calibri"/>
      <w:sz w:val="20"/>
      <w:szCs w:val="20"/>
      <w:lang w:val="en-GB" w:eastAsia="ja-JP"/>
    </w:rPr>
  </w:style>
  <w:style w:type="paragraph" w:styleId="TOC4">
    <w:name w:val="toc 4"/>
    <w:basedOn w:val="Normal"/>
    <w:next w:val="Normal"/>
    <w:autoRedefine/>
    <w:uiPriority w:val="39"/>
    <w:unhideWhenUsed/>
    <w:rsid w:val="009913A8"/>
    <w:pPr>
      <w:spacing w:after="100"/>
      <w:ind w:left="660"/>
    </w:pPr>
  </w:style>
  <w:style w:type="paragraph" w:customStyle="1" w:styleId="xmsonormal">
    <w:name w:val="x_msonormal"/>
    <w:basedOn w:val="Normal"/>
    <w:rsid w:val="00E27982"/>
    <w:pPr>
      <w:spacing w:before="100" w:beforeAutospacing="1" w:after="100" w:afterAutospacing="1"/>
    </w:pPr>
    <w:rPr>
      <w:rFonts w:ascii="Times New Roman" w:eastAsia="Times New Roman" w:hAnsi="Times New Roman" w:cs="Times New Roman"/>
      <w:sz w:val="24"/>
      <w:lang w:eastAsia="en-GB"/>
    </w:rPr>
  </w:style>
  <w:style w:type="character" w:customStyle="1" w:styleId="mark78ubqkobm">
    <w:name w:val="mark78ubqkobm"/>
    <w:basedOn w:val="DefaultParagraphFont"/>
    <w:rsid w:val="00786E88"/>
  </w:style>
  <w:style w:type="paragraph" w:customStyle="1" w:styleId="91">
    <w:name w:val="表 (モノトーン)  91"/>
    <w:uiPriority w:val="1"/>
    <w:qFormat/>
    <w:rsid w:val="00F45E9D"/>
    <w:pPr>
      <w:widowControl w:val="0"/>
      <w:jc w:val="both"/>
    </w:pPr>
    <w:rPr>
      <w:rFonts w:ascii="Century" w:eastAsia="MS Mincho" w:hAnsi="Century" w:cs="Times New Roman"/>
      <w:kern w:val="2"/>
      <w:sz w:val="21"/>
      <w:szCs w:val="22"/>
      <w:lang w:eastAsia="ja-JP"/>
    </w:rPr>
  </w:style>
  <w:style w:type="paragraph" w:customStyle="1" w:styleId="Default">
    <w:name w:val="Default"/>
    <w:rsid w:val="00575550"/>
    <w:pPr>
      <w:autoSpaceDE w:val="0"/>
      <w:autoSpaceDN w:val="0"/>
      <w:adjustRightInd w:val="0"/>
    </w:pPr>
    <w:rPr>
      <w:rFonts w:ascii="Calibri" w:hAnsi="Calibri" w:cs="Calibri"/>
      <w:color w:val="000000"/>
      <w:lang w:val="en-GB"/>
    </w:rPr>
  </w:style>
  <w:style w:type="paragraph" w:customStyle="1" w:styleId="Pa1">
    <w:name w:val="Pa1"/>
    <w:basedOn w:val="Default"/>
    <w:next w:val="Default"/>
    <w:uiPriority w:val="99"/>
    <w:rsid w:val="00575550"/>
    <w:pPr>
      <w:spacing w:line="241" w:lineRule="atLeast"/>
    </w:pPr>
    <w:rPr>
      <w:rFonts w:ascii="TeXGyreAdventor" w:hAnsi="TeXGyreAdventor" w:cstheme="minorBidi"/>
      <w:color w:val="auto"/>
    </w:rPr>
  </w:style>
  <w:style w:type="character" w:customStyle="1" w:styleId="A12">
    <w:name w:val="A12"/>
    <w:uiPriority w:val="99"/>
    <w:rsid w:val="00575550"/>
    <w:rPr>
      <w:rFonts w:cs="TeXGyreAdventor"/>
      <w:color w:val="000000"/>
    </w:rPr>
  </w:style>
  <w:style w:type="character" w:styleId="Emphasis">
    <w:name w:val="Emphasis"/>
    <w:basedOn w:val="DefaultParagraphFont"/>
    <w:uiPriority w:val="20"/>
    <w:qFormat/>
    <w:rsid w:val="00AC6890"/>
    <w:rPr>
      <w:i/>
      <w:iCs/>
    </w:rPr>
  </w:style>
  <w:style w:type="paragraph" w:styleId="Subtitle">
    <w:name w:val="Subtitle"/>
    <w:basedOn w:val="Normal"/>
    <w:next w:val="Normal"/>
    <w:link w:val="SubtitleChar"/>
    <w:uiPriority w:val="11"/>
    <w:qFormat/>
    <w:rsid w:val="007A5E4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A5E46"/>
    <w:rPr>
      <w:rFonts w:eastAsiaTheme="minorEastAsia"/>
      <w:color w:val="5A5A5A" w:themeColor="text1" w:themeTint="A5"/>
      <w:spacing w:val="15"/>
      <w:sz w:val="22"/>
      <w:szCs w:val="22"/>
    </w:rPr>
  </w:style>
  <w:style w:type="character" w:customStyle="1" w:styleId="apple-converted-space">
    <w:name w:val="apple-converted-space"/>
    <w:basedOn w:val="DefaultParagraphFont"/>
    <w:rsid w:val="007B4AE4"/>
  </w:style>
  <w:style w:type="paragraph" w:styleId="TableofFigures">
    <w:name w:val="table of figures"/>
    <w:basedOn w:val="Normal"/>
    <w:next w:val="Normal"/>
    <w:uiPriority w:val="99"/>
    <w:unhideWhenUsed/>
    <w:rsid w:val="00550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40">
      <w:bodyDiv w:val="1"/>
      <w:marLeft w:val="0"/>
      <w:marRight w:val="0"/>
      <w:marTop w:val="0"/>
      <w:marBottom w:val="0"/>
      <w:divBdr>
        <w:top w:val="none" w:sz="0" w:space="0" w:color="auto"/>
        <w:left w:val="none" w:sz="0" w:space="0" w:color="auto"/>
        <w:bottom w:val="none" w:sz="0" w:space="0" w:color="auto"/>
        <w:right w:val="none" w:sz="0" w:space="0" w:color="auto"/>
      </w:divBdr>
    </w:div>
    <w:div w:id="80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574111">
          <w:marLeft w:val="0"/>
          <w:marRight w:val="0"/>
          <w:marTop w:val="0"/>
          <w:marBottom w:val="0"/>
          <w:divBdr>
            <w:top w:val="none" w:sz="0" w:space="0" w:color="auto"/>
            <w:left w:val="none" w:sz="0" w:space="0" w:color="auto"/>
            <w:bottom w:val="none" w:sz="0" w:space="0" w:color="auto"/>
            <w:right w:val="none" w:sz="0" w:space="0" w:color="auto"/>
          </w:divBdr>
          <w:divsChild>
            <w:div w:id="646981487">
              <w:marLeft w:val="0"/>
              <w:marRight w:val="0"/>
              <w:marTop w:val="0"/>
              <w:marBottom w:val="0"/>
              <w:divBdr>
                <w:top w:val="none" w:sz="0" w:space="0" w:color="auto"/>
                <w:left w:val="none" w:sz="0" w:space="0" w:color="auto"/>
                <w:bottom w:val="none" w:sz="0" w:space="0" w:color="auto"/>
                <w:right w:val="none" w:sz="0" w:space="0" w:color="auto"/>
              </w:divBdr>
              <w:divsChild>
                <w:div w:id="2794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820">
      <w:bodyDiv w:val="1"/>
      <w:marLeft w:val="0"/>
      <w:marRight w:val="0"/>
      <w:marTop w:val="0"/>
      <w:marBottom w:val="0"/>
      <w:divBdr>
        <w:top w:val="none" w:sz="0" w:space="0" w:color="auto"/>
        <w:left w:val="none" w:sz="0" w:space="0" w:color="auto"/>
        <w:bottom w:val="none" w:sz="0" w:space="0" w:color="auto"/>
        <w:right w:val="none" w:sz="0" w:space="0" w:color="auto"/>
      </w:divBdr>
    </w:div>
    <w:div w:id="17200718">
      <w:bodyDiv w:val="1"/>
      <w:marLeft w:val="0"/>
      <w:marRight w:val="0"/>
      <w:marTop w:val="0"/>
      <w:marBottom w:val="0"/>
      <w:divBdr>
        <w:top w:val="none" w:sz="0" w:space="0" w:color="auto"/>
        <w:left w:val="none" w:sz="0" w:space="0" w:color="auto"/>
        <w:bottom w:val="none" w:sz="0" w:space="0" w:color="auto"/>
        <w:right w:val="none" w:sz="0" w:space="0" w:color="auto"/>
      </w:divBdr>
    </w:div>
    <w:div w:id="20859485">
      <w:bodyDiv w:val="1"/>
      <w:marLeft w:val="0"/>
      <w:marRight w:val="0"/>
      <w:marTop w:val="0"/>
      <w:marBottom w:val="0"/>
      <w:divBdr>
        <w:top w:val="none" w:sz="0" w:space="0" w:color="auto"/>
        <w:left w:val="none" w:sz="0" w:space="0" w:color="auto"/>
        <w:bottom w:val="none" w:sz="0" w:space="0" w:color="auto"/>
        <w:right w:val="none" w:sz="0" w:space="0" w:color="auto"/>
      </w:divBdr>
    </w:div>
    <w:div w:id="33774984">
      <w:bodyDiv w:val="1"/>
      <w:marLeft w:val="0"/>
      <w:marRight w:val="0"/>
      <w:marTop w:val="0"/>
      <w:marBottom w:val="0"/>
      <w:divBdr>
        <w:top w:val="none" w:sz="0" w:space="0" w:color="auto"/>
        <w:left w:val="none" w:sz="0" w:space="0" w:color="auto"/>
        <w:bottom w:val="none" w:sz="0" w:space="0" w:color="auto"/>
        <w:right w:val="none" w:sz="0" w:space="0" w:color="auto"/>
      </w:divBdr>
    </w:div>
    <w:div w:id="41096296">
      <w:bodyDiv w:val="1"/>
      <w:marLeft w:val="0"/>
      <w:marRight w:val="0"/>
      <w:marTop w:val="0"/>
      <w:marBottom w:val="0"/>
      <w:divBdr>
        <w:top w:val="none" w:sz="0" w:space="0" w:color="auto"/>
        <w:left w:val="none" w:sz="0" w:space="0" w:color="auto"/>
        <w:bottom w:val="none" w:sz="0" w:space="0" w:color="auto"/>
        <w:right w:val="none" w:sz="0" w:space="0" w:color="auto"/>
      </w:divBdr>
    </w:div>
    <w:div w:id="109324534">
      <w:bodyDiv w:val="1"/>
      <w:marLeft w:val="0"/>
      <w:marRight w:val="0"/>
      <w:marTop w:val="0"/>
      <w:marBottom w:val="0"/>
      <w:divBdr>
        <w:top w:val="none" w:sz="0" w:space="0" w:color="auto"/>
        <w:left w:val="none" w:sz="0" w:space="0" w:color="auto"/>
        <w:bottom w:val="none" w:sz="0" w:space="0" w:color="auto"/>
        <w:right w:val="none" w:sz="0" w:space="0" w:color="auto"/>
      </w:divBdr>
    </w:div>
    <w:div w:id="126050676">
      <w:bodyDiv w:val="1"/>
      <w:marLeft w:val="0"/>
      <w:marRight w:val="0"/>
      <w:marTop w:val="0"/>
      <w:marBottom w:val="0"/>
      <w:divBdr>
        <w:top w:val="none" w:sz="0" w:space="0" w:color="auto"/>
        <w:left w:val="none" w:sz="0" w:space="0" w:color="auto"/>
        <w:bottom w:val="none" w:sz="0" w:space="0" w:color="auto"/>
        <w:right w:val="none" w:sz="0" w:space="0" w:color="auto"/>
      </w:divBdr>
      <w:divsChild>
        <w:div w:id="859466383">
          <w:marLeft w:val="0"/>
          <w:marRight w:val="0"/>
          <w:marTop w:val="0"/>
          <w:marBottom w:val="0"/>
          <w:divBdr>
            <w:top w:val="none" w:sz="0" w:space="0" w:color="auto"/>
            <w:left w:val="none" w:sz="0" w:space="0" w:color="auto"/>
            <w:bottom w:val="none" w:sz="0" w:space="0" w:color="auto"/>
            <w:right w:val="none" w:sz="0" w:space="0" w:color="auto"/>
          </w:divBdr>
        </w:div>
      </w:divsChild>
    </w:div>
    <w:div w:id="128478914">
      <w:bodyDiv w:val="1"/>
      <w:marLeft w:val="0"/>
      <w:marRight w:val="0"/>
      <w:marTop w:val="0"/>
      <w:marBottom w:val="0"/>
      <w:divBdr>
        <w:top w:val="none" w:sz="0" w:space="0" w:color="auto"/>
        <w:left w:val="none" w:sz="0" w:space="0" w:color="auto"/>
        <w:bottom w:val="none" w:sz="0" w:space="0" w:color="auto"/>
        <w:right w:val="none" w:sz="0" w:space="0" w:color="auto"/>
      </w:divBdr>
      <w:divsChild>
        <w:div w:id="53479635">
          <w:marLeft w:val="0"/>
          <w:marRight w:val="0"/>
          <w:marTop w:val="0"/>
          <w:marBottom w:val="0"/>
          <w:divBdr>
            <w:top w:val="none" w:sz="0" w:space="0" w:color="auto"/>
            <w:left w:val="none" w:sz="0" w:space="0" w:color="auto"/>
            <w:bottom w:val="none" w:sz="0" w:space="0" w:color="auto"/>
            <w:right w:val="none" w:sz="0" w:space="0" w:color="auto"/>
          </w:divBdr>
          <w:divsChild>
            <w:div w:id="143863421">
              <w:marLeft w:val="0"/>
              <w:marRight w:val="0"/>
              <w:marTop w:val="0"/>
              <w:marBottom w:val="0"/>
              <w:divBdr>
                <w:top w:val="none" w:sz="0" w:space="0" w:color="auto"/>
                <w:left w:val="none" w:sz="0" w:space="0" w:color="auto"/>
                <w:bottom w:val="none" w:sz="0" w:space="0" w:color="auto"/>
                <w:right w:val="none" w:sz="0" w:space="0" w:color="auto"/>
              </w:divBdr>
              <w:divsChild>
                <w:div w:id="17577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0382">
      <w:bodyDiv w:val="1"/>
      <w:marLeft w:val="0"/>
      <w:marRight w:val="0"/>
      <w:marTop w:val="0"/>
      <w:marBottom w:val="0"/>
      <w:divBdr>
        <w:top w:val="none" w:sz="0" w:space="0" w:color="auto"/>
        <w:left w:val="none" w:sz="0" w:space="0" w:color="auto"/>
        <w:bottom w:val="none" w:sz="0" w:space="0" w:color="auto"/>
        <w:right w:val="none" w:sz="0" w:space="0" w:color="auto"/>
      </w:divBdr>
    </w:div>
    <w:div w:id="171795874">
      <w:bodyDiv w:val="1"/>
      <w:marLeft w:val="0"/>
      <w:marRight w:val="0"/>
      <w:marTop w:val="0"/>
      <w:marBottom w:val="0"/>
      <w:divBdr>
        <w:top w:val="none" w:sz="0" w:space="0" w:color="auto"/>
        <w:left w:val="none" w:sz="0" w:space="0" w:color="auto"/>
        <w:bottom w:val="none" w:sz="0" w:space="0" w:color="auto"/>
        <w:right w:val="none" w:sz="0" w:space="0" w:color="auto"/>
      </w:divBdr>
    </w:div>
    <w:div w:id="173887350">
      <w:bodyDiv w:val="1"/>
      <w:marLeft w:val="0"/>
      <w:marRight w:val="0"/>
      <w:marTop w:val="0"/>
      <w:marBottom w:val="0"/>
      <w:divBdr>
        <w:top w:val="none" w:sz="0" w:space="0" w:color="auto"/>
        <w:left w:val="none" w:sz="0" w:space="0" w:color="auto"/>
        <w:bottom w:val="none" w:sz="0" w:space="0" w:color="auto"/>
        <w:right w:val="none" w:sz="0" w:space="0" w:color="auto"/>
      </w:divBdr>
    </w:div>
    <w:div w:id="198393407">
      <w:bodyDiv w:val="1"/>
      <w:marLeft w:val="0"/>
      <w:marRight w:val="0"/>
      <w:marTop w:val="0"/>
      <w:marBottom w:val="0"/>
      <w:divBdr>
        <w:top w:val="none" w:sz="0" w:space="0" w:color="auto"/>
        <w:left w:val="none" w:sz="0" w:space="0" w:color="auto"/>
        <w:bottom w:val="none" w:sz="0" w:space="0" w:color="auto"/>
        <w:right w:val="none" w:sz="0" w:space="0" w:color="auto"/>
      </w:divBdr>
      <w:divsChild>
        <w:div w:id="1226603112">
          <w:marLeft w:val="0"/>
          <w:marRight w:val="0"/>
          <w:marTop w:val="0"/>
          <w:marBottom w:val="0"/>
          <w:divBdr>
            <w:top w:val="none" w:sz="0" w:space="0" w:color="auto"/>
            <w:left w:val="none" w:sz="0" w:space="0" w:color="auto"/>
            <w:bottom w:val="none" w:sz="0" w:space="0" w:color="auto"/>
            <w:right w:val="none" w:sz="0" w:space="0" w:color="auto"/>
          </w:divBdr>
          <w:divsChild>
            <w:div w:id="869992627">
              <w:marLeft w:val="0"/>
              <w:marRight w:val="0"/>
              <w:marTop w:val="0"/>
              <w:marBottom w:val="0"/>
              <w:divBdr>
                <w:top w:val="none" w:sz="0" w:space="0" w:color="auto"/>
                <w:left w:val="none" w:sz="0" w:space="0" w:color="auto"/>
                <w:bottom w:val="none" w:sz="0" w:space="0" w:color="auto"/>
                <w:right w:val="none" w:sz="0" w:space="0" w:color="auto"/>
              </w:divBdr>
              <w:divsChild>
                <w:div w:id="600721798">
                  <w:marLeft w:val="0"/>
                  <w:marRight w:val="0"/>
                  <w:marTop w:val="0"/>
                  <w:marBottom w:val="0"/>
                  <w:divBdr>
                    <w:top w:val="none" w:sz="0" w:space="0" w:color="auto"/>
                    <w:left w:val="none" w:sz="0" w:space="0" w:color="auto"/>
                    <w:bottom w:val="none" w:sz="0" w:space="0" w:color="auto"/>
                    <w:right w:val="none" w:sz="0" w:space="0" w:color="auto"/>
                  </w:divBdr>
                  <w:divsChild>
                    <w:div w:id="9128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8089">
      <w:bodyDiv w:val="1"/>
      <w:marLeft w:val="0"/>
      <w:marRight w:val="0"/>
      <w:marTop w:val="0"/>
      <w:marBottom w:val="0"/>
      <w:divBdr>
        <w:top w:val="none" w:sz="0" w:space="0" w:color="auto"/>
        <w:left w:val="none" w:sz="0" w:space="0" w:color="auto"/>
        <w:bottom w:val="none" w:sz="0" w:space="0" w:color="auto"/>
        <w:right w:val="none" w:sz="0" w:space="0" w:color="auto"/>
      </w:divBdr>
    </w:div>
    <w:div w:id="250168963">
      <w:bodyDiv w:val="1"/>
      <w:marLeft w:val="0"/>
      <w:marRight w:val="0"/>
      <w:marTop w:val="0"/>
      <w:marBottom w:val="0"/>
      <w:divBdr>
        <w:top w:val="none" w:sz="0" w:space="0" w:color="auto"/>
        <w:left w:val="none" w:sz="0" w:space="0" w:color="auto"/>
        <w:bottom w:val="none" w:sz="0" w:space="0" w:color="auto"/>
        <w:right w:val="none" w:sz="0" w:space="0" w:color="auto"/>
      </w:divBdr>
    </w:div>
    <w:div w:id="280385489">
      <w:bodyDiv w:val="1"/>
      <w:marLeft w:val="0"/>
      <w:marRight w:val="0"/>
      <w:marTop w:val="0"/>
      <w:marBottom w:val="0"/>
      <w:divBdr>
        <w:top w:val="none" w:sz="0" w:space="0" w:color="auto"/>
        <w:left w:val="none" w:sz="0" w:space="0" w:color="auto"/>
        <w:bottom w:val="none" w:sz="0" w:space="0" w:color="auto"/>
        <w:right w:val="none" w:sz="0" w:space="0" w:color="auto"/>
      </w:divBdr>
    </w:div>
    <w:div w:id="283273542">
      <w:bodyDiv w:val="1"/>
      <w:marLeft w:val="0"/>
      <w:marRight w:val="0"/>
      <w:marTop w:val="0"/>
      <w:marBottom w:val="0"/>
      <w:divBdr>
        <w:top w:val="none" w:sz="0" w:space="0" w:color="auto"/>
        <w:left w:val="none" w:sz="0" w:space="0" w:color="auto"/>
        <w:bottom w:val="none" w:sz="0" w:space="0" w:color="auto"/>
        <w:right w:val="none" w:sz="0" w:space="0" w:color="auto"/>
      </w:divBdr>
    </w:div>
    <w:div w:id="287057159">
      <w:bodyDiv w:val="1"/>
      <w:marLeft w:val="0"/>
      <w:marRight w:val="0"/>
      <w:marTop w:val="0"/>
      <w:marBottom w:val="0"/>
      <w:divBdr>
        <w:top w:val="none" w:sz="0" w:space="0" w:color="auto"/>
        <w:left w:val="none" w:sz="0" w:space="0" w:color="auto"/>
        <w:bottom w:val="none" w:sz="0" w:space="0" w:color="auto"/>
        <w:right w:val="none" w:sz="0" w:space="0" w:color="auto"/>
      </w:divBdr>
    </w:div>
    <w:div w:id="293100444">
      <w:bodyDiv w:val="1"/>
      <w:marLeft w:val="0"/>
      <w:marRight w:val="0"/>
      <w:marTop w:val="0"/>
      <w:marBottom w:val="0"/>
      <w:divBdr>
        <w:top w:val="none" w:sz="0" w:space="0" w:color="auto"/>
        <w:left w:val="none" w:sz="0" w:space="0" w:color="auto"/>
        <w:bottom w:val="none" w:sz="0" w:space="0" w:color="auto"/>
        <w:right w:val="none" w:sz="0" w:space="0" w:color="auto"/>
      </w:divBdr>
    </w:div>
    <w:div w:id="321276610">
      <w:bodyDiv w:val="1"/>
      <w:marLeft w:val="0"/>
      <w:marRight w:val="0"/>
      <w:marTop w:val="0"/>
      <w:marBottom w:val="0"/>
      <w:divBdr>
        <w:top w:val="none" w:sz="0" w:space="0" w:color="auto"/>
        <w:left w:val="none" w:sz="0" w:space="0" w:color="auto"/>
        <w:bottom w:val="none" w:sz="0" w:space="0" w:color="auto"/>
        <w:right w:val="none" w:sz="0" w:space="0" w:color="auto"/>
      </w:divBdr>
      <w:divsChild>
        <w:div w:id="194006726">
          <w:marLeft w:val="0"/>
          <w:marRight w:val="0"/>
          <w:marTop w:val="0"/>
          <w:marBottom w:val="0"/>
          <w:divBdr>
            <w:top w:val="none" w:sz="0" w:space="0" w:color="auto"/>
            <w:left w:val="none" w:sz="0" w:space="0" w:color="auto"/>
            <w:bottom w:val="none" w:sz="0" w:space="0" w:color="auto"/>
            <w:right w:val="none" w:sz="0" w:space="0" w:color="auto"/>
          </w:divBdr>
          <w:divsChild>
            <w:div w:id="54666042">
              <w:marLeft w:val="0"/>
              <w:marRight w:val="0"/>
              <w:marTop w:val="0"/>
              <w:marBottom w:val="0"/>
              <w:divBdr>
                <w:top w:val="none" w:sz="0" w:space="0" w:color="auto"/>
                <w:left w:val="none" w:sz="0" w:space="0" w:color="auto"/>
                <w:bottom w:val="none" w:sz="0" w:space="0" w:color="auto"/>
                <w:right w:val="none" w:sz="0" w:space="0" w:color="auto"/>
              </w:divBdr>
              <w:divsChild>
                <w:div w:id="12691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6176">
      <w:bodyDiv w:val="1"/>
      <w:marLeft w:val="0"/>
      <w:marRight w:val="0"/>
      <w:marTop w:val="0"/>
      <w:marBottom w:val="0"/>
      <w:divBdr>
        <w:top w:val="none" w:sz="0" w:space="0" w:color="auto"/>
        <w:left w:val="none" w:sz="0" w:space="0" w:color="auto"/>
        <w:bottom w:val="none" w:sz="0" w:space="0" w:color="auto"/>
        <w:right w:val="none" w:sz="0" w:space="0" w:color="auto"/>
      </w:divBdr>
      <w:divsChild>
        <w:div w:id="1697273499">
          <w:marLeft w:val="0"/>
          <w:marRight w:val="0"/>
          <w:marTop w:val="0"/>
          <w:marBottom w:val="0"/>
          <w:divBdr>
            <w:top w:val="none" w:sz="0" w:space="0" w:color="auto"/>
            <w:left w:val="none" w:sz="0" w:space="0" w:color="auto"/>
            <w:bottom w:val="none" w:sz="0" w:space="0" w:color="auto"/>
            <w:right w:val="none" w:sz="0" w:space="0" w:color="auto"/>
          </w:divBdr>
          <w:divsChild>
            <w:div w:id="709106652">
              <w:marLeft w:val="0"/>
              <w:marRight w:val="0"/>
              <w:marTop w:val="0"/>
              <w:marBottom w:val="0"/>
              <w:divBdr>
                <w:top w:val="none" w:sz="0" w:space="0" w:color="auto"/>
                <w:left w:val="none" w:sz="0" w:space="0" w:color="auto"/>
                <w:bottom w:val="none" w:sz="0" w:space="0" w:color="auto"/>
                <w:right w:val="none" w:sz="0" w:space="0" w:color="auto"/>
              </w:divBdr>
              <w:divsChild>
                <w:div w:id="8382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2926">
      <w:bodyDiv w:val="1"/>
      <w:marLeft w:val="0"/>
      <w:marRight w:val="0"/>
      <w:marTop w:val="0"/>
      <w:marBottom w:val="0"/>
      <w:divBdr>
        <w:top w:val="none" w:sz="0" w:space="0" w:color="auto"/>
        <w:left w:val="none" w:sz="0" w:space="0" w:color="auto"/>
        <w:bottom w:val="none" w:sz="0" w:space="0" w:color="auto"/>
        <w:right w:val="none" w:sz="0" w:space="0" w:color="auto"/>
      </w:divBdr>
    </w:div>
    <w:div w:id="401804528">
      <w:bodyDiv w:val="1"/>
      <w:marLeft w:val="0"/>
      <w:marRight w:val="0"/>
      <w:marTop w:val="0"/>
      <w:marBottom w:val="0"/>
      <w:divBdr>
        <w:top w:val="none" w:sz="0" w:space="0" w:color="auto"/>
        <w:left w:val="none" w:sz="0" w:space="0" w:color="auto"/>
        <w:bottom w:val="none" w:sz="0" w:space="0" w:color="auto"/>
        <w:right w:val="none" w:sz="0" w:space="0" w:color="auto"/>
      </w:divBdr>
      <w:divsChild>
        <w:div w:id="1899432080">
          <w:marLeft w:val="0"/>
          <w:marRight w:val="0"/>
          <w:marTop w:val="0"/>
          <w:marBottom w:val="0"/>
          <w:divBdr>
            <w:top w:val="none" w:sz="0" w:space="0" w:color="auto"/>
            <w:left w:val="none" w:sz="0" w:space="0" w:color="auto"/>
            <w:bottom w:val="none" w:sz="0" w:space="0" w:color="auto"/>
            <w:right w:val="none" w:sz="0" w:space="0" w:color="auto"/>
          </w:divBdr>
        </w:div>
      </w:divsChild>
    </w:div>
    <w:div w:id="403993431">
      <w:bodyDiv w:val="1"/>
      <w:marLeft w:val="0"/>
      <w:marRight w:val="0"/>
      <w:marTop w:val="0"/>
      <w:marBottom w:val="0"/>
      <w:divBdr>
        <w:top w:val="none" w:sz="0" w:space="0" w:color="auto"/>
        <w:left w:val="none" w:sz="0" w:space="0" w:color="auto"/>
        <w:bottom w:val="none" w:sz="0" w:space="0" w:color="auto"/>
        <w:right w:val="none" w:sz="0" w:space="0" w:color="auto"/>
      </w:divBdr>
      <w:divsChild>
        <w:div w:id="337271448">
          <w:marLeft w:val="0"/>
          <w:marRight w:val="0"/>
          <w:marTop w:val="0"/>
          <w:marBottom w:val="0"/>
          <w:divBdr>
            <w:top w:val="none" w:sz="0" w:space="0" w:color="auto"/>
            <w:left w:val="none" w:sz="0" w:space="0" w:color="auto"/>
            <w:bottom w:val="none" w:sz="0" w:space="0" w:color="auto"/>
            <w:right w:val="none" w:sz="0" w:space="0" w:color="auto"/>
          </w:divBdr>
          <w:divsChild>
            <w:div w:id="390619196">
              <w:marLeft w:val="0"/>
              <w:marRight w:val="0"/>
              <w:marTop w:val="0"/>
              <w:marBottom w:val="0"/>
              <w:divBdr>
                <w:top w:val="none" w:sz="0" w:space="0" w:color="auto"/>
                <w:left w:val="none" w:sz="0" w:space="0" w:color="auto"/>
                <w:bottom w:val="none" w:sz="0" w:space="0" w:color="auto"/>
                <w:right w:val="none" w:sz="0" w:space="0" w:color="auto"/>
              </w:divBdr>
              <w:divsChild>
                <w:div w:id="1920214830">
                  <w:marLeft w:val="0"/>
                  <w:marRight w:val="0"/>
                  <w:marTop w:val="0"/>
                  <w:marBottom w:val="0"/>
                  <w:divBdr>
                    <w:top w:val="none" w:sz="0" w:space="0" w:color="auto"/>
                    <w:left w:val="none" w:sz="0" w:space="0" w:color="auto"/>
                    <w:bottom w:val="none" w:sz="0" w:space="0" w:color="auto"/>
                    <w:right w:val="none" w:sz="0" w:space="0" w:color="auto"/>
                  </w:divBdr>
                  <w:divsChild>
                    <w:div w:id="5046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98735">
      <w:bodyDiv w:val="1"/>
      <w:marLeft w:val="0"/>
      <w:marRight w:val="0"/>
      <w:marTop w:val="0"/>
      <w:marBottom w:val="0"/>
      <w:divBdr>
        <w:top w:val="none" w:sz="0" w:space="0" w:color="auto"/>
        <w:left w:val="none" w:sz="0" w:space="0" w:color="auto"/>
        <w:bottom w:val="none" w:sz="0" w:space="0" w:color="auto"/>
        <w:right w:val="none" w:sz="0" w:space="0" w:color="auto"/>
      </w:divBdr>
      <w:divsChild>
        <w:div w:id="1754937599">
          <w:marLeft w:val="0"/>
          <w:marRight w:val="0"/>
          <w:marTop w:val="0"/>
          <w:marBottom w:val="0"/>
          <w:divBdr>
            <w:top w:val="none" w:sz="0" w:space="0" w:color="auto"/>
            <w:left w:val="none" w:sz="0" w:space="0" w:color="auto"/>
            <w:bottom w:val="none" w:sz="0" w:space="0" w:color="auto"/>
            <w:right w:val="none" w:sz="0" w:space="0" w:color="auto"/>
          </w:divBdr>
          <w:divsChild>
            <w:div w:id="375786162">
              <w:marLeft w:val="0"/>
              <w:marRight w:val="0"/>
              <w:marTop w:val="0"/>
              <w:marBottom w:val="0"/>
              <w:divBdr>
                <w:top w:val="none" w:sz="0" w:space="0" w:color="auto"/>
                <w:left w:val="none" w:sz="0" w:space="0" w:color="auto"/>
                <w:bottom w:val="none" w:sz="0" w:space="0" w:color="auto"/>
                <w:right w:val="none" w:sz="0" w:space="0" w:color="auto"/>
              </w:divBdr>
              <w:divsChild>
                <w:div w:id="1617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3853">
      <w:bodyDiv w:val="1"/>
      <w:marLeft w:val="0"/>
      <w:marRight w:val="0"/>
      <w:marTop w:val="0"/>
      <w:marBottom w:val="0"/>
      <w:divBdr>
        <w:top w:val="none" w:sz="0" w:space="0" w:color="auto"/>
        <w:left w:val="none" w:sz="0" w:space="0" w:color="auto"/>
        <w:bottom w:val="none" w:sz="0" w:space="0" w:color="auto"/>
        <w:right w:val="none" w:sz="0" w:space="0" w:color="auto"/>
      </w:divBdr>
      <w:divsChild>
        <w:div w:id="760377034">
          <w:marLeft w:val="360"/>
          <w:marRight w:val="0"/>
          <w:marTop w:val="200"/>
          <w:marBottom w:val="0"/>
          <w:divBdr>
            <w:top w:val="none" w:sz="0" w:space="0" w:color="auto"/>
            <w:left w:val="none" w:sz="0" w:space="0" w:color="auto"/>
            <w:bottom w:val="none" w:sz="0" w:space="0" w:color="auto"/>
            <w:right w:val="none" w:sz="0" w:space="0" w:color="auto"/>
          </w:divBdr>
        </w:div>
        <w:div w:id="291139512">
          <w:marLeft w:val="360"/>
          <w:marRight w:val="0"/>
          <w:marTop w:val="200"/>
          <w:marBottom w:val="0"/>
          <w:divBdr>
            <w:top w:val="none" w:sz="0" w:space="0" w:color="auto"/>
            <w:left w:val="none" w:sz="0" w:space="0" w:color="auto"/>
            <w:bottom w:val="none" w:sz="0" w:space="0" w:color="auto"/>
            <w:right w:val="none" w:sz="0" w:space="0" w:color="auto"/>
          </w:divBdr>
        </w:div>
        <w:div w:id="1999190967">
          <w:marLeft w:val="360"/>
          <w:marRight w:val="0"/>
          <w:marTop w:val="200"/>
          <w:marBottom w:val="0"/>
          <w:divBdr>
            <w:top w:val="none" w:sz="0" w:space="0" w:color="auto"/>
            <w:left w:val="none" w:sz="0" w:space="0" w:color="auto"/>
            <w:bottom w:val="none" w:sz="0" w:space="0" w:color="auto"/>
            <w:right w:val="none" w:sz="0" w:space="0" w:color="auto"/>
          </w:divBdr>
        </w:div>
        <w:div w:id="2110464379">
          <w:marLeft w:val="360"/>
          <w:marRight w:val="0"/>
          <w:marTop w:val="200"/>
          <w:marBottom w:val="0"/>
          <w:divBdr>
            <w:top w:val="none" w:sz="0" w:space="0" w:color="auto"/>
            <w:left w:val="none" w:sz="0" w:space="0" w:color="auto"/>
            <w:bottom w:val="none" w:sz="0" w:space="0" w:color="auto"/>
            <w:right w:val="none" w:sz="0" w:space="0" w:color="auto"/>
          </w:divBdr>
        </w:div>
        <w:div w:id="599604054">
          <w:marLeft w:val="360"/>
          <w:marRight w:val="0"/>
          <w:marTop w:val="200"/>
          <w:marBottom w:val="0"/>
          <w:divBdr>
            <w:top w:val="none" w:sz="0" w:space="0" w:color="auto"/>
            <w:left w:val="none" w:sz="0" w:space="0" w:color="auto"/>
            <w:bottom w:val="none" w:sz="0" w:space="0" w:color="auto"/>
            <w:right w:val="none" w:sz="0" w:space="0" w:color="auto"/>
          </w:divBdr>
        </w:div>
        <w:div w:id="170066427">
          <w:marLeft w:val="360"/>
          <w:marRight w:val="0"/>
          <w:marTop w:val="200"/>
          <w:marBottom w:val="0"/>
          <w:divBdr>
            <w:top w:val="none" w:sz="0" w:space="0" w:color="auto"/>
            <w:left w:val="none" w:sz="0" w:space="0" w:color="auto"/>
            <w:bottom w:val="none" w:sz="0" w:space="0" w:color="auto"/>
            <w:right w:val="none" w:sz="0" w:space="0" w:color="auto"/>
          </w:divBdr>
        </w:div>
        <w:div w:id="1745881347">
          <w:marLeft w:val="1080"/>
          <w:marRight w:val="0"/>
          <w:marTop w:val="100"/>
          <w:marBottom w:val="0"/>
          <w:divBdr>
            <w:top w:val="none" w:sz="0" w:space="0" w:color="auto"/>
            <w:left w:val="none" w:sz="0" w:space="0" w:color="auto"/>
            <w:bottom w:val="none" w:sz="0" w:space="0" w:color="auto"/>
            <w:right w:val="none" w:sz="0" w:space="0" w:color="auto"/>
          </w:divBdr>
        </w:div>
        <w:div w:id="2147234529">
          <w:marLeft w:val="1800"/>
          <w:marRight w:val="0"/>
          <w:marTop w:val="100"/>
          <w:marBottom w:val="0"/>
          <w:divBdr>
            <w:top w:val="none" w:sz="0" w:space="0" w:color="auto"/>
            <w:left w:val="none" w:sz="0" w:space="0" w:color="auto"/>
            <w:bottom w:val="none" w:sz="0" w:space="0" w:color="auto"/>
            <w:right w:val="none" w:sz="0" w:space="0" w:color="auto"/>
          </w:divBdr>
        </w:div>
        <w:div w:id="707070353">
          <w:marLeft w:val="360"/>
          <w:marRight w:val="0"/>
          <w:marTop w:val="200"/>
          <w:marBottom w:val="0"/>
          <w:divBdr>
            <w:top w:val="none" w:sz="0" w:space="0" w:color="auto"/>
            <w:left w:val="none" w:sz="0" w:space="0" w:color="auto"/>
            <w:bottom w:val="none" w:sz="0" w:space="0" w:color="auto"/>
            <w:right w:val="none" w:sz="0" w:space="0" w:color="auto"/>
          </w:divBdr>
        </w:div>
      </w:divsChild>
    </w:div>
    <w:div w:id="457114927">
      <w:bodyDiv w:val="1"/>
      <w:marLeft w:val="0"/>
      <w:marRight w:val="0"/>
      <w:marTop w:val="0"/>
      <w:marBottom w:val="0"/>
      <w:divBdr>
        <w:top w:val="none" w:sz="0" w:space="0" w:color="auto"/>
        <w:left w:val="none" w:sz="0" w:space="0" w:color="auto"/>
        <w:bottom w:val="none" w:sz="0" w:space="0" w:color="auto"/>
        <w:right w:val="none" w:sz="0" w:space="0" w:color="auto"/>
      </w:divBdr>
      <w:divsChild>
        <w:div w:id="1522276721">
          <w:marLeft w:val="0"/>
          <w:marRight w:val="0"/>
          <w:marTop w:val="0"/>
          <w:marBottom w:val="0"/>
          <w:divBdr>
            <w:top w:val="none" w:sz="0" w:space="0" w:color="auto"/>
            <w:left w:val="none" w:sz="0" w:space="0" w:color="auto"/>
            <w:bottom w:val="none" w:sz="0" w:space="0" w:color="auto"/>
            <w:right w:val="none" w:sz="0" w:space="0" w:color="auto"/>
          </w:divBdr>
        </w:div>
        <w:div w:id="304623312">
          <w:marLeft w:val="0"/>
          <w:marRight w:val="0"/>
          <w:marTop w:val="0"/>
          <w:marBottom w:val="0"/>
          <w:divBdr>
            <w:top w:val="none" w:sz="0" w:space="0" w:color="auto"/>
            <w:left w:val="none" w:sz="0" w:space="0" w:color="auto"/>
            <w:bottom w:val="none" w:sz="0" w:space="0" w:color="auto"/>
            <w:right w:val="none" w:sz="0" w:space="0" w:color="auto"/>
          </w:divBdr>
        </w:div>
        <w:div w:id="2126658712">
          <w:marLeft w:val="0"/>
          <w:marRight w:val="0"/>
          <w:marTop w:val="0"/>
          <w:marBottom w:val="0"/>
          <w:divBdr>
            <w:top w:val="none" w:sz="0" w:space="0" w:color="auto"/>
            <w:left w:val="none" w:sz="0" w:space="0" w:color="auto"/>
            <w:bottom w:val="none" w:sz="0" w:space="0" w:color="auto"/>
            <w:right w:val="none" w:sz="0" w:space="0" w:color="auto"/>
          </w:divBdr>
        </w:div>
      </w:divsChild>
    </w:div>
    <w:div w:id="457526018">
      <w:bodyDiv w:val="1"/>
      <w:marLeft w:val="0"/>
      <w:marRight w:val="0"/>
      <w:marTop w:val="0"/>
      <w:marBottom w:val="0"/>
      <w:divBdr>
        <w:top w:val="none" w:sz="0" w:space="0" w:color="auto"/>
        <w:left w:val="none" w:sz="0" w:space="0" w:color="auto"/>
        <w:bottom w:val="none" w:sz="0" w:space="0" w:color="auto"/>
        <w:right w:val="none" w:sz="0" w:space="0" w:color="auto"/>
      </w:divBdr>
    </w:div>
    <w:div w:id="469830114">
      <w:bodyDiv w:val="1"/>
      <w:marLeft w:val="0"/>
      <w:marRight w:val="0"/>
      <w:marTop w:val="0"/>
      <w:marBottom w:val="0"/>
      <w:divBdr>
        <w:top w:val="none" w:sz="0" w:space="0" w:color="auto"/>
        <w:left w:val="none" w:sz="0" w:space="0" w:color="auto"/>
        <w:bottom w:val="none" w:sz="0" w:space="0" w:color="auto"/>
        <w:right w:val="none" w:sz="0" w:space="0" w:color="auto"/>
      </w:divBdr>
      <w:divsChild>
        <w:div w:id="1510027518">
          <w:marLeft w:val="0"/>
          <w:marRight w:val="0"/>
          <w:marTop w:val="0"/>
          <w:marBottom w:val="0"/>
          <w:divBdr>
            <w:top w:val="none" w:sz="0" w:space="0" w:color="auto"/>
            <w:left w:val="none" w:sz="0" w:space="0" w:color="auto"/>
            <w:bottom w:val="none" w:sz="0" w:space="0" w:color="auto"/>
            <w:right w:val="none" w:sz="0" w:space="0" w:color="auto"/>
          </w:divBdr>
          <w:divsChild>
            <w:div w:id="1679427907">
              <w:marLeft w:val="0"/>
              <w:marRight w:val="0"/>
              <w:marTop w:val="0"/>
              <w:marBottom w:val="0"/>
              <w:divBdr>
                <w:top w:val="none" w:sz="0" w:space="0" w:color="auto"/>
                <w:left w:val="none" w:sz="0" w:space="0" w:color="auto"/>
                <w:bottom w:val="none" w:sz="0" w:space="0" w:color="auto"/>
                <w:right w:val="none" w:sz="0" w:space="0" w:color="auto"/>
              </w:divBdr>
              <w:divsChild>
                <w:div w:id="14601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390857">
      <w:bodyDiv w:val="1"/>
      <w:marLeft w:val="0"/>
      <w:marRight w:val="0"/>
      <w:marTop w:val="0"/>
      <w:marBottom w:val="0"/>
      <w:divBdr>
        <w:top w:val="none" w:sz="0" w:space="0" w:color="auto"/>
        <w:left w:val="none" w:sz="0" w:space="0" w:color="auto"/>
        <w:bottom w:val="none" w:sz="0" w:space="0" w:color="auto"/>
        <w:right w:val="none" w:sz="0" w:space="0" w:color="auto"/>
      </w:divBdr>
      <w:divsChild>
        <w:div w:id="1152602585">
          <w:marLeft w:val="0"/>
          <w:marRight w:val="0"/>
          <w:marTop w:val="0"/>
          <w:marBottom w:val="0"/>
          <w:divBdr>
            <w:top w:val="none" w:sz="0" w:space="0" w:color="auto"/>
            <w:left w:val="none" w:sz="0" w:space="0" w:color="auto"/>
            <w:bottom w:val="none" w:sz="0" w:space="0" w:color="auto"/>
            <w:right w:val="none" w:sz="0" w:space="0" w:color="auto"/>
          </w:divBdr>
        </w:div>
      </w:divsChild>
    </w:div>
    <w:div w:id="511530435">
      <w:bodyDiv w:val="1"/>
      <w:marLeft w:val="0"/>
      <w:marRight w:val="0"/>
      <w:marTop w:val="0"/>
      <w:marBottom w:val="0"/>
      <w:divBdr>
        <w:top w:val="none" w:sz="0" w:space="0" w:color="auto"/>
        <w:left w:val="none" w:sz="0" w:space="0" w:color="auto"/>
        <w:bottom w:val="none" w:sz="0" w:space="0" w:color="auto"/>
        <w:right w:val="none" w:sz="0" w:space="0" w:color="auto"/>
      </w:divBdr>
    </w:div>
    <w:div w:id="564678705">
      <w:bodyDiv w:val="1"/>
      <w:marLeft w:val="0"/>
      <w:marRight w:val="0"/>
      <w:marTop w:val="0"/>
      <w:marBottom w:val="0"/>
      <w:divBdr>
        <w:top w:val="none" w:sz="0" w:space="0" w:color="auto"/>
        <w:left w:val="none" w:sz="0" w:space="0" w:color="auto"/>
        <w:bottom w:val="none" w:sz="0" w:space="0" w:color="auto"/>
        <w:right w:val="none" w:sz="0" w:space="0" w:color="auto"/>
      </w:divBdr>
      <w:divsChild>
        <w:div w:id="1235552134">
          <w:marLeft w:val="0"/>
          <w:marRight w:val="0"/>
          <w:marTop w:val="0"/>
          <w:marBottom w:val="0"/>
          <w:divBdr>
            <w:top w:val="none" w:sz="0" w:space="0" w:color="auto"/>
            <w:left w:val="none" w:sz="0" w:space="0" w:color="auto"/>
            <w:bottom w:val="none" w:sz="0" w:space="0" w:color="auto"/>
            <w:right w:val="none" w:sz="0" w:space="0" w:color="auto"/>
          </w:divBdr>
        </w:div>
      </w:divsChild>
    </w:div>
    <w:div w:id="569122661">
      <w:bodyDiv w:val="1"/>
      <w:marLeft w:val="0"/>
      <w:marRight w:val="0"/>
      <w:marTop w:val="0"/>
      <w:marBottom w:val="0"/>
      <w:divBdr>
        <w:top w:val="none" w:sz="0" w:space="0" w:color="auto"/>
        <w:left w:val="none" w:sz="0" w:space="0" w:color="auto"/>
        <w:bottom w:val="none" w:sz="0" w:space="0" w:color="auto"/>
        <w:right w:val="none" w:sz="0" w:space="0" w:color="auto"/>
      </w:divBdr>
      <w:divsChild>
        <w:div w:id="2974301">
          <w:marLeft w:val="0"/>
          <w:marRight w:val="0"/>
          <w:marTop w:val="0"/>
          <w:marBottom w:val="0"/>
          <w:divBdr>
            <w:top w:val="none" w:sz="0" w:space="0" w:color="auto"/>
            <w:left w:val="none" w:sz="0" w:space="0" w:color="auto"/>
            <w:bottom w:val="none" w:sz="0" w:space="0" w:color="auto"/>
            <w:right w:val="none" w:sz="0" w:space="0" w:color="auto"/>
          </w:divBdr>
          <w:divsChild>
            <w:div w:id="764960528">
              <w:marLeft w:val="0"/>
              <w:marRight w:val="0"/>
              <w:marTop w:val="0"/>
              <w:marBottom w:val="0"/>
              <w:divBdr>
                <w:top w:val="none" w:sz="0" w:space="0" w:color="auto"/>
                <w:left w:val="none" w:sz="0" w:space="0" w:color="auto"/>
                <w:bottom w:val="none" w:sz="0" w:space="0" w:color="auto"/>
                <w:right w:val="none" w:sz="0" w:space="0" w:color="auto"/>
              </w:divBdr>
              <w:divsChild>
                <w:div w:id="502012614">
                  <w:marLeft w:val="0"/>
                  <w:marRight w:val="0"/>
                  <w:marTop w:val="0"/>
                  <w:marBottom w:val="0"/>
                  <w:divBdr>
                    <w:top w:val="none" w:sz="0" w:space="0" w:color="auto"/>
                    <w:left w:val="none" w:sz="0" w:space="0" w:color="auto"/>
                    <w:bottom w:val="none" w:sz="0" w:space="0" w:color="auto"/>
                    <w:right w:val="none" w:sz="0" w:space="0" w:color="auto"/>
                  </w:divBdr>
                  <w:divsChild>
                    <w:div w:id="6309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8193">
      <w:bodyDiv w:val="1"/>
      <w:marLeft w:val="0"/>
      <w:marRight w:val="0"/>
      <w:marTop w:val="0"/>
      <w:marBottom w:val="0"/>
      <w:divBdr>
        <w:top w:val="none" w:sz="0" w:space="0" w:color="auto"/>
        <w:left w:val="none" w:sz="0" w:space="0" w:color="auto"/>
        <w:bottom w:val="none" w:sz="0" w:space="0" w:color="auto"/>
        <w:right w:val="none" w:sz="0" w:space="0" w:color="auto"/>
      </w:divBdr>
    </w:div>
    <w:div w:id="638531995">
      <w:bodyDiv w:val="1"/>
      <w:marLeft w:val="0"/>
      <w:marRight w:val="0"/>
      <w:marTop w:val="0"/>
      <w:marBottom w:val="0"/>
      <w:divBdr>
        <w:top w:val="none" w:sz="0" w:space="0" w:color="auto"/>
        <w:left w:val="none" w:sz="0" w:space="0" w:color="auto"/>
        <w:bottom w:val="none" w:sz="0" w:space="0" w:color="auto"/>
        <w:right w:val="none" w:sz="0" w:space="0" w:color="auto"/>
      </w:divBdr>
    </w:div>
    <w:div w:id="654187606">
      <w:bodyDiv w:val="1"/>
      <w:marLeft w:val="0"/>
      <w:marRight w:val="0"/>
      <w:marTop w:val="0"/>
      <w:marBottom w:val="0"/>
      <w:divBdr>
        <w:top w:val="none" w:sz="0" w:space="0" w:color="auto"/>
        <w:left w:val="none" w:sz="0" w:space="0" w:color="auto"/>
        <w:bottom w:val="none" w:sz="0" w:space="0" w:color="auto"/>
        <w:right w:val="none" w:sz="0" w:space="0" w:color="auto"/>
      </w:divBdr>
    </w:div>
    <w:div w:id="668366252">
      <w:bodyDiv w:val="1"/>
      <w:marLeft w:val="0"/>
      <w:marRight w:val="0"/>
      <w:marTop w:val="0"/>
      <w:marBottom w:val="0"/>
      <w:divBdr>
        <w:top w:val="none" w:sz="0" w:space="0" w:color="auto"/>
        <w:left w:val="none" w:sz="0" w:space="0" w:color="auto"/>
        <w:bottom w:val="none" w:sz="0" w:space="0" w:color="auto"/>
        <w:right w:val="none" w:sz="0" w:space="0" w:color="auto"/>
      </w:divBdr>
      <w:divsChild>
        <w:div w:id="1754088851">
          <w:marLeft w:val="806"/>
          <w:marRight w:val="0"/>
          <w:marTop w:val="200"/>
          <w:marBottom w:val="0"/>
          <w:divBdr>
            <w:top w:val="none" w:sz="0" w:space="0" w:color="auto"/>
            <w:left w:val="none" w:sz="0" w:space="0" w:color="auto"/>
            <w:bottom w:val="none" w:sz="0" w:space="0" w:color="auto"/>
            <w:right w:val="none" w:sz="0" w:space="0" w:color="auto"/>
          </w:divBdr>
        </w:div>
        <w:div w:id="1391659286">
          <w:marLeft w:val="806"/>
          <w:marRight w:val="0"/>
          <w:marTop w:val="200"/>
          <w:marBottom w:val="0"/>
          <w:divBdr>
            <w:top w:val="none" w:sz="0" w:space="0" w:color="auto"/>
            <w:left w:val="none" w:sz="0" w:space="0" w:color="auto"/>
            <w:bottom w:val="none" w:sz="0" w:space="0" w:color="auto"/>
            <w:right w:val="none" w:sz="0" w:space="0" w:color="auto"/>
          </w:divBdr>
        </w:div>
        <w:div w:id="1725984454">
          <w:marLeft w:val="806"/>
          <w:marRight w:val="0"/>
          <w:marTop w:val="200"/>
          <w:marBottom w:val="0"/>
          <w:divBdr>
            <w:top w:val="none" w:sz="0" w:space="0" w:color="auto"/>
            <w:left w:val="none" w:sz="0" w:space="0" w:color="auto"/>
            <w:bottom w:val="none" w:sz="0" w:space="0" w:color="auto"/>
            <w:right w:val="none" w:sz="0" w:space="0" w:color="auto"/>
          </w:divBdr>
        </w:div>
        <w:div w:id="8143248">
          <w:marLeft w:val="1440"/>
          <w:marRight w:val="0"/>
          <w:marTop w:val="100"/>
          <w:marBottom w:val="0"/>
          <w:divBdr>
            <w:top w:val="none" w:sz="0" w:space="0" w:color="auto"/>
            <w:left w:val="none" w:sz="0" w:space="0" w:color="auto"/>
            <w:bottom w:val="none" w:sz="0" w:space="0" w:color="auto"/>
            <w:right w:val="none" w:sz="0" w:space="0" w:color="auto"/>
          </w:divBdr>
        </w:div>
        <w:div w:id="507333045">
          <w:marLeft w:val="1440"/>
          <w:marRight w:val="0"/>
          <w:marTop w:val="100"/>
          <w:marBottom w:val="0"/>
          <w:divBdr>
            <w:top w:val="none" w:sz="0" w:space="0" w:color="auto"/>
            <w:left w:val="none" w:sz="0" w:space="0" w:color="auto"/>
            <w:bottom w:val="none" w:sz="0" w:space="0" w:color="auto"/>
            <w:right w:val="none" w:sz="0" w:space="0" w:color="auto"/>
          </w:divBdr>
        </w:div>
        <w:div w:id="1191992060">
          <w:marLeft w:val="1440"/>
          <w:marRight w:val="0"/>
          <w:marTop w:val="100"/>
          <w:marBottom w:val="0"/>
          <w:divBdr>
            <w:top w:val="none" w:sz="0" w:space="0" w:color="auto"/>
            <w:left w:val="none" w:sz="0" w:space="0" w:color="auto"/>
            <w:bottom w:val="none" w:sz="0" w:space="0" w:color="auto"/>
            <w:right w:val="none" w:sz="0" w:space="0" w:color="auto"/>
          </w:divBdr>
        </w:div>
      </w:divsChild>
    </w:div>
    <w:div w:id="671447158">
      <w:bodyDiv w:val="1"/>
      <w:marLeft w:val="0"/>
      <w:marRight w:val="0"/>
      <w:marTop w:val="0"/>
      <w:marBottom w:val="0"/>
      <w:divBdr>
        <w:top w:val="none" w:sz="0" w:space="0" w:color="auto"/>
        <w:left w:val="none" w:sz="0" w:space="0" w:color="auto"/>
        <w:bottom w:val="none" w:sz="0" w:space="0" w:color="auto"/>
        <w:right w:val="none" w:sz="0" w:space="0" w:color="auto"/>
      </w:divBdr>
    </w:div>
    <w:div w:id="714737274">
      <w:bodyDiv w:val="1"/>
      <w:marLeft w:val="0"/>
      <w:marRight w:val="0"/>
      <w:marTop w:val="0"/>
      <w:marBottom w:val="0"/>
      <w:divBdr>
        <w:top w:val="none" w:sz="0" w:space="0" w:color="auto"/>
        <w:left w:val="none" w:sz="0" w:space="0" w:color="auto"/>
        <w:bottom w:val="none" w:sz="0" w:space="0" w:color="auto"/>
        <w:right w:val="none" w:sz="0" w:space="0" w:color="auto"/>
      </w:divBdr>
    </w:div>
    <w:div w:id="717167965">
      <w:bodyDiv w:val="1"/>
      <w:marLeft w:val="0"/>
      <w:marRight w:val="0"/>
      <w:marTop w:val="0"/>
      <w:marBottom w:val="0"/>
      <w:divBdr>
        <w:top w:val="none" w:sz="0" w:space="0" w:color="auto"/>
        <w:left w:val="none" w:sz="0" w:space="0" w:color="auto"/>
        <w:bottom w:val="none" w:sz="0" w:space="0" w:color="auto"/>
        <w:right w:val="none" w:sz="0" w:space="0" w:color="auto"/>
      </w:divBdr>
    </w:div>
    <w:div w:id="732386756">
      <w:bodyDiv w:val="1"/>
      <w:marLeft w:val="0"/>
      <w:marRight w:val="0"/>
      <w:marTop w:val="0"/>
      <w:marBottom w:val="0"/>
      <w:divBdr>
        <w:top w:val="none" w:sz="0" w:space="0" w:color="auto"/>
        <w:left w:val="none" w:sz="0" w:space="0" w:color="auto"/>
        <w:bottom w:val="none" w:sz="0" w:space="0" w:color="auto"/>
        <w:right w:val="none" w:sz="0" w:space="0" w:color="auto"/>
      </w:divBdr>
      <w:divsChild>
        <w:div w:id="1925456216">
          <w:marLeft w:val="0"/>
          <w:marRight w:val="0"/>
          <w:marTop w:val="0"/>
          <w:marBottom w:val="0"/>
          <w:divBdr>
            <w:top w:val="none" w:sz="0" w:space="0" w:color="auto"/>
            <w:left w:val="none" w:sz="0" w:space="0" w:color="auto"/>
            <w:bottom w:val="none" w:sz="0" w:space="0" w:color="auto"/>
            <w:right w:val="none" w:sz="0" w:space="0" w:color="auto"/>
          </w:divBdr>
          <w:divsChild>
            <w:div w:id="766736872">
              <w:marLeft w:val="0"/>
              <w:marRight w:val="0"/>
              <w:marTop w:val="0"/>
              <w:marBottom w:val="0"/>
              <w:divBdr>
                <w:top w:val="none" w:sz="0" w:space="0" w:color="auto"/>
                <w:left w:val="none" w:sz="0" w:space="0" w:color="auto"/>
                <w:bottom w:val="none" w:sz="0" w:space="0" w:color="auto"/>
                <w:right w:val="none" w:sz="0" w:space="0" w:color="auto"/>
              </w:divBdr>
              <w:divsChild>
                <w:div w:id="7534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97201">
      <w:bodyDiv w:val="1"/>
      <w:marLeft w:val="0"/>
      <w:marRight w:val="0"/>
      <w:marTop w:val="0"/>
      <w:marBottom w:val="0"/>
      <w:divBdr>
        <w:top w:val="none" w:sz="0" w:space="0" w:color="auto"/>
        <w:left w:val="none" w:sz="0" w:space="0" w:color="auto"/>
        <w:bottom w:val="none" w:sz="0" w:space="0" w:color="auto"/>
        <w:right w:val="none" w:sz="0" w:space="0" w:color="auto"/>
      </w:divBdr>
      <w:divsChild>
        <w:div w:id="233971138">
          <w:marLeft w:val="0"/>
          <w:marRight w:val="0"/>
          <w:marTop w:val="0"/>
          <w:marBottom w:val="0"/>
          <w:divBdr>
            <w:top w:val="none" w:sz="0" w:space="0" w:color="auto"/>
            <w:left w:val="none" w:sz="0" w:space="0" w:color="auto"/>
            <w:bottom w:val="none" w:sz="0" w:space="0" w:color="auto"/>
            <w:right w:val="none" w:sz="0" w:space="0" w:color="auto"/>
          </w:divBdr>
          <w:divsChild>
            <w:div w:id="1179277068">
              <w:marLeft w:val="0"/>
              <w:marRight w:val="0"/>
              <w:marTop w:val="0"/>
              <w:marBottom w:val="0"/>
              <w:divBdr>
                <w:top w:val="none" w:sz="0" w:space="0" w:color="auto"/>
                <w:left w:val="none" w:sz="0" w:space="0" w:color="auto"/>
                <w:bottom w:val="none" w:sz="0" w:space="0" w:color="auto"/>
                <w:right w:val="none" w:sz="0" w:space="0" w:color="auto"/>
              </w:divBdr>
              <w:divsChild>
                <w:div w:id="20632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0397">
      <w:bodyDiv w:val="1"/>
      <w:marLeft w:val="0"/>
      <w:marRight w:val="0"/>
      <w:marTop w:val="0"/>
      <w:marBottom w:val="0"/>
      <w:divBdr>
        <w:top w:val="none" w:sz="0" w:space="0" w:color="auto"/>
        <w:left w:val="none" w:sz="0" w:space="0" w:color="auto"/>
        <w:bottom w:val="none" w:sz="0" w:space="0" w:color="auto"/>
        <w:right w:val="none" w:sz="0" w:space="0" w:color="auto"/>
      </w:divBdr>
      <w:divsChild>
        <w:div w:id="1947805319">
          <w:marLeft w:val="0"/>
          <w:marRight w:val="0"/>
          <w:marTop w:val="0"/>
          <w:marBottom w:val="0"/>
          <w:divBdr>
            <w:top w:val="none" w:sz="0" w:space="0" w:color="auto"/>
            <w:left w:val="none" w:sz="0" w:space="0" w:color="auto"/>
            <w:bottom w:val="none" w:sz="0" w:space="0" w:color="auto"/>
            <w:right w:val="none" w:sz="0" w:space="0" w:color="auto"/>
          </w:divBdr>
        </w:div>
      </w:divsChild>
    </w:div>
    <w:div w:id="781000180">
      <w:bodyDiv w:val="1"/>
      <w:marLeft w:val="0"/>
      <w:marRight w:val="0"/>
      <w:marTop w:val="0"/>
      <w:marBottom w:val="0"/>
      <w:divBdr>
        <w:top w:val="none" w:sz="0" w:space="0" w:color="auto"/>
        <w:left w:val="none" w:sz="0" w:space="0" w:color="auto"/>
        <w:bottom w:val="none" w:sz="0" w:space="0" w:color="auto"/>
        <w:right w:val="none" w:sz="0" w:space="0" w:color="auto"/>
      </w:divBdr>
      <w:divsChild>
        <w:div w:id="424502137">
          <w:marLeft w:val="806"/>
          <w:marRight w:val="0"/>
          <w:marTop w:val="200"/>
          <w:marBottom w:val="0"/>
          <w:divBdr>
            <w:top w:val="none" w:sz="0" w:space="0" w:color="auto"/>
            <w:left w:val="none" w:sz="0" w:space="0" w:color="auto"/>
            <w:bottom w:val="none" w:sz="0" w:space="0" w:color="auto"/>
            <w:right w:val="none" w:sz="0" w:space="0" w:color="auto"/>
          </w:divBdr>
        </w:div>
        <w:div w:id="2084375164">
          <w:marLeft w:val="806"/>
          <w:marRight w:val="0"/>
          <w:marTop w:val="200"/>
          <w:marBottom w:val="0"/>
          <w:divBdr>
            <w:top w:val="none" w:sz="0" w:space="0" w:color="auto"/>
            <w:left w:val="none" w:sz="0" w:space="0" w:color="auto"/>
            <w:bottom w:val="none" w:sz="0" w:space="0" w:color="auto"/>
            <w:right w:val="none" w:sz="0" w:space="0" w:color="auto"/>
          </w:divBdr>
        </w:div>
        <w:div w:id="1727022488">
          <w:marLeft w:val="806"/>
          <w:marRight w:val="0"/>
          <w:marTop w:val="200"/>
          <w:marBottom w:val="0"/>
          <w:divBdr>
            <w:top w:val="none" w:sz="0" w:space="0" w:color="auto"/>
            <w:left w:val="none" w:sz="0" w:space="0" w:color="auto"/>
            <w:bottom w:val="none" w:sz="0" w:space="0" w:color="auto"/>
            <w:right w:val="none" w:sz="0" w:space="0" w:color="auto"/>
          </w:divBdr>
        </w:div>
        <w:div w:id="334839775">
          <w:marLeft w:val="806"/>
          <w:marRight w:val="0"/>
          <w:marTop w:val="200"/>
          <w:marBottom w:val="0"/>
          <w:divBdr>
            <w:top w:val="none" w:sz="0" w:space="0" w:color="auto"/>
            <w:left w:val="none" w:sz="0" w:space="0" w:color="auto"/>
            <w:bottom w:val="none" w:sz="0" w:space="0" w:color="auto"/>
            <w:right w:val="none" w:sz="0" w:space="0" w:color="auto"/>
          </w:divBdr>
        </w:div>
        <w:div w:id="2123717446">
          <w:marLeft w:val="806"/>
          <w:marRight w:val="0"/>
          <w:marTop w:val="200"/>
          <w:marBottom w:val="0"/>
          <w:divBdr>
            <w:top w:val="none" w:sz="0" w:space="0" w:color="auto"/>
            <w:left w:val="none" w:sz="0" w:space="0" w:color="auto"/>
            <w:bottom w:val="none" w:sz="0" w:space="0" w:color="auto"/>
            <w:right w:val="none" w:sz="0" w:space="0" w:color="auto"/>
          </w:divBdr>
        </w:div>
      </w:divsChild>
    </w:div>
    <w:div w:id="789469291">
      <w:bodyDiv w:val="1"/>
      <w:marLeft w:val="0"/>
      <w:marRight w:val="0"/>
      <w:marTop w:val="0"/>
      <w:marBottom w:val="0"/>
      <w:divBdr>
        <w:top w:val="none" w:sz="0" w:space="0" w:color="auto"/>
        <w:left w:val="none" w:sz="0" w:space="0" w:color="auto"/>
        <w:bottom w:val="none" w:sz="0" w:space="0" w:color="auto"/>
        <w:right w:val="none" w:sz="0" w:space="0" w:color="auto"/>
      </w:divBdr>
      <w:divsChild>
        <w:div w:id="1518735339">
          <w:marLeft w:val="0"/>
          <w:marRight w:val="0"/>
          <w:marTop w:val="0"/>
          <w:marBottom w:val="0"/>
          <w:divBdr>
            <w:top w:val="none" w:sz="0" w:space="0" w:color="auto"/>
            <w:left w:val="none" w:sz="0" w:space="0" w:color="auto"/>
            <w:bottom w:val="none" w:sz="0" w:space="0" w:color="auto"/>
            <w:right w:val="none" w:sz="0" w:space="0" w:color="auto"/>
          </w:divBdr>
          <w:divsChild>
            <w:div w:id="1576237610">
              <w:marLeft w:val="0"/>
              <w:marRight w:val="0"/>
              <w:marTop w:val="0"/>
              <w:marBottom w:val="0"/>
              <w:divBdr>
                <w:top w:val="none" w:sz="0" w:space="0" w:color="auto"/>
                <w:left w:val="none" w:sz="0" w:space="0" w:color="auto"/>
                <w:bottom w:val="none" w:sz="0" w:space="0" w:color="auto"/>
                <w:right w:val="none" w:sz="0" w:space="0" w:color="auto"/>
              </w:divBdr>
              <w:divsChild>
                <w:div w:id="1341197385">
                  <w:marLeft w:val="0"/>
                  <w:marRight w:val="0"/>
                  <w:marTop w:val="0"/>
                  <w:marBottom w:val="0"/>
                  <w:divBdr>
                    <w:top w:val="none" w:sz="0" w:space="0" w:color="auto"/>
                    <w:left w:val="none" w:sz="0" w:space="0" w:color="auto"/>
                    <w:bottom w:val="none" w:sz="0" w:space="0" w:color="auto"/>
                    <w:right w:val="none" w:sz="0" w:space="0" w:color="auto"/>
                  </w:divBdr>
                  <w:divsChild>
                    <w:div w:id="2105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9740">
      <w:bodyDiv w:val="1"/>
      <w:marLeft w:val="0"/>
      <w:marRight w:val="0"/>
      <w:marTop w:val="0"/>
      <w:marBottom w:val="0"/>
      <w:divBdr>
        <w:top w:val="none" w:sz="0" w:space="0" w:color="auto"/>
        <w:left w:val="none" w:sz="0" w:space="0" w:color="auto"/>
        <w:bottom w:val="none" w:sz="0" w:space="0" w:color="auto"/>
        <w:right w:val="none" w:sz="0" w:space="0" w:color="auto"/>
      </w:divBdr>
    </w:div>
    <w:div w:id="821580952">
      <w:bodyDiv w:val="1"/>
      <w:marLeft w:val="0"/>
      <w:marRight w:val="0"/>
      <w:marTop w:val="0"/>
      <w:marBottom w:val="0"/>
      <w:divBdr>
        <w:top w:val="none" w:sz="0" w:space="0" w:color="auto"/>
        <w:left w:val="none" w:sz="0" w:space="0" w:color="auto"/>
        <w:bottom w:val="none" w:sz="0" w:space="0" w:color="auto"/>
        <w:right w:val="none" w:sz="0" w:space="0" w:color="auto"/>
      </w:divBdr>
      <w:divsChild>
        <w:div w:id="878514158">
          <w:marLeft w:val="0"/>
          <w:marRight w:val="0"/>
          <w:marTop w:val="0"/>
          <w:marBottom w:val="0"/>
          <w:divBdr>
            <w:top w:val="none" w:sz="0" w:space="0" w:color="auto"/>
            <w:left w:val="none" w:sz="0" w:space="0" w:color="auto"/>
            <w:bottom w:val="none" w:sz="0" w:space="0" w:color="auto"/>
            <w:right w:val="none" w:sz="0" w:space="0" w:color="auto"/>
          </w:divBdr>
          <w:divsChild>
            <w:div w:id="1317687416">
              <w:marLeft w:val="0"/>
              <w:marRight w:val="0"/>
              <w:marTop w:val="0"/>
              <w:marBottom w:val="0"/>
              <w:divBdr>
                <w:top w:val="none" w:sz="0" w:space="0" w:color="auto"/>
                <w:left w:val="none" w:sz="0" w:space="0" w:color="auto"/>
                <w:bottom w:val="none" w:sz="0" w:space="0" w:color="auto"/>
                <w:right w:val="none" w:sz="0" w:space="0" w:color="auto"/>
              </w:divBdr>
              <w:divsChild>
                <w:div w:id="533738678">
                  <w:marLeft w:val="0"/>
                  <w:marRight w:val="0"/>
                  <w:marTop w:val="0"/>
                  <w:marBottom w:val="0"/>
                  <w:divBdr>
                    <w:top w:val="none" w:sz="0" w:space="0" w:color="auto"/>
                    <w:left w:val="none" w:sz="0" w:space="0" w:color="auto"/>
                    <w:bottom w:val="none" w:sz="0" w:space="0" w:color="auto"/>
                    <w:right w:val="none" w:sz="0" w:space="0" w:color="auto"/>
                  </w:divBdr>
                  <w:divsChild>
                    <w:div w:id="602690773">
                      <w:marLeft w:val="0"/>
                      <w:marRight w:val="0"/>
                      <w:marTop w:val="0"/>
                      <w:marBottom w:val="0"/>
                      <w:divBdr>
                        <w:top w:val="none" w:sz="0" w:space="0" w:color="auto"/>
                        <w:left w:val="none" w:sz="0" w:space="0" w:color="auto"/>
                        <w:bottom w:val="none" w:sz="0" w:space="0" w:color="auto"/>
                        <w:right w:val="none" w:sz="0" w:space="0" w:color="auto"/>
                      </w:divBdr>
                    </w:div>
                    <w:div w:id="408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6417">
      <w:bodyDiv w:val="1"/>
      <w:marLeft w:val="0"/>
      <w:marRight w:val="0"/>
      <w:marTop w:val="0"/>
      <w:marBottom w:val="0"/>
      <w:divBdr>
        <w:top w:val="none" w:sz="0" w:space="0" w:color="auto"/>
        <w:left w:val="none" w:sz="0" w:space="0" w:color="auto"/>
        <w:bottom w:val="none" w:sz="0" w:space="0" w:color="auto"/>
        <w:right w:val="none" w:sz="0" w:space="0" w:color="auto"/>
      </w:divBdr>
      <w:divsChild>
        <w:div w:id="827021477">
          <w:marLeft w:val="360"/>
          <w:marRight w:val="0"/>
          <w:marTop w:val="200"/>
          <w:marBottom w:val="0"/>
          <w:divBdr>
            <w:top w:val="none" w:sz="0" w:space="0" w:color="auto"/>
            <w:left w:val="none" w:sz="0" w:space="0" w:color="auto"/>
            <w:bottom w:val="none" w:sz="0" w:space="0" w:color="auto"/>
            <w:right w:val="none" w:sz="0" w:space="0" w:color="auto"/>
          </w:divBdr>
        </w:div>
        <w:div w:id="569734917">
          <w:marLeft w:val="360"/>
          <w:marRight w:val="0"/>
          <w:marTop w:val="200"/>
          <w:marBottom w:val="0"/>
          <w:divBdr>
            <w:top w:val="none" w:sz="0" w:space="0" w:color="auto"/>
            <w:left w:val="none" w:sz="0" w:space="0" w:color="auto"/>
            <w:bottom w:val="none" w:sz="0" w:space="0" w:color="auto"/>
            <w:right w:val="none" w:sz="0" w:space="0" w:color="auto"/>
          </w:divBdr>
        </w:div>
        <w:div w:id="716395206">
          <w:marLeft w:val="360"/>
          <w:marRight w:val="0"/>
          <w:marTop w:val="200"/>
          <w:marBottom w:val="0"/>
          <w:divBdr>
            <w:top w:val="none" w:sz="0" w:space="0" w:color="auto"/>
            <w:left w:val="none" w:sz="0" w:space="0" w:color="auto"/>
            <w:bottom w:val="none" w:sz="0" w:space="0" w:color="auto"/>
            <w:right w:val="none" w:sz="0" w:space="0" w:color="auto"/>
          </w:divBdr>
        </w:div>
        <w:div w:id="473135007">
          <w:marLeft w:val="360"/>
          <w:marRight w:val="0"/>
          <w:marTop w:val="200"/>
          <w:marBottom w:val="0"/>
          <w:divBdr>
            <w:top w:val="none" w:sz="0" w:space="0" w:color="auto"/>
            <w:left w:val="none" w:sz="0" w:space="0" w:color="auto"/>
            <w:bottom w:val="none" w:sz="0" w:space="0" w:color="auto"/>
            <w:right w:val="none" w:sz="0" w:space="0" w:color="auto"/>
          </w:divBdr>
        </w:div>
      </w:divsChild>
    </w:div>
    <w:div w:id="869294085">
      <w:bodyDiv w:val="1"/>
      <w:marLeft w:val="0"/>
      <w:marRight w:val="0"/>
      <w:marTop w:val="0"/>
      <w:marBottom w:val="0"/>
      <w:divBdr>
        <w:top w:val="none" w:sz="0" w:space="0" w:color="auto"/>
        <w:left w:val="none" w:sz="0" w:space="0" w:color="auto"/>
        <w:bottom w:val="none" w:sz="0" w:space="0" w:color="auto"/>
        <w:right w:val="none" w:sz="0" w:space="0" w:color="auto"/>
      </w:divBdr>
      <w:divsChild>
        <w:div w:id="1853297580">
          <w:marLeft w:val="0"/>
          <w:marRight w:val="0"/>
          <w:marTop w:val="0"/>
          <w:marBottom w:val="0"/>
          <w:divBdr>
            <w:top w:val="none" w:sz="0" w:space="0" w:color="auto"/>
            <w:left w:val="none" w:sz="0" w:space="0" w:color="auto"/>
            <w:bottom w:val="none" w:sz="0" w:space="0" w:color="auto"/>
            <w:right w:val="none" w:sz="0" w:space="0" w:color="auto"/>
          </w:divBdr>
          <w:divsChild>
            <w:div w:id="1913613449">
              <w:marLeft w:val="0"/>
              <w:marRight w:val="0"/>
              <w:marTop w:val="0"/>
              <w:marBottom w:val="0"/>
              <w:divBdr>
                <w:top w:val="none" w:sz="0" w:space="0" w:color="auto"/>
                <w:left w:val="none" w:sz="0" w:space="0" w:color="auto"/>
                <w:bottom w:val="none" w:sz="0" w:space="0" w:color="auto"/>
                <w:right w:val="none" w:sz="0" w:space="0" w:color="auto"/>
              </w:divBdr>
              <w:divsChild>
                <w:div w:id="8218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29569">
      <w:bodyDiv w:val="1"/>
      <w:marLeft w:val="0"/>
      <w:marRight w:val="0"/>
      <w:marTop w:val="0"/>
      <w:marBottom w:val="0"/>
      <w:divBdr>
        <w:top w:val="none" w:sz="0" w:space="0" w:color="auto"/>
        <w:left w:val="none" w:sz="0" w:space="0" w:color="auto"/>
        <w:bottom w:val="none" w:sz="0" w:space="0" w:color="auto"/>
        <w:right w:val="none" w:sz="0" w:space="0" w:color="auto"/>
      </w:divBdr>
    </w:div>
    <w:div w:id="918249627">
      <w:bodyDiv w:val="1"/>
      <w:marLeft w:val="0"/>
      <w:marRight w:val="0"/>
      <w:marTop w:val="0"/>
      <w:marBottom w:val="0"/>
      <w:divBdr>
        <w:top w:val="none" w:sz="0" w:space="0" w:color="auto"/>
        <w:left w:val="none" w:sz="0" w:space="0" w:color="auto"/>
        <w:bottom w:val="none" w:sz="0" w:space="0" w:color="auto"/>
        <w:right w:val="none" w:sz="0" w:space="0" w:color="auto"/>
      </w:divBdr>
    </w:div>
    <w:div w:id="936324200">
      <w:bodyDiv w:val="1"/>
      <w:marLeft w:val="0"/>
      <w:marRight w:val="0"/>
      <w:marTop w:val="0"/>
      <w:marBottom w:val="0"/>
      <w:divBdr>
        <w:top w:val="none" w:sz="0" w:space="0" w:color="auto"/>
        <w:left w:val="none" w:sz="0" w:space="0" w:color="auto"/>
        <w:bottom w:val="none" w:sz="0" w:space="0" w:color="auto"/>
        <w:right w:val="none" w:sz="0" w:space="0" w:color="auto"/>
      </w:divBdr>
    </w:div>
    <w:div w:id="946693792">
      <w:bodyDiv w:val="1"/>
      <w:marLeft w:val="0"/>
      <w:marRight w:val="0"/>
      <w:marTop w:val="0"/>
      <w:marBottom w:val="0"/>
      <w:divBdr>
        <w:top w:val="none" w:sz="0" w:space="0" w:color="auto"/>
        <w:left w:val="none" w:sz="0" w:space="0" w:color="auto"/>
        <w:bottom w:val="none" w:sz="0" w:space="0" w:color="auto"/>
        <w:right w:val="none" w:sz="0" w:space="0" w:color="auto"/>
      </w:divBdr>
      <w:divsChild>
        <w:div w:id="839084401">
          <w:marLeft w:val="0"/>
          <w:marRight w:val="0"/>
          <w:marTop w:val="0"/>
          <w:marBottom w:val="0"/>
          <w:divBdr>
            <w:top w:val="none" w:sz="0" w:space="0" w:color="auto"/>
            <w:left w:val="none" w:sz="0" w:space="0" w:color="auto"/>
            <w:bottom w:val="none" w:sz="0" w:space="0" w:color="auto"/>
            <w:right w:val="none" w:sz="0" w:space="0" w:color="auto"/>
          </w:divBdr>
          <w:divsChild>
            <w:div w:id="1650019428">
              <w:marLeft w:val="0"/>
              <w:marRight w:val="0"/>
              <w:marTop w:val="0"/>
              <w:marBottom w:val="0"/>
              <w:divBdr>
                <w:top w:val="none" w:sz="0" w:space="0" w:color="auto"/>
                <w:left w:val="none" w:sz="0" w:space="0" w:color="auto"/>
                <w:bottom w:val="none" w:sz="0" w:space="0" w:color="auto"/>
                <w:right w:val="none" w:sz="0" w:space="0" w:color="auto"/>
              </w:divBdr>
              <w:divsChild>
                <w:div w:id="14643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162310">
      <w:bodyDiv w:val="1"/>
      <w:marLeft w:val="0"/>
      <w:marRight w:val="0"/>
      <w:marTop w:val="0"/>
      <w:marBottom w:val="0"/>
      <w:divBdr>
        <w:top w:val="none" w:sz="0" w:space="0" w:color="auto"/>
        <w:left w:val="none" w:sz="0" w:space="0" w:color="auto"/>
        <w:bottom w:val="none" w:sz="0" w:space="0" w:color="auto"/>
        <w:right w:val="none" w:sz="0" w:space="0" w:color="auto"/>
      </w:divBdr>
      <w:divsChild>
        <w:div w:id="920869747">
          <w:marLeft w:val="1080"/>
          <w:marRight w:val="0"/>
          <w:marTop w:val="100"/>
          <w:marBottom w:val="0"/>
          <w:divBdr>
            <w:top w:val="none" w:sz="0" w:space="0" w:color="auto"/>
            <w:left w:val="none" w:sz="0" w:space="0" w:color="auto"/>
            <w:bottom w:val="none" w:sz="0" w:space="0" w:color="auto"/>
            <w:right w:val="none" w:sz="0" w:space="0" w:color="auto"/>
          </w:divBdr>
        </w:div>
        <w:div w:id="119494933">
          <w:marLeft w:val="1080"/>
          <w:marRight w:val="0"/>
          <w:marTop w:val="100"/>
          <w:marBottom w:val="0"/>
          <w:divBdr>
            <w:top w:val="none" w:sz="0" w:space="0" w:color="auto"/>
            <w:left w:val="none" w:sz="0" w:space="0" w:color="auto"/>
            <w:bottom w:val="none" w:sz="0" w:space="0" w:color="auto"/>
            <w:right w:val="none" w:sz="0" w:space="0" w:color="auto"/>
          </w:divBdr>
        </w:div>
        <w:div w:id="1163669274">
          <w:marLeft w:val="360"/>
          <w:marRight w:val="0"/>
          <w:marTop w:val="200"/>
          <w:marBottom w:val="0"/>
          <w:divBdr>
            <w:top w:val="none" w:sz="0" w:space="0" w:color="auto"/>
            <w:left w:val="none" w:sz="0" w:space="0" w:color="auto"/>
            <w:bottom w:val="none" w:sz="0" w:space="0" w:color="auto"/>
            <w:right w:val="none" w:sz="0" w:space="0" w:color="auto"/>
          </w:divBdr>
        </w:div>
        <w:div w:id="2135441684">
          <w:marLeft w:val="1080"/>
          <w:marRight w:val="0"/>
          <w:marTop w:val="100"/>
          <w:marBottom w:val="0"/>
          <w:divBdr>
            <w:top w:val="none" w:sz="0" w:space="0" w:color="auto"/>
            <w:left w:val="none" w:sz="0" w:space="0" w:color="auto"/>
            <w:bottom w:val="none" w:sz="0" w:space="0" w:color="auto"/>
            <w:right w:val="none" w:sz="0" w:space="0" w:color="auto"/>
          </w:divBdr>
        </w:div>
        <w:div w:id="1673023596">
          <w:marLeft w:val="1800"/>
          <w:marRight w:val="0"/>
          <w:marTop w:val="100"/>
          <w:marBottom w:val="0"/>
          <w:divBdr>
            <w:top w:val="none" w:sz="0" w:space="0" w:color="auto"/>
            <w:left w:val="none" w:sz="0" w:space="0" w:color="auto"/>
            <w:bottom w:val="none" w:sz="0" w:space="0" w:color="auto"/>
            <w:right w:val="none" w:sz="0" w:space="0" w:color="auto"/>
          </w:divBdr>
        </w:div>
        <w:div w:id="435637077">
          <w:marLeft w:val="1800"/>
          <w:marRight w:val="0"/>
          <w:marTop w:val="100"/>
          <w:marBottom w:val="0"/>
          <w:divBdr>
            <w:top w:val="none" w:sz="0" w:space="0" w:color="auto"/>
            <w:left w:val="none" w:sz="0" w:space="0" w:color="auto"/>
            <w:bottom w:val="none" w:sz="0" w:space="0" w:color="auto"/>
            <w:right w:val="none" w:sz="0" w:space="0" w:color="auto"/>
          </w:divBdr>
        </w:div>
        <w:div w:id="601108574">
          <w:marLeft w:val="1800"/>
          <w:marRight w:val="0"/>
          <w:marTop w:val="100"/>
          <w:marBottom w:val="0"/>
          <w:divBdr>
            <w:top w:val="none" w:sz="0" w:space="0" w:color="auto"/>
            <w:left w:val="none" w:sz="0" w:space="0" w:color="auto"/>
            <w:bottom w:val="none" w:sz="0" w:space="0" w:color="auto"/>
            <w:right w:val="none" w:sz="0" w:space="0" w:color="auto"/>
          </w:divBdr>
        </w:div>
        <w:div w:id="1543055434">
          <w:marLeft w:val="1800"/>
          <w:marRight w:val="0"/>
          <w:marTop w:val="100"/>
          <w:marBottom w:val="0"/>
          <w:divBdr>
            <w:top w:val="none" w:sz="0" w:space="0" w:color="auto"/>
            <w:left w:val="none" w:sz="0" w:space="0" w:color="auto"/>
            <w:bottom w:val="none" w:sz="0" w:space="0" w:color="auto"/>
            <w:right w:val="none" w:sz="0" w:space="0" w:color="auto"/>
          </w:divBdr>
        </w:div>
        <w:div w:id="1951351043">
          <w:marLeft w:val="1080"/>
          <w:marRight w:val="0"/>
          <w:marTop w:val="100"/>
          <w:marBottom w:val="0"/>
          <w:divBdr>
            <w:top w:val="none" w:sz="0" w:space="0" w:color="auto"/>
            <w:left w:val="none" w:sz="0" w:space="0" w:color="auto"/>
            <w:bottom w:val="none" w:sz="0" w:space="0" w:color="auto"/>
            <w:right w:val="none" w:sz="0" w:space="0" w:color="auto"/>
          </w:divBdr>
        </w:div>
        <w:div w:id="847063485">
          <w:marLeft w:val="360"/>
          <w:marRight w:val="0"/>
          <w:marTop w:val="200"/>
          <w:marBottom w:val="0"/>
          <w:divBdr>
            <w:top w:val="none" w:sz="0" w:space="0" w:color="auto"/>
            <w:left w:val="none" w:sz="0" w:space="0" w:color="auto"/>
            <w:bottom w:val="none" w:sz="0" w:space="0" w:color="auto"/>
            <w:right w:val="none" w:sz="0" w:space="0" w:color="auto"/>
          </w:divBdr>
        </w:div>
        <w:div w:id="977414911">
          <w:marLeft w:val="1080"/>
          <w:marRight w:val="0"/>
          <w:marTop w:val="100"/>
          <w:marBottom w:val="0"/>
          <w:divBdr>
            <w:top w:val="none" w:sz="0" w:space="0" w:color="auto"/>
            <w:left w:val="none" w:sz="0" w:space="0" w:color="auto"/>
            <w:bottom w:val="none" w:sz="0" w:space="0" w:color="auto"/>
            <w:right w:val="none" w:sz="0" w:space="0" w:color="auto"/>
          </w:divBdr>
        </w:div>
        <w:div w:id="1969623439">
          <w:marLeft w:val="1080"/>
          <w:marRight w:val="0"/>
          <w:marTop w:val="100"/>
          <w:marBottom w:val="0"/>
          <w:divBdr>
            <w:top w:val="none" w:sz="0" w:space="0" w:color="auto"/>
            <w:left w:val="none" w:sz="0" w:space="0" w:color="auto"/>
            <w:bottom w:val="none" w:sz="0" w:space="0" w:color="auto"/>
            <w:right w:val="none" w:sz="0" w:space="0" w:color="auto"/>
          </w:divBdr>
        </w:div>
      </w:divsChild>
    </w:div>
    <w:div w:id="982539796">
      <w:bodyDiv w:val="1"/>
      <w:marLeft w:val="0"/>
      <w:marRight w:val="0"/>
      <w:marTop w:val="0"/>
      <w:marBottom w:val="0"/>
      <w:divBdr>
        <w:top w:val="none" w:sz="0" w:space="0" w:color="auto"/>
        <w:left w:val="none" w:sz="0" w:space="0" w:color="auto"/>
        <w:bottom w:val="none" w:sz="0" w:space="0" w:color="auto"/>
        <w:right w:val="none" w:sz="0" w:space="0" w:color="auto"/>
      </w:divBdr>
      <w:divsChild>
        <w:div w:id="1686901378">
          <w:marLeft w:val="0"/>
          <w:marRight w:val="0"/>
          <w:marTop w:val="0"/>
          <w:marBottom w:val="0"/>
          <w:divBdr>
            <w:top w:val="none" w:sz="0" w:space="0" w:color="auto"/>
            <w:left w:val="none" w:sz="0" w:space="0" w:color="auto"/>
            <w:bottom w:val="none" w:sz="0" w:space="0" w:color="auto"/>
            <w:right w:val="none" w:sz="0" w:space="0" w:color="auto"/>
          </w:divBdr>
          <w:divsChild>
            <w:div w:id="546184747">
              <w:marLeft w:val="0"/>
              <w:marRight w:val="0"/>
              <w:marTop w:val="0"/>
              <w:marBottom w:val="0"/>
              <w:divBdr>
                <w:top w:val="none" w:sz="0" w:space="0" w:color="auto"/>
                <w:left w:val="none" w:sz="0" w:space="0" w:color="auto"/>
                <w:bottom w:val="none" w:sz="0" w:space="0" w:color="auto"/>
                <w:right w:val="none" w:sz="0" w:space="0" w:color="auto"/>
              </w:divBdr>
              <w:divsChild>
                <w:div w:id="190776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7132">
          <w:marLeft w:val="0"/>
          <w:marRight w:val="0"/>
          <w:marTop w:val="0"/>
          <w:marBottom w:val="0"/>
          <w:divBdr>
            <w:top w:val="none" w:sz="0" w:space="0" w:color="auto"/>
            <w:left w:val="none" w:sz="0" w:space="0" w:color="auto"/>
            <w:bottom w:val="none" w:sz="0" w:space="0" w:color="auto"/>
            <w:right w:val="none" w:sz="0" w:space="0" w:color="auto"/>
          </w:divBdr>
          <w:divsChild>
            <w:div w:id="1599212744">
              <w:marLeft w:val="0"/>
              <w:marRight w:val="0"/>
              <w:marTop w:val="0"/>
              <w:marBottom w:val="0"/>
              <w:divBdr>
                <w:top w:val="none" w:sz="0" w:space="0" w:color="auto"/>
                <w:left w:val="none" w:sz="0" w:space="0" w:color="auto"/>
                <w:bottom w:val="none" w:sz="0" w:space="0" w:color="auto"/>
                <w:right w:val="none" w:sz="0" w:space="0" w:color="auto"/>
              </w:divBdr>
              <w:divsChild>
                <w:div w:id="371265986">
                  <w:marLeft w:val="0"/>
                  <w:marRight w:val="0"/>
                  <w:marTop w:val="0"/>
                  <w:marBottom w:val="0"/>
                  <w:divBdr>
                    <w:top w:val="none" w:sz="0" w:space="0" w:color="auto"/>
                    <w:left w:val="none" w:sz="0" w:space="0" w:color="auto"/>
                    <w:bottom w:val="none" w:sz="0" w:space="0" w:color="auto"/>
                    <w:right w:val="none" w:sz="0" w:space="0" w:color="auto"/>
                  </w:divBdr>
                </w:div>
                <w:div w:id="14842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7298">
      <w:bodyDiv w:val="1"/>
      <w:marLeft w:val="0"/>
      <w:marRight w:val="0"/>
      <w:marTop w:val="0"/>
      <w:marBottom w:val="0"/>
      <w:divBdr>
        <w:top w:val="none" w:sz="0" w:space="0" w:color="auto"/>
        <w:left w:val="none" w:sz="0" w:space="0" w:color="auto"/>
        <w:bottom w:val="none" w:sz="0" w:space="0" w:color="auto"/>
        <w:right w:val="none" w:sz="0" w:space="0" w:color="auto"/>
      </w:divBdr>
    </w:div>
    <w:div w:id="1107387669">
      <w:bodyDiv w:val="1"/>
      <w:marLeft w:val="0"/>
      <w:marRight w:val="0"/>
      <w:marTop w:val="0"/>
      <w:marBottom w:val="0"/>
      <w:divBdr>
        <w:top w:val="none" w:sz="0" w:space="0" w:color="auto"/>
        <w:left w:val="none" w:sz="0" w:space="0" w:color="auto"/>
        <w:bottom w:val="none" w:sz="0" w:space="0" w:color="auto"/>
        <w:right w:val="none" w:sz="0" w:space="0" w:color="auto"/>
      </w:divBdr>
      <w:divsChild>
        <w:div w:id="1904027379">
          <w:marLeft w:val="0"/>
          <w:marRight w:val="0"/>
          <w:marTop w:val="0"/>
          <w:marBottom w:val="0"/>
          <w:divBdr>
            <w:top w:val="none" w:sz="0" w:space="0" w:color="auto"/>
            <w:left w:val="none" w:sz="0" w:space="0" w:color="auto"/>
            <w:bottom w:val="none" w:sz="0" w:space="0" w:color="auto"/>
            <w:right w:val="none" w:sz="0" w:space="0" w:color="auto"/>
          </w:divBdr>
          <w:divsChild>
            <w:div w:id="1810629071">
              <w:marLeft w:val="0"/>
              <w:marRight w:val="0"/>
              <w:marTop w:val="0"/>
              <w:marBottom w:val="0"/>
              <w:divBdr>
                <w:top w:val="none" w:sz="0" w:space="0" w:color="auto"/>
                <w:left w:val="none" w:sz="0" w:space="0" w:color="auto"/>
                <w:bottom w:val="none" w:sz="0" w:space="0" w:color="auto"/>
                <w:right w:val="none" w:sz="0" w:space="0" w:color="auto"/>
              </w:divBdr>
              <w:divsChild>
                <w:div w:id="206486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84002">
      <w:bodyDiv w:val="1"/>
      <w:marLeft w:val="0"/>
      <w:marRight w:val="0"/>
      <w:marTop w:val="0"/>
      <w:marBottom w:val="0"/>
      <w:divBdr>
        <w:top w:val="none" w:sz="0" w:space="0" w:color="auto"/>
        <w:left w:val="none" w:sz="0" w:space="0" w:color="auto"/>
        <w:bottom w:val="none" w:sz="0" w:space="0" w:color="auto"/>
        <w:right w:val="none" w:sz="0" w:space="0" w:color="auto"/>
      </w:divBdr>
    </w:div>
    <w:div w:id="1147894814">
      <w:bodyDiv w:val="1"/>
      <w:marLeft w:val="0"/>
      <w:marRight w:val="0"/>
      <w:marTop w:val="0"/>
      <w:marBottom w:val="0"/>
      <w:divBdr>
        <w:top w:val="none" w:sz="0" w:space="0" w:color="auto"/>
        <w:left w:val="none" w:sz="0" w:space="0" w:color="auto"/>
        <w:bottom w:val="none" w:sz="0" w:space="0" w:color="auto"/>
        <w:right w:val="none" w:sz="0" w:space="0" w:color="auto"/>
      </w:divBdr>
    </w:div>
    <w:div w:id="1151561061">
      <w:bodyDiv w:val="1"/>
      <w:marLeft w:val="0"/>
      <w:marRight w:val="0"/>
      <w:marTop w:val="0"/>
      <w:marBottom w:val="0"/>
      <w:divBdr>
        <w:top w:val="none" w:sz="0" w:space="0" w:color="auto"/>
        <w:left w:val="none" w:sz="0" w:space="0" w:color="auto"/>
        <w:bottom w:val="none" w:sz="0" w:space="0" w:color="auto"/>
        <w:right w:val="none" w:sz="0" w:space="0" w:color="auto"/>
      </w:divBdr>
    </w:div>
    <w:div w:id="1154645458">
      <w:bodyDiv w:val="1"/>
      <w:marLeft w:val="0"/>
      <w:marRight w:val="0"/>
      <w:marTop w:val="0"/>
      <w:marBottom w:val="0"/>
      <w:divBdr>
        <w:top w:val="none" w:sz="0" w:space="0" w:color="auto"/>
        <w:left w:val="none" w:sz="0" w:space="0" w:color="auto"/>
        <w:bottom w:val="none" w:sz="0" w:space="0" w:color="auto"/>
        <w:right w:val="none" w:sz="0" w:space="0" w:color="auto"/>
      </w:divBdr>
    </w:div>
    <w:div w:id="1157302604">
      <w:bodyDiv w:val="1"/>
      <w:marLeft w:val="0"/>
      <w:marRight w:val="0"/>
      <w:marTop w:val="0"/>
      <w:marBottom w:val="0"/>
      <w:divBdr>
        <w:top w:val="none" w:sz="0" w:space="0" w:color="auto"/>
        <w:left w:val="none" w:sz="0" w:space="0" w:color="auto"/>
        <w:bottom w:val="none" w:sz="0" w:space="0" w:color="auto"/>
        <w:right w:val="none" w:sz="0" w:space="0" w:color="auto"/>
      </w:divBdr>
    </w:div>
    <w:div w:id="1176993482">
      <w:bodyDiv w:val="1"/>
      <w:marLeft w:val="0"/>
      <w:marRight w:val="0"/>
      <w:marTop w:val="0"/>
      <w:marBottom w:val="0"/>
      <w:divBdr>
        <w:top w:val="none" w:sz="0" w:space="0" w:color="auto"/>
        <w:left w:val="none" w:sz="0" w:space="0" w:color="auto"/>
        <w:bottom w:val="none" w:sz="0" w:space="0" w:color="auto"/>
        <w:right w:val="none" w:sz="0" w:space="0" w:color="auto"/>
      </w:divBdr>
      <w:divsChild>
        <w:div w:id="1750808896">
          <w:marLeft w:val="360"/>
          <w:marRight w:val="0"/>
          <w:marTop w:val="200"/>
          <w:marBottom w:val="0"/>
          <w:divBdr>
            <w:top w:val="none" w:sz="0" w:space="0" w:color="auto"/>
            <w:left w:val="none" w:sz="0" w:space="0" w:color="auto"/>
            <w:bottom w:val="none" w:sz="0" w:space="0" w:color="auto"/>
            <w:right w:val="none" w:sz="0" w:space="0" w:color="auto"/>
          </w:divBdr>
        </w:div>
        <w:div w:id="2051877669">
          <w:marLeft w:val="360"/>
          <w:marRight w:val="0"/>
          <w:marTop w:val="200"/>
          <w:marBottom w:val="0"/>
          <w:divBdr>
            <w:top w:val="none" w:sz="0" w:space="0" w:color="auto"/>
            <w:left w:val="none" w:sz="0" w:space="0" w:color="auto"/>
            <w:bottom w:val="none" w:sz="0" w:space="0" w:color="auto"/>
            <w:right w:val="none" w:sz="0" w:space="0" w:color="auto"/>
          </w:divBdr>
        </w:div>
        <w:div w:id="1945532478">
          <w:marLeft w:val="360"/>
          <w:marRight w:val="0"/>
          <w:marTop w:val="200"/>
          <w:marBottom w:val="0"/>
          <w:divBdr>
            <w:top w:val="none" w:sz="0" w:space="0" w:color="auto"/>
            <w:left w:val="none" w:sz="0" w:space="0" w:color="auto"/>
            <w:bottom w:val="none" w:sz="0" w:space="0" w:color="auto"/>
            <w:right w:val="none" w:sz="0" w:space="0" w:color="auto"/>
          </w:divBdr>
        </w:div>
        <w:div w:id="780302279">
          <w:marLeft w:val="360"/>
          <w:marRight w:val="0"/>
          <w:marTop w:val="200"/>
          <w:marBottom w:val="0"/>
          <w:divBdr>
            <w:top w:val="none" w:sz="0" w:space="0" w:color="auto"/>
            <w:left w:val="none" w:sz="0" w:space="0" w:color="auto"/>
            <w:bottom w:val="none" w:sz="0" w:space="0" w:color="auto"/>
            <w:right w:val="none" w:sz="0" w:space="0" w:color="auto"/>
          </w:divBdr>
        </w:div>
        <w:div w:id="276062324">
          <w:marLeft w:val="360"/>
          <w:marRight w:val="0"/>
          <w:marTop w:val="200"/>
          <w:marBottom w:val="0"/>
          <w:divBdr>
            <w:top w:val="none" w:sz="0" w:space="0" w:color="auto"/>
            <w:left w:val="none" w:sz="0" w:space="0" w:color="auto"/>
            <w:bottom w:val="none" w:sz="0" w:space="0" w:color="auto"/>
            <w:right w:val="none" w:sz="0" w:space="0" w:color="auto"/>
          </w:divBdr>
        </w:div>
        <w:div w:id="927664204">
          <w:marLeft w:val="360"/>
          <w:marRight w:val="0"/>
          <w:marTop w:val="200"/>
          <w:marBottom w:val="0"/>
          <w:divBdr>
            <w:top w:val="none" w:sz="0" w:space="0" w:color="auto"/>
            <w:left w:val="none" w:sz="0" w:space="0" w:color="auto"/>
            <w:bottom w:val="none" w:sz="0" w:space="0" w:color="auto"/>
            <w:right w:val="none" w:sz="0" w:space="0" w:color="auto"/>
          </w:divBdr>
        </w:div>
      </w:divsChild>
    </w:div>
    <w:div w:id="1195730684">
      <w:bodyDiv w:val="1"/>
      <w:marLeft w:val="0"/>
      <w:marRight w:val="0"/>
      <w:marTop w:val="0"/>
      <w:marBottom w:val="0"/>
      <w:divBdr>
        <w:top w:val="none" w:sz="0" w:space="0" w:color="auto"/>
        <w:left w:val="none" w:sz="0" w:space="0" w:color="auto"/>
        <w:bottom w:val="none" w:sz="0" w:space="0" w:color="auto"/>
        <w:right w:val="none" w:sz="0" w:space="0" w:color="auto"/>
      </w:divBdr>
      <w:divsChild>
        <w:div w:id="1983196422">
          <w:marLeft w:val="0"/>
          <w:marRight w:val="0"/>
          <w:marTop w:val="0"/>
          <w:marBottom w:val="0"/>
          <w:divBdr>
            <w:top w:val="none" w:sz="0" w:space="0" w:color="auto"/>
            <w:left w:val="none" w:sz="0" w:space="0" w:color="auto"/>
            <w:bottom w:val="none" w:sz="0" w:space="0" w:color="auto"/>
            <w:right w:val="none" w:sz="0" w:space="0" w:color="auto"/>
          </w:divBdr>
          <w:divsChild>
            <w:div w:id="1828668052">
              <w:marLeft w:val="0"/>
              <w:marRight w:val="0"/>
              <w:marTop w:val="0"/>
              <w:marBottom w:val="0"/>
              <w:divBdr>
                <w:top w:val="none" w:sz="0" w:space="0" w:color="auto"/>
                <w:left w:val="none" w:sz="0" w:space="0" w:color="auto"/>
                <w:bottom w:val="none" w:sz="0" w:space="0" w:color="auto"/>
                <w:right w:val="none" w:sz="0" w:space="0" w:color="auto"/>
              </w:divBdr>
              <w:divsChild>
                <w:div w:id="605576088">
                  <w:marLeft w:val="0"/>
                  <w:marRight w:val="0"/>
                  <w:marTop w:val="0"/>
                  <w:marBottom w:val="0"/>
                  <w:divBdr>
                    <w:top w:val="none" w:sz="0" w:space="0" w:color="auto"/>
                    <w:left w:val="none" w:sz="0" w:space="0" w:color="auto"/>
                    <w:bottom w:val="none" w:sz="0" w:space="0" w:color="auto"/>
                    <w:right w:val="none" w:sz="0" w:space="0" w:color="auto"/>
                  </w:divBdr>
                </w:div>
              </w:divsChild>
            </w:div>
            <w:div w:id="270557046">
              <w:marLeft w:val="0"/>
              <w:marRight w:val="0"/>
              <w:marTop w:val="0"/>
              <w:marBottom w:val="0"/>
              <w:divBdr>
                <w:top w:val="none" w:sz="0" w:space="0" w:color="auto"/>
                <w:left w:val="none" w:sz="0" w:space="0" w:color="auto"/>
                <w:bottom w:val="none" w:sz="0" w:space="0" w:color="auto"/>
                <w:right w:val="none" w:sz="0" w:space="0" w:color="auto"/>
              </w:divBdr>
              <w:divsChild>
                <w:div w:id="1183475186">
                  <w:marLeft w:val="0"/>
                  <w:marRight w:val="0"/>
                  <w:marTop w:val="0"/>
                  <w:marBottom w:val="0"/>
                  <w:divBdr>
                    <w:top w:val="none" w:sz="0" w:space="0" w:color="auto"/>
                    <w:left w:val="none" w:sz="0" w:space="0" w:color="auto"/>
                    <w:bottom w:val="none" w:sz="0" w:space="0" w:color="auto"/>
                    <w:right w:val="none" w:sz="0" w:space="0" w:color="auto"/>
                  </w:divBdr>
                </w:div>
                <w:div w:id="194124188">
                  <w:marLeft w:val="0"/>
                  <w:marRight w:val="0"/>
                  <w:marTop w:val="0"/>
                  <w:marBottom w:val="0"/>
                  <w:divBdr>
                    <w:top w:val="none" w:sz="0" w:space="0" w:color="auto"/>
                    <w:left w:val="none" w:sz="0" w:space="0" w:color="auto"/>
                    <w:bottom w:val="none" w:sz="0" w:space="0" w:color="auto"/>
                    <w:right w:val="none" w:sz="0" w:space="0" w:color="auto"/>
                  </w:divBdr>
                </w:div>
              </w:divsChild>
            </w:div>
            <w:div w:id="544950060">
              <w:marLeft w:val="0"/>
              <w:marRight w:val="0"/>
              <w:marTop w:val="0"/>
              <w:marBottom w:val="0"/>
              <w:divBdr>
                <w:top w:val="none" w:sz="0" w:space="0" w:color="auto"/>
                <w:left w:val="none" w:sz="0" w:space="0" w:color="auto"/>
                <w:bottom w:val="none" w:sz="0" w:space="0" w:color="auto"/>
                <w:right w:val="none" w:sz="0" w:space="0" w:color="auto"/>
              </w:divBdr>
              <w:divsChild>
                <w:div w:id="6970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9165">
      <w:bodyDiv w:val="1"/>
      <w:marLeft w:val="0"/>
      <w:marRight w:val="0"/>
      <w:marTop w:val="0"/>
      <w:marBottom w:val="0"/>
      <w:divBdr>
        <w:top w:val="none" w:sz="0" w:space="0" w:color="auto"/>
        <w:left w:val="none" w:sz="0" w:space="0" w:color="auto"/>
        <w:bottom w:val="none" w:sz="0" w:space="0" w:color="auto"/>
        <w:right w:val="none" w:sz="0" w:space="0" w:color="auto"/>
      </w:divBdr>
    </w:div>
    <w:div w:id="1207570093">
      <w:bodyDiv w:val="1"/>
      <w:marLeft w:val="0"/>
      <w:marRight w:val="0"/>
      <w:marTop w:val="0"/>
      <w:marBottom w:val="0"/>
      <w:divBdr>
        <w:top w:val="none" w:sz="0" w:space="0" w:color="auto"/>
        <w:left w:val="none" w:sz="0" w:space="0" w:color="auto"/>
        <w:bottom w:val="none" w:sz="0" w:space="0" w:color="auto"/>
        <w:right w:val="none" w:sz="0" w:space="0" w:color="auto"/>
      </w:divBdr>
      <w:divsChild>
        <w:div w:id="2046367961">
          <w:marLeft w:val="0"/>
          <w:marRight w:val="0"/>
          <w:marTop w:val="0"/>
          <w:marBottom w:val="0"/>
          <w:divBdr>
            <w:top w:val="none" w:sz="0" w:space="0" w:color="auto"/>
            <w:left w:val="none" w:sz="0" w:space="0" w:color="auto"/>
            <w:bottom w:val="none" w:sz="0" w:space="0" w:color="auto"/>
            <w:right w:val="none" w:sz="0" w:space="0" w:color="auto"/>
          </w:divBdr>
          <w:divsChild>
            <w:div w:id="1779253292">
              <w:marLeft w:val="0"/>
              <w:marRight w:val="0"/>
              <w:marTop w:val="0"/>
              <w:marBottom w:val="0"/>
              <w:divBdr>
                <w:top w:val="none" w:sz="0" w:space="0" w:color="auto"/>
                <w:left w:val="none" w:sz="0" w:space="0" w:color="auto"/>
                <w:bottom w:val="none" w:sz="0" w:space="0" w:color="auto"/>
                <w:right w:val="none" w:sz="0" w:space="0" w:color="auto"/>
              </w:divBdr>
              <w:divsChild>
                <w:div w:id="9574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7547">
      <w:bodyDiv w:val="1"/>
      <w:marLeft w:val="0"/>
      <w:marRight w:val="0"/>
      <w:marTop w:val="0"/>
      <w:marBottom w:val="0"/>
      <w:divBdr>
        <w:top w:val="none" w:sz="0" w:space="0" w:color="auto"/>
        <w:left w:val="none" w:sz="0" w:space="0" w:color="auto"/>
        <w:bottom w:val="none" w:sz="0" w:space="0" w:color="auto"/>
        <w:right w:val="none" w:sz="0" w:space="0" w:color="auto"/>
      </w:divBdr>
      <w:divsChild>
        <w:div w:id="1264337473">
          <w:marLeft w:val="0"/>
          <w:marRight w:val="0"/>
          <w:marTop w:val="0"/>
          <w:marBottom w:val="0"/>
          <w:divBdr>
            <w:top w:val="none" w:sz="0" w:space="0" w:color="auto"/>
            <w:left w:val="none" w:sz="0" w:space="0" w:color="auto"/>
            <w:bottom w:val="none" w:sz="0" w:space="0" w:color="auto"/>
            <w:right w:val="none" w:sz="0" w:space="0" w:color="auto"/>
          </w:divBdr>
          <w:divsChild>
            <w:div w:id="362292148">
              <w:marLeft w:val="0"/>
              <w:marRight w:val="0"/>
              <w:marTop w:val="0"/>
              <w:marBottom w:val="0"/>
              <w:divBdr>
                <w:top w:val="none" w:sz="0" w:space="0" w:color="auto"/>
                <w:left w:val="none" w:sz="0" w:space="0" w:color="auto"/>
                <w:bottom w:val="none" w:sz="0" w:space="0" w:color="auto"/>
                <w:right w:val="none" w:sz="0" w:space="0" w:color="auto"/>
              </w:divBdr>
              <w:divsChild>
                <w:div w:id="19258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6784">
      <w:bodyDiv w:val="1"/>
      <w:marLeft w:val="0"/>
      <w:marRight w:val="0"/>
      <w:marTop w:val="0"/>
      <w:marBottom w:val="0"/>
      <w:divBdr>
        <w:top w:val="none" w:sz="0" w:space="0" w:color="auto"/>
        <w:left w:val="none" w:sz="0" w:space="0" w:color="auto"/>
        <w:bottom w:val="none" w:sz="0" w:space="0" w:color="auto"/>
        <w:right w:val="none" w:sz="0" w:space="0" w:color="auto"/>
      </w:divBdr>
    </w:div>
    <w:div w:id="1249583736">
      <w:bodyDiv w:val="1"/>
      <w:marLeft w:val="0"/>
      <w:marRight w:val="0"/>
      <w:marTop w:val="0"/>
      <w:marBottom w:val="0"/>
      <w:divBdr>
        <w:top w:val="none" w:sz="0" w:space="0" w:color="auto"/>
        <w:left w:val="none" w:sz="0" w:space="0" w:color="auto"/>
        <w:bottom w:val="none" w:sz="0" w:space="0" w:color="auto"/>
        <w:right w:val="none" w:sz="0" w:space="0" w:color="auto"/>
      </w:divBdr>
    </w:div>
    <w:div w:id="1262879708">
      <w:bodyDiv w:val="1"/>
      <w:marLeft w:val="0"/>
      <w:marRight w:val="0"/>
      <w:marTop w:val="0"/>
      <w:marBottom w:val="0"/>
      <w:divBdr>
        <w:top w:val="none" w:sz="0" w:space="0" w:color="auto"/>
        <w:left w:val="none" w:sz="0" w:space="0" w:color="auto"/>
        <w:bottom w:val="none" w:sz="0" w:space="0" w:color="auto"/>
        <w:right w:val="none" w:sz="0" w:space="0" w:color="auto"/>
      </w:divBdr>
      <w:divsChild>
        <w:div w:id="231736827">
          <w:marLeft w:val="806"/>
          <w:marRight w:val="0"/>
          <w:marTop w:val="200"/>
          <w:marBottom w:val="0"/>
          <w:divBdr>
            <w:top w:val="none" w:sz="0" w:space="0" w:color="auto"/>
            <w:left w:val="none" w:sz="0" w:space="0" w:color="auto"/>
            <w:bottom w:val="none" w:sz="0" w:space="0" w:color="auto"/>
            <w:right w:val="none" w:sz="0" w:space="0" w:color="auto"/>
          </w:divBdr>
        </w:div>
        <w:div w:id="19672996">
          <w:marLeft w:val="806"/>
          <w:marRight w:val="0"/>
          <w:marTop w:val="200"/>
          <w:marBottom w:val="0"/>
          <w:divBdr>
            <w:top w:val="none" w:sz="0" w:space="0" w:color="auto"/>
            <w:left w:val="none" w:sz="0" w:space="0" w:color="auto"/>
            <w:bottom w:val="none" w:sz="0" w:space="0" w:color="auto"/>
            <w:right w:val="none" w:sz="0" w:space="0" w:color="auto"/>
          </w:divBdr>
        </w:div>
        <w:div w:id="303775971">
          <w:marLeft w:val="806"/>
          <w:marRight w:val="0"/>
          <w:marTop w:val="200"/>
          <w:marBottom w:val="0"/>
          <w:divBdr>
            <w:top w:val="none" w:sz="0" w:space="0" w:color="auto"/>
            <w:left w:val="none" w:sz="0" w:space="0" w:color="auto"/>
            <w:bottom w:val="none" w:sz="0" w:space="0" w:color="auto"/>
            <w:right w:val="none" w:sz="0" w:space="0" w:color="auto"/>
          </w:divBdr>
        </w:div>
        <w:div w:id="2013675284">
          <w:marLeft w:val="1440"/>
          <w:marRight w:val="0"/>
          <w:marTop w:val="100"/>
          <w:marBottom w:val="0"/>
          <w:divBdr>
            <w:top w:val="none" w:sz="0" w:space="0" w:color="auto"/>
            <w:left w:val="none" w:sz="0" w:space="0" w:color="auto"/>
            <w:bottom w:val="none" w:sz="0" w:space="0" w:color="auto"/>
            <w:right w:val="none" w:sz="0" w:space="0" w:color="auto"/>
          </w:divBdr>
        </w:div>
        <w:div w:id="324627452">
          <w:marLeft w:val="1440"/>
          <w:marRight w:val="0"/>
          <w:marTop w:val="100"/>
          <w:marBottom w:val="0"/>
          <w:divBdr>
            <w:top w:val="none" w:sz="0" w:space="0" w:color="auto"/>
            <w:left w:val="none" w:sz="0" w:space="0" w:color="auto"/>
            <w:bottom w:val="none" w:sz="0" w:space="0" w:color="auto"/>
            <w:right w:val="none" w:sz="0" w:space="0" w:color="auto"/>
          </w:divBdr>
        </w:div>
        <w:div w:id="570653410">
          <w:marLeft w:val="1440"/>
          <w:marRight w:val="0"/>
          <w:marTop w:val="100"/>
          <w:marBottom w:val="0"/>
          <w:divBdr>
            <w:top w:val="none" w:sz="0" w:space="0" w:color="auto"/>
            <w:left w:val="none" w:sz="0" w:space="0" w:color="auto"/>
            <w:bottom w:val="none" w:sz="0" w:space="0" w:color="auto"/>
            <w:right w:val="none" w:sz="0" w:space="0" w:color="auto"/>
          </w:divBdr>
        </w:div>
      </w:divsChild>
    </w:div>
    <w:div w:id="1264068760">
      <w:bodyDiv w:val="1"/>
      <w:marLeft w:val="0"/>
      <w:marRight w:val="0"/>
      <w:marTop w:val="0"/>
      <w:marBottom w:val="0"/>
      <w:divBdr>
        <w:top w:val="none" w:sz="0" w:space="0" w:color="auto"/>
        <w:left w:val="none" w:sz="0" w:space="0" w:color="auto"/>
        <w:bottom w:val="none" w:sz="0" w:space="0" w:color="auto"/>
        <w:right w:val="none" w:sz="0" w:space="0" w:color="auto"/>
      </w:divBdr>
      <w:divsChild>
        <w:div w:id="270821545">
          <w:marLeft w:val="0"/>
          <w:marRight w:val="0"/>
          <w:marTop w:val="0"/>
          <w:marBottom w:val="0"/>
          <w:divBdr>
            <w:top w:val="none" w:sz="0" w:space="0" w:color="auto"/>
            <w:left w:val="none" w:sz="0" w:space="0" w:color="auto"/>
            <w:bottom w:val="none" w:sz="0" w:space="0" w:color="auto"/>
            <w:right w:val="none" w:sz="0" w:space="0" w:color="auto"/>
          </w:divBdr>
          <w:divsChild>
            <w:div w:id="1483308879">
              <w:marLeft w:val="0"/>
              <w:marRight w:val="0"/>
              <w:marTop w:val="0"/>
              <w:marBottom w:val="0"/>
              <w:divBdr>
                <w:top w:val="none" w:sz="0" w:space="0" w:color="auto"/>
                <w:left w:val="none" w:sz="0" w:space="0" w:color="auto"/>
                <w:bottom w:val="none" w:sz="0" w:space="0" w:color="auto"/>
                <w:right w:val="none" w:sz="0" w:space="0" w:color="auto"/>
              </w:divBdr>
              <w:divsChild>
                <w:div w:id="1963609239">
                  <w:marLeft w:val="0"/>
                  <w:marRight w:val="0"/>
                  <w:marTop w:val="0"/>
                  <w:marBottom w:val="0"/>
                  <w:divBdr>
                    <w:top w:val="none" w:sz="0" w:space="0" w:color="auto"/>
                    <w:left w:val="none" w:sz="0" w:space="0" w:color="auto"/>
                    <w:bottom w:val="none" w:sz="0" w:space="0" w:color="auto"/>
                    <w:right w:val="none" w:sz="0" w:space="0" w:color="auto"/>
                  </w:divBdr>
                </w:div>
              </w:divsChild>
            </w:div>
            <w:div w:id="801852797">
              <w:marLeft w:val="0"/>
              <w:marRight w:val="0"/>
              <w:marTop w:val="0"/>
              <w:marBottom w:val="0"/>
              <w:divBdr>
                <w:top w:val="none" w:sz="0" w:space="0" w:color="auto"/>
                <w:left w:val="none" w:sz="0" w:space="0" w:color="auto"/>
                <w:bottom w:val="none" w:sz="0" w:space="0" w:color="auto"/>
                <w:right w:val="none" w:sz="0" w:space="0" w:color="auto"/>
              </w:divBdr>
              <w:divsChild>
                <w:div w:id="859586008">
                  <w:marLeft w:val="0"/>
                  <w:marRight w:val="0"/>
                  <w:marTop w:val="0"/>
                  <w:marBottom w:val="0"/>
                  <w:divBdr>
                    <w:top w:val="none" w:sz="0" w:space="0" w:color="auto"/>
                    <w:left w:val="none" w:sz="0" w:space="0" w:color="auto"/>
                    <w:bottom w:val="none" w:sz="0" w:space="0" w:color="auto"/>
                    <w:right w:val="none" w:sz="0" w:space="0" w:color="auto"/>
                  </w:divBdr>
                </w:div>
              </w:divsChild>
            </w:div>
            <w:div w:id="1888108405">
              <w:marLeft w:val="0"/>
              <w:marRight w:val="0"/>
              <w:marTop w:val="0"/>
              <w:marBottom w:val="0"/>
              <w:divBdr>
                <w:top w:val="none" w:sz="0" w:space="0" w:color="auto"/>
                <w:left w:val="none" w:sz="0" w:space="0" w:color="auto"/>
                <w:bottom w:val="none" w:sz="0" w:space="0" w:color="auto"/>
                <w:right w:val="none" w:sz="0" w:space="0" w:color="auto"/>
              </w:divBdr>
              <w:divsChild>
                <w:div w:id="1481191046">
                  <w:marLeft w:val="0"/>
                  <w:marRight w:val="0"/>
                  <w:marTop w:val="0"/>
                  <w:marBottom w:val="0"/>
                  <w:divBdr>
                    <w:top w:val="none" w:sz="0" w:space="0" w:color="auto"/>
                    <w:left w:val="none" w:sz="0" w:space="0" w:color="auto"/>
                    <w:bottom w:val="none" w:sz="0" w:space="0" w:color="auto"/>
                    <w:right w:val="none" w:sz="0" w:space="0" w:color="auto"/>
                  </w:divBdr>
                </w:div>
              </w:divsChild>
            </w:div>
            <w:div w:id="1963874931">
              <w:marLeft w:val="0"/>
              <w:marRight w:val="0"/>
              <w:marTop w:val="0"/>
              <w:marBottom w:val="0"/>
              <w:divBdr>
                <w:top w:val="none" w:sz="0" w:space="0" w:color="auto"/>
                <w:left w:val="none" w:sz="0" w:space="0" w:color="auto"/>
                <w:bottom w:val="none" w:sz="0" w:space="0" w:color="auto"/>
                <w:right w:val="none" w:sz="0" w:space="0" w:color="auto"/>
              </w:divBdr>
              <w:divsChild>
                <w:div w:id="108163123">
                  <w:marLeft w:val="0"/>
                  <w:marRight w:val="0"/>
                  <w:marTop w:val="0"/>
                  <w:marBottom w:val="0"/>
                  <w:divBdr>
                    <w:top w:val="none" w:sz="0" w:space="0" w:color="auto"/>
                    <w:left w:val="none" w:sz="0" w:space="0" w:color="auto"/>
                    <w:bottom w:val="none" w:sz="0" w:space="0" w:color="auto"/>
                    <w:right w:val="none" w:sz="0" w:space="0" w:color="auto"/>
                  </w:divBdr>
                </w:div>
              </w:divsChild>
            </w:div>
            <w:div w:id="166941785">
              <w:marLeft w:val="0"/>
              <w:marRight w:val="0"/>
              <w:marTop w:val="0"/>
              <w:marBottom w:val="0"/>
              <w:divBdr>
                <w:top w:val="none" w:sz="0" w:space="0" w:color="auto"/>
                <w:left w:val="none" w:sz="0" w:space="0" w:color="auto"/>
                <w:bottom w:val="none" w:sz="0" w:space="0" w:color="auto"/>
                <w:right w:val="none" w:sz="0" w:space="0" w:color="auto"/>
              </w:divBdr>
              <w:divsChild>
                <w:div w:id="44526683">
                  <w:marLeft w:val="0"/>
                  <w:marRight w:val="0"/>
                  <w:marTop w:val="0"/>
                  <w:marBottom w:val="0"/>
                  <w:divBdr>
                    <w:top w:val="none" w:sz="0" w:space="0" w:color="auto"/>
                    <w:left w:val="none" w:sz="0" w:space="0" w:color="auto"/>
                    <w:bottom w:val="none" w:sz="0" w:space="0" w:color="auto"/>
                    <w:right w:val="none" w:sz="0" w:space="0" w:color="auto"/>
                  </w:divBdr>
                </w:div>
              </w:divsChild>
            </w:div>
            <w:div w:id="1824085362">
              <w:marLeft w:val="0"/>
              <w:marRight w:val="0"/>
              <w:marTop w:val="0"/>
              <w:marBottom w:val="0"/>
              <w:divBdr>
                <w:top w:val="none" w:sz="0" w:space="0" w:color="auto"/>
                <w:left w:val="none" w:sz="0" w:space="0" w:color="auto"/>
                <w:bottom w:val="none" w:sz="0" w:space="0" w:color="auto"/>
                <w:right w:val="none" w:sz="0" w:space="0" w:color="auto"/>
              </w:divBdr>
              <w:divsChild>
                <w:div w:id="1866942932">
                  <w:marLeft w:val="0"/>
                  <w:marRight w:val="0"/>
                  <w:marTop w:val="0"/>
                  <w:marBottom w:val="0"/>
                  <w:divBdr>
                    <w:top w:val="none" w:sz="0" w:space="0" w:color="auto"/>
                    <w:left w:val="none" w:sz="0" w:space="0" w:color="auto"/>
                    <w:bottom w:val="none" w:sz="0" w:space="0" w:color="auto"/>
                    <w:right w:val="none" w:sz="0" w:space="0" w:color="auto"/>
                  </w:divBdr>
                </w:div>
              </w:divsChild>
            </w:div>
            <w:div w:id="1396002939">
              <w:marLeft w:val="0"/>
              <w:marRight w:val="0"/>
              <w:marTop w:val="0"/>
              <w:marBottom w:val="0"/>
              <w:divBdr>
                <w:top w:val="none" w:sz="0" w:space="0" w:color="auto"/>
                <w:left w:val="none" w:sz="0" w:space="0" w:color="auto"/>
                <w:bottom w:val="none" w:sz="0" w:space="0" w:color="auto"/>
                <w:right w:val="none" w:sz="0" w:space="0" w:color="auto"/>
              </w:divBdr>
              <w:divsChild>
                <w:div w:id="646470698">
                  <w:marLeft w:val="0"/>
                  <w:marRight w:val="0"/>
                  <w:marTop w:val="0"/>
                  <w:marBottom w:val="0"/>
                  <w:divBdr>
                    <w:top w:val="none" w:sz="0" w:space="0" w:color="auto"/>
                    <w:left w:val="none" w:sz="0" w:space="0" w:color="auto"/>
                    <w:bottom w:val="none" w:sz="0" w:space="0" w:color="auto"/>
                    <w:right w:val="none" w:sz="0" w:space="0" w:color="auto"/>
                  </w:divBdr>
                </w:div>
              </w:divsChild>
            </w:div>
            <w:div w:id="102307480">
              <w:marLeft w:val="0"/>
              <w:marRight w:val="0"/>
              <w:marTop w:val="0"/>
              <w:marBottom w:val="0"/>
              <w:divBdr>
                <w:top w:val="none" w:sz="0" w:space="0" w:color="auto"/>
                <w:left w:val="none" w:sz="0" w:space="0" w:color="auto"/>
                <w:bottom w:val="none" w:sz="0" w:space="0" w:color="auto"/>
                <w:right w:val="none" w:sz="0" w:space="0" w:color="auto"/>
              </w:divBdr>
              <w:divsChild>
                <w:div w:id="799346689">
                  <w:marLeft w:val="0"/>
                  <w:marRight w:val="0"/>
                  <w:marTop w:val="0"/>
                  <w:marBottom w:val="0"/>
                  <w:divBdr>
                    <w:top w:val="none" w:sz="0" w:space="0" w:color="auto"/>
                    <w:left w:val="none" w:sz="0" w:space="0" w:color="auto"/>
                    <w:bottom w:val="none" w:sz="0" w:space="0" w:color="auto"/>
                    <w:right w:val="none" w:sz="0" w:space="0" w:color="auto"/>
                  </w:divBdr>
                </w:div>
              </w:divsChild>
            </w:div>
            <w:div w:id="482818426">
              <w:marLeft w:val="0"/>
              <w:marRight w:val="0"/>
              <w:marTop w:val="0"/>
              <w:marBottom w:val="0"/>
              <w:divBdr>
                <w:top w:val="none" w:sz="0" w:space="0" w:color="auto"/>
                <w:left w:val="none" w:sz="0" w:space="0" w:color="auto"/>
                <w:bottom w:val="none" w:sz="0" w:space="0" w:color="auto"/>
                <w:right w:val="none" w:sz="0" w:space="0" w:color="auto"/>
              </w:divBdr>
              <w:divsChild>
                <w:div w:id="1564026860">
                  <w:marLeft w:val="0"/>
                  <w:marRight w:val="0"/>
                  <w:marTop w:val="0"/>
                  <w:marBottom w:val="0"/>
                  <w:divBdr>
                    <w:top w:val="none" w:sz="0" w:space="0" w:color="auto"/>
                    <w:left w:val="none" w:sz="0" w:space="0" w:color="auto"/>
                    <w:bottom w:val="none" w:sz="0" w:space="0" w:color="auto"/>
                    <w:right w:val="none" w:sz="0" w:space="0" w:color="auto"/>
                  </w:divBdr>
                </w:div>
              </w:divsChild>
            </w:div>
            <w:div w:id="1633249072">
              <w:marLeft w:val="0"/>
              <w:marRight w:val="0"/>
              <w:marTop w:val="0"/>
              <w:marBottom w:val="0"/>
              <w:divBdr>
                <w:top w:val="none" w:sz="0" w:space="0" w:color="auto"/>
                <w:left w:val="none" w:sz="0" w:space="0" w:color="auto"/>
                <w:bottom w:val="none" w:sz="0" w:space="0" w:color="auto"/>
                <w:right w:val="none" w:sz="0" w:space="0" w:color="auto"/>
              </w:divBdr>
              <w:divsChild>
                <w:div w:id="314145096">
                  <w:marLeft w:val="0"/>
                  <w:marRight w:val="0"/>
                  <w:marTop w:val="0"/>
                  <w:marBottom w:val="0"/>
                  <w:divBdr>
                    <w:top w:val="none" w:sz="0" w:space="0" w:color="auto"/>
                    <w:left w:val="none" w:sz="0" w:space="0" w:color="auto"/>
                    <w:bottom w:val="none" w:sz="0" w:space="0" w:color="auto"/>
                    <w:right w:val="none" w:sz="0" w:space="0" w:color="auto"/>
                  </w:divBdr>
                </w:div>
              </w:divsChild>
            </w:div>
            <w:div w:id="400904727">
              <w:marLeft w:val="0"/>
              <w:marRight w:val="0"/>
              <w:marTop w:val="0"/>
              <w:marBottom w:val="0"/>
              <w:divBdr>
                <w:top w:val="none" w:sz="0" w:space="0" w:color="auto"/>
                <w:left w:val="none" w:sz="0" w:space="0" w:color="auto"/>
                <w:bottom w:val="none" w:sz="0" w:space="0" w:color="auto"/>
                <w:right w:val="none" w:sz="0" w:space="0" w:color="auto"/>
              </w:divBdr>
              <w:divsChild>
                <w:div w:id="1373653361">
                  <w:marLeft w:val="0"/>
                  <w:marRight w:val="0"/>
                  <w:marTop w:val="0"/>
                  <w:marBottom w:val="0"/>
                  <w:divBdr>
                    <w:top w:val="none" w:sz="0" w:space="0" w:color="auto"/>
                    <w:left w:val="none" w:sz="0" w:space="0" w:color="auto"/>
                    <w:bottom w:val="none" w:sz="0" w:space="0" w:color="auto"/>
                    <w:right w:val="none" w:sz="0" w:space="0" w:color="auto"/>
                  </w:divBdr>
                </w:div>
              </w:divsChild>
            </w:div>
            <w:div w:id="1042099861">
              <w:marLeft w:val="0"/>
              <w:marRight w:val="0"/>
              <w:marTop w:val="0"/>
              <w:marBottom w:val="0"/>
              <w:divBdr>
                <w:top w:val="none" w:sz="0" w:space="0" w:color="auto"/>
                <w:left w:val="none" w:sz="0" w:space="0" w:color="auto"/>
                <w:bottom w:val="none" w:sz="0" w:space="0" w:color="auto"/>
                <w:right w:val="none" w:sz="0" w:space="0" w:color="auto"/>
              </w:divBdr>
              <w:divsChild>
                <w:div w:id="1810244982">
                  <w:marLeft w:val="0"/>
                  <w:marRight w:val="0"/>
                  <w:marTop w:val="0"/>
                  <w:marBottom w:val="0"/>
                  <w:divBdr>
                    <w:top w:val="none" w:sz="0" w:space="0" w:color="auto"/>
                    <w:left w:val="none" w:sz="0" w:space="0" w:color="auto"/>
                    <w:bottom w:val="none" w:sz="0" w:space="0" w:color="auto"/>
                    <w:right w:val="none" w:sz="0" w:space="0" w:color="auto"/>
                  </w:divBdr>
                </w:div>
              </w:divsChild>
            </w:div>
            <w:div w:id="480927395">
              <w:marLeft w:val="0"/>
              <w:marRight w:val="0"/>
              <w:marTop w:val="0"/>
              <w:marBottom w:val="0"/>
              <w:divBdr>
                <w:top w:val="none" w:sz="0" w:space="0" w:color="auto"/>
                <w:left w:val="none" w:sz="0" w:space="0" w:color="auto"/>
                <w:bottom w:val="none" w:sz="0" w:space="0" w:color="auto"/>
                <w:right w:val="none" w:sz="0" w:space="0" w:color="auto"/>
              </w:divBdr>
              <w:divsChild>
                <w:div w:id="214705709">
                  <w:marLeft w:val="0"/>
                  <w:marRight w:val="0"/>
                  <w:marTop w:val="0"/>
                  <w:marBottom w:val="0"/>
                  <w:divBdr>
                    <w:top w:val="none" w:sz="0" w:space="0" w:color="auto"/>
                    <w:left w:val="none" w:sz="0" w:space="0" w:color="auto"/>
                    <w:bottom w:val="none" w:sz="0" w:space="0" w:color="auto"/>
                    <w:right w:val="none" w:sz="0" w:space="0" w:color="auto"/>
                  </w:divBdr>
                </w:div>
              </w:divsChild>
            </w:div>
            <w:div w:id="792096799">
              <w:marLeft w:val="0"/>
              <w:marRight w:val="0"/>
              <w:marTop w:val="0"/>
              <w:marBottom w:val="0"/>
              <w:divBdr>
                <w:top w:val="none" w:sz="0" w:space="0" w:color="auto"/>
                <w:left w:val="none" w:sz="0" w:space="0" w:color="auto"/>
                <w:bottom w:val="none" w:sz="0" w:space="0" w:color="auto"/>
                <w:right w:val="none" w:sz="0" w:space="0" w:color="auto"/>
              </w:divBdr>
              <w:divsChild>
                <w:div w:id="651367934">
                  <w:marLeft w:val="0"/>
                  <w:marRight w:val="0"/>
                  <w:marTop w:val="0"/>
                  <w:marBottom w:val="0"/>
                  <w:divBdr>
                    <w:top w:val="none" w:sz="0" w:space="0" w:color="auto"/>
                    <w:left w:val="none" w:sz="0" w:space="0" w:color="auto"/>
                    <w:bottom w:val="none" w:sz="0" w:space="0" w:color="auto"/>
                    <w:right w:val="none" w:sz="0" w:space="0" w:color="auto"/>
                  </w:divBdr>
                </w:div>
              </w:divsChild>
            </w:div>
            <w:div w:id="1388651340">
              <w:marLeft w:val="0"/>
              <w:marRight w:val="0"/>
              <w:marTop w:val="0"/>
              <w:marBottom w:val="0"/>
              <w:divBdr>
                <w:top w:val="none" w:sz="0" w:space="0" w:color="auto"/>
                <w:left w:val="none" w:sz="0" w:space="0" w:color="auto"/>
                <w:bottom w:val="none" w:sz="0" w:space="0" w:color="auto"/>
                <w:right w:val="none" w:sz="0" w:space="0" w:color="auto"/>
              </w:divBdr>
              <w:divsChild>
                <w:div w:id="88158340">
                  <w:marLeft w:val="0"/>
                  <w:marRight w:val="0"/>
                  <w:marTop w:val="0"/>
                  <w:marBottom w:val="0"/>
                  <w:divBdr>
                    <w:top w:val="none" w:sz="0" w:space="0" w:color="auto"/>
                    <w:left w:val="none" w:sz="0" w:space="0" w:color="auto"/>
                    <w:bottom w:val="none" w:sz="0" w:space="0" w:color="auto"/>
                    <w:right w:val="none" w:sz="0" w:space="0" w:color="auto"/>
                  </w:divBdr>
                </w:div>
              </w:divsChild>
            </w:div>
            <w:div w:id="927076524">
              <w:marLeft w:val="0"/>
              <w:marRight w:val="0"/>
              <w:marTop w:val="0"/>
              <w:marBottom w:val="0"/>
              <w:divBdr>
                <w:top w:val="none" w:sz="0" w:space="0" w:color="auto"/>
                <w:left w:val="none" w:sz="0" w:space="0" w:color="auto"/>
                <w:bottom w:val="none" w:sz="0" w:space="0" w:color="auto"/>
                <w:right w:val="none" w:sz="0" w:space="0" w:color="auto"/>
              </w:divBdr>
              <w:divsChild>
                <w:div w:id="576935440">
                  <w:marLeft w:val="0"/>
                  <w:marRight w:val="0"/>
                  <w:marTop w:val="0"/>
                  <w:marBottom w:val="0"/>
                  <w:divBdr>
                    <w:top w:val="none" w:sz="0" w:space="0" w:color="auto"/>
                    <w:left w:val="none" w:sz="0" w:space="0" w:color="auto"/>
                    <w:bottom w:val="none" w:sz="0" w:space="0" w:color="auto"/>
                    <w:right w:val="none" w:sz="0" w:space="0" w:color="auto"/>
                  </w:divBdr>
                </w:div>
              </w:divsChild>
            </w:div>
            <w:div w:id="23749190">
              <w:marLeft w:val="0"/>
              <w:marRight w:val="0"/>
              <w:marTop w:val="0"/>
              <w:marBottom w:val="0"/>
              <w:divBdr>
                <w:top w:val="none" w:sz="0" w:space="0" w:color="auto"/>
                <w:left w:val="none" w:sz="0" w:space="0" w:color="auto"/>
                <w:bottom w:val="none" w:sz="0" w:space="0" w:color="auto"/>
                <w:right w:val="none" w:sz="0" w:space="0" w:color="auto"/>
              </w:divBdr>
              <w:divsChild>
                <w:div w:id="497692061">
                  <w:marLeft w:val="0"/>
                  <w:marRight w:val="0"/>
                  <w:marTop w:val="0"/>
                  <w:marBottom w:val="0"/>
                  <w:divBdr>
                    <w:top w:val="none" w:sz="0" w:space="0" w:color="auto"/>
                    <w:left w:val="none" w:sz="0" w:space="0" w:color="auto"/>
                    <w:bottom w:val="none" w:sz="0" w:space="0" w:color="auto"/>
                    <w:right w:val="none" w:sz="0" w:space="0" w:color="auto"/>
                  </w:divBdr>
                </w:div>
              </w:divsChild>
            </w:div>
            <w:div w:id="916283673">
              <w:marLeft w:val="0"/>
              <w:marRight w:val="0"/>
              <w:marTop w:val="0"/>
              <w:marBottom w:val="0"/>
              <w:divBdr>
                <w:top w:val="none" w:sz="0" w:space="0" w:color="auto"/>
                <w:left w:val="none" w:sz="0" w:space="0" w:color="auto"/>
                <w:bottom w:val="none" w:sz="0" w:space="0" w:color="auto"/>
                <w:right w:val="none" w:sz="0" w:space="0" w:color="auto"/>
              </w:divBdr>
              <w:divsChild>
                <w:div w:id="865171576">
                  <w:marLeft w:val="0"/>
                  <w:marRight w:val="0"/>
                  <w:marTop w:val="0"/>
                  <w:marBottom w:val="0"/>
                  <w:divBdr>
                    <w:top w:val="none" w:sz="0" w:space="0" w:color="auto"/>
                    <w:left w:val="none" w:sz="0" w:space="0" w:color="auto"/>
                    <w:bottom w:val="none" w:sz="0" w:space="0" w:color="auto"/>
                    <w:right w:val="none" w:sz="0" w:space="0" w:color="auto"/>
                  </w:divBdr>
                </w:div>
              </w:divsChild>
            </w:div>
            <w:div w:id="464348837">
              <w:marLeft w:val="0"/>
              <w:marRight w:val="0"/>
              <w:marTop w:val="0"/>
              <w:marBottom w:val="0"/>
              <w:divBdr>
                <w:top w:val="none" w:sz="0" w:space="0" w:color="auto"/>
                <w:left w:val="none" w:sz="0" w:space="0" w:color="auto"/>
                <w:bottom w:val="none" w:sz="0" w:space="0" w:color="auto"/>
                <w:right w:val="none" w:sz="0" w:space="0" w:color="auto"/>
              </w:divBdr>
              <w:divsChild>
                <w:div w:id="2899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8866">
      <w:bodyDiv w:val="1"/>
      <w:marLeft w:val="0"/>
      <w:marRight w:val="0"/>
      <w:marTop w:val="0"/>
      <w:marBottom w:val="0"/>
      <w:divBdr>
        <w:top w:val="none" w:sz="0" w:space="0" w:color="auto"/>
        <w:left w:val="none" w:sz="0" w:space="0" w:color="auto"/>
        <w:bottom w:val="none" w:sz="0" w:space="0" w:color="auto"/>
        <w:right w:val="none" w:sz="0" w:space="0" w:color="auto"/>
      </w:divBdr>
    </w:div>
    <w:div w:id="1278678724">
      <w:bodyDiv w:val="1"/>
      <w:marLeft w:val="0"/>
      <w:marRight w:val="0"/>
      <w:marTop w:val="0"/>
      <w:marBottom w:val="0"/>
      <w:divBdr>
        <w:top w:val="none" w:sz="0" w:space="0" w:color="auto"/>
        <w:left w:val="none" w:sz="0" w:space="0" w:color="auto"/>
        <w:bottom w:val="none" w:sz="0" w:space="0" w:color="auto"/>
        <w:right w:val="none" w:sz="0" w:space="0" w:color="auto"/>
      </w:divBdr>
      <w:divsChild>
        <w:div w:id="819925469">
          <w:marLeft w:val="0"/>
          <w:marRight w:val="0"/>
          <w:marTop w:val="0"/>
          <w:marBottom w:val="0"/>
          <w:divBdr>
            <w:top w:val="none" w:sz="0" w:space="0" w:color="auto"/>
            <w:left w:val="none" w:sz="0" w:space="0" w:color="auto"/>
            <w:bottom w:val="none" w:sz="0" w:space="0" w:color="auto"/>
            <w:right w:val="none" w:sz="0" w:space="0" w:color="auto"/>
          </w:divBdr>
          <w:divsChild>
            <w:div w:id="1398046383">
              <w:marLeft w:val="0"/>
              <w:marRight w:val="0"/>
              <w:marTop w:val="0"/>
              <w:marBottom w:val="0"/>
              <w:divBdr>
                <w:top w:val="none" w:sz="0" w:space="0" w:color="auto"/>
                <w:left w:val="none" w:sz="0" w:space="0" w:color="auto"/>
                <w:bottom w:val="none" w:sz="0" w:space="0" w:color="auto"/>
                <w:right w:val="none" w:sz="0" w:space="0" w:color="auto"/>
              </w:divBdr>
              <w:divsChild>
                <w:div w:id="432550574">
                  <w:marLeft w:val="0"/>
                  <w:marRight w:val="0"/>
                  <w:marTop w:val="0"/>
                  <w:marBottom w:val="0"/>
                  <w:divBdr>
                    <w:top w:val="none" w:sz="0" w:space="0" w:color="auto"/>
                    <w:left w:val="none" w:sz="0" w:space="0" w:color="auto"/>
                    <w:bottom w:val="none" w:sz="0" w:space="0" w:color="auto"/>
                    <w:right w:val="none" w:sz="0" w:space="0" w:color="auto"/>
                  </w:divBdr>
                  <w:divsChild>
                    <w:div w:id="18691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3447">
      <w:bodyDiv w:val="1"/>
      <w:marLeft w:val="0"/>
      <w:marRight w:val="0"/>
      <w:marTop w:val="0"/>
      <w:marBottom w:val="0"/>
      <w:divBdr>
        <w:top w:val="none" w:sz="0" w:space="0" w:color="auto"/>
        <w:left w:val="none" w:sz="0" w:space="0" w:color="auto"/>
        <w:bottom w:val="none" w:sz="0" w:space="0" w:color="auto"/>
        <w:right w:val="none" w:sz="0" w:space="0" w:color="auto"/>
      </w:divBdr>
      <w:divsChild>
        <w:div w:id="238297506">
          <w:marLeft w:val="0"/>
          <w:marRight w:val="0"/>
          <w:marTop w:val="0"/>
          <w:marBottom w:val="0"/>
          <w:divBdr>
            <w:top w:val="none" w:sz="0" w:space="0" w:color="auto"/>
            <w:left w:val="none" w:sz="0" w:space="0" w:color="auto"/>
            <w:bottom w:val="none" w:sz="0" w:space="0" w:color="auto"/>
            <w:right w:val="none" w:sz="0" w:space="0" w:color="auto"/>
          </w:divBdr>
          <w:divsChild>
            <w:div w:id="1915626966">
              <w:marLeft w:val="0"/>
              <w:marRight w:val="0"/>
              <w:marTop w:val="0"/>
              <w:marBottom w:val="0"/>
              <w:divBdr>
                <w:top w:val="none" w:sz="0" w:space="0" w:color="auto"/>
                <w:left w:val="none" w:sz="0" w:space="0" w:color="auto"/>
                <w:bottom w:val="none" w:sz="0" w:space="0" w:color="auto"/>
                <w:right w:val="none" w:sz="0" w:space="0" w:color="auto"/>
              </w:divBdr>
              <w:divsChild>
                <w:div w:id="875892737">
                  <w:marLeft w:val="0"/>
                  <w:marRight w:val="0"/>
                  <w:marTop w:val="0"/>
                  <w:marBottom w:val="0"/>
                  <w:divBdr>
                    <w:top w:val="none" w:sz="0" w:space="0" w:color="auto"/>
                    <w:left w:val="none" w:sz="0" w:space="0" w:color="auto"/>
                    <w:bottom w:val="none" w:sz="0" w:space="0" w:color="auto"/>
                    <w:right w:val="none" w:sz="0" w:space="0" w:color="auto"/>
                  </w:divBdr>
                  <w:divsChild>
                    <w:div w:id="8618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01915">
      <w:bodyDiv w:val="1"/>
      <w:marLeft w:val="0"/>
      <w:marRight w:val="0"/>
      <w:marTop w:val="0"/>
      <w:marBottom w:val="0"/>
      <w:divBdr>
        <w:top w:val="none" w:sz="0" w:space="0" w:color="auto"/>
        <w:left w:val="none" w:sz="0" w:space="0" w:color="auto"/>
        <w:bottom w:val="none" w:sz="0" w:space="0" w:color="auto"/>
        <w:right w:val="none" w:sz="0" w:space="0" w:color="auto"/>
      </w:divBdr>
    </w:div>
    <w:div w:id="1358921392">
      <w:bodyDiv w:val="1"/>
      <w:marLeft w:val="0"/>
      <w:marRight w:val="0"/>
      <w:marTop w:val="0"/>
      <w:marBottom w:val="0"/>
      <w:divBdr>
        <w:top w:val="none" w:sz="0" w:space="0" w:color="auto"/>
        <w:left w:val="none" w:sz="0" w:space="0" w:color="auto"/>
        <w:bottom w:val="none" w:sz="0" w:space="0" w:color="auto"/>
        <w:right w:val="none" w:sz="0" w:space="0" w:color="auto"/>
      </w:divBdr>
    </w:div>
    <w:div w:id="1365903371">
      <w:bodyDiv w:val="1"/>
      <w:marLeft w:val="0"/>
      <w:marRight w:val="0"/>
      <w:marTop w:val="0"/>
      <w:marBottom w:val="0"/>
      <w:divBdr>
        <w:top w:val="none" w:sz="0" w:space="0" w:color="auto"/>
        <w:left w:val="none" w:sz="0" w:space="0" w:color="auto"/>
        <w:bottom w:val="none" w:sz="0" w:space="0" w:color="auto"/>
        <w:right w:val="none" w:sz="0" w:space="0" w:color="auto"/>
      </w:divBdr>
    </w:div>
    <w:div w:id="1445425489">
      <w:bodyDiv w:val="1"/>
      <w:marLeft w:val="0"/>
      <w:marRight w:val="0"/>
      <w:marTop w:val="0"/>
      <w:marBottom w:val="0"/>
      <w:divBdr>
        <w:top w:val="none" w:sz="0" w:space="0" w:color="auto"/>
        <w:left w:val="none" w:sz="0" w:space="0" w:color="auto"/>
        <w:bottom w:val="none" w:sz="0" w:space="0" w:color="auto"/>
        <w:right w:val="none" w:sz="0" w:space="0" w:color="auto"/>
      </w:divBdr>
    </w:div>
    <w:div w:id="1470052540">
      <w:bodyDiv w:val="1"/>
      <w:marLeft w:val="0"/>
      <w:marRight w:val="0"/>
      <w:marTop w:val="0"/>
      <w:marBottom w:val="0"/>
      <w:divBdr>
        <w:top w:val="none" w:sz="0" w:space="0" w:color="auto"/>
        <w:left w:val="none" w:sz="0" w:space="0" w:color="auto"/>
        <w:bottom w:val="none" w:sz="0" w:space="0" w:color="auto"/>
        <w:right w:val="none" w:sz="0" w:space="0" w:color="auto"/>
      </w:divBdr>
    </w:div>
    <w:div w:id="1476724188">
      <w:bodyDiv w:val="1"/>
      <w:marLeft w:val="0"/>
      <w:marRight w:val="0"/>
      <w:marTop w:val="0"/>
      <w:marBottom w:val="0"/>
      <w:divBdr>
        <w:top w:val="none" w:sz="0" w:space="0" w:color="auto"/>
        <w:left w:val="none" w:sz="0" w:space="0" w:color="auto"/>
        <w:bottom w:val="none" w:sz="0" w:space="0" w:color="auto"/>
        <w:right w:val="none" w:sz="0" w:space="0" w:color="auto"/>
      </w:divBdr>
    </w:div>
    <w:div w:id="1490436767">
      <w:bodyDiv w:val="1"/>
      <w:marLeft w:val="0"/>
      <w:marRight w:val="0"/>
      <w:marTop w:val="0"/>
      <w:marBottom w:val="0"/>
      <w:divBdr>
        <w:top w:val="none" w:sz="0" w:space="0" w:color="auto"/>
        <w:left w:val="none" w:sz="0" w:space="0" w:color="auto"/>
        <w:bottom w:val="none" w:sz="0" w:space="0" w:color="auto"/>
        <w:right w:val="none" w:sz="0" w:space="0" w:color="auto"/>
      </w:divBdr>
      <w:divsChild>
        <w:div w:id="723211599">
          <w:marLeft w:val="0"/>
          <w:marRight w:val="0"/>
          <w:marTop w:val="0"/>
          <w:marBottom w:val="0"/>
          <w:divBdr>
            <w:top w:val="none" w:sz="0" w:space="0" w:color="auto"/>
            <w:left w:val="none" w:sz="0" w:space="0" w:color="auto"/>
            <w:bottom w:val="none" w:sz="0" w:space="0" w:color="auto"/>
            <w:right w:val="none" w:sz="0" w:space="0" w:color="auto"/>
          </w:divBdr>
          <w:divsChild>
            <w:div w:id="189219332">
              <w:marLeft w:val="0"/>
              <w:marRight w:val="0"/>
              <w:marTop w:val="0"/>
              <w:marBottom w:val="0"/>
              <w:divBdr>
                <w:top w:val="none" w:sz="0" w:space="0" w:color="auto"/>
                <w:left w:val="none" w:sz="0" w:space="0" w:color="auto"/>
                <w:bottom w:val="none" w:sz="0" w:space="0" w:color="auto"/>
                <w:right w:val="none" w:sz="0" w:space="0" w:color="auto"/>
              </w:divBdr>
              <w:divsChild>
                <w:div w:id="1014459590">
                  <w:marLeft w:val="0"/>
                  <w:marRight w:val="0"/>
                  <w:marTop w:val="0"/>
                  <w:marBottom w:val="0"/>
                  <w:divBdr>
                    <w:top w:val="none" w:sz="0" w:space="0" w:color="auto"/>
                    <w:left w:val="none" w:sz="0" w:space="0" w:color="auto"/>
                    <w:bottom w:val="none" w:sz="0" w:space="0" w:color="auto"/>
                    <w:right w:val="none" w:sz="0" w:space="0" w:color="auto"/>
                  </w:divBdr>
                  <w:divsChild>
                    <w:div w:id="12647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55229">
      <w:bodyDiv w:val="1"/>
      <w:marLeft w:val="0"/>
      <w:marRight w:val="0"/>
      <w:marTop w:val="0"/>
      <w:marBottom w:val="0"/>
      <w:divBdr>
        <w:top w:val="none" w:sz="0" w:space="0" w:color="auto"/>
        <w:left w:val="none" w:sz="0" w:space="0" w:color="auto"/>
        <w:bottom w:val="none" w:sz="0" w:space="0" w:color="auto"/>
        <w:right w:val="none" w:sz="0" w:space="0" w:color="auto"/>
      </w:divBdr>
    </w:div>
    <w:div w:id="1501041532">
      <w:bodyDiv w:val="1"/>
      <w:marLeft w:val="0"/>
      <w:marRight w:val="0"/>
      <w:marTop w:val="0"/>
      <w:marBottom w:val="0"/>
      <w:divBdr>
        <w:top w:val="none" w:sz="0" w:space="0" w:color="auto"/>
        <w:left w:val="none" w:sz="0" w:space="0" w:color="auto"/>
        <w:bottom w:val="none" w:sz="0" w:space="0" w:color="auto"/>
        <w:right w:val="none" w:sz="0" w:space="0" w:color="auto"/>
      </w:divBdr>
      <w:divsChild>
        <w:div w:id="933129748">
          <w:marLeft w:val="547"/>
          <w:marRight w:val="0"/>
          <w:marTop w:val="0"/>
          <w:marBottom w:val="0"/>
          <w:divBdr>
            <w:top w:val="none" w:sz="0" w:space="0" w:color="auto"/>
            <w:left w:val="none" w:sz="0" w:space="0" w:color="auto"/>
            <w:bottom w:val="none" w:sz="0" w:space="0" w:color="auto"/>
            <w:right w:val="none" w:sz="0" w:space="0" w:color="auto"/>
          </w:divBdr>
        </w:div>
        <w:div w:id="556013299">
          <w:marLeft w:val="547"/>
          <w:marRight w:val="0"/>
          <w:marTop w:val="0"/>
          <w:marBottom w:val="0"/>
          <w:divBdr>
            <w:top w:val="none" w:sz="0" w:space="0" w:color="auto"/>
            <w:left w:val="none" w:sz="0" w:space="0" w:color="auto"/>
            <w:bottom w:val="none" w:sz="0" w:space="0" w:color="auto"/>
            <w:right w:val="none" w:sz="0" w:space="0" w:color="auto"/>
          </w:divBdr>
        </w:div>
        <w:div w:id="1704556188">
          <w:marLeft w:val="547"/>
          <w:marRight w:val="0"/>
          <w:marTop w:val="0"/>
          <w:marBottom w:val="0"/>
          <w:divBdr>
            <w:top w:val="none" w:sz="0" w:space="0" w:color="auto"/>
            <w:left w:val="none" w:sz="0" w:space="0" w:color="auto"/>
            <w:bottom w:val="none" w:sz="0" w:space="0" w:color="auto"/>
            <w:right w:val="none" w:sz="0" w:space="0" w:color="auto"/>
          </w:divBdr>
        </w:div>
        <w:div w:id="602543071">
          <w:marLeft w:val="547"/>
          <w:marRight w:val="0"/>
          <w:marTop w:val="0"/>
          <w:marBottom w:val="0"/>
          <w:divBdr>
            <w:top w:val="none" w:sz="0" w:space="0" w:color="auto"/>
            <w:left w:val="none" w:sz="0" w:space="0" w:color="auto"/>
            <w:bottom w:val="none" w:sz="0" w:space="0" w:color="auto"/>
            <w:right w:val="none" w:sz="0" w:space="0" w:color="auto"/>
          </w:divBdr>
        </w:div>
        <w:div w:id="2070373123">
          <w:marLeft w:val="547"/>
          <w:marRight w:val="0"/>
          <w:marTop w:val="0"/>
          <w:marBottom w:val="0"/>
          <w:divBdr>
            <w:top w:val="none" w:sz="0" w:space="0" w:color="auto"/>
            <w:left w:val="none" w:sz="0" w:space="0" w:color="auto"/>
            <w:bottom w:val="none" w:sz="0" w:space="0" w:color="auto"/>
            <w:right w:val="none" w:sz="0" w:space="0" w:color="auto"/>
          </w:divBdr>
        </w:div>
        <w:div w:id="615865320">
          <w:marLeft w:val="547"/>
          <w:marRight w:val="0"/>
          <w:marTop w:val="0"/>
          <w:marBottom w:val="0"/>
          <w:divBdr>
            <w:top w:val="none" w:sz="0" w:space="0" w:color="auto"/>
            <w:left w:val="none" w:sz="0" w:space="0" w:color="auto"/>
            <w:bottom w:val="none" w:sz="0" w:space="0" w:color="auto"/>
            <w:right w:val="none" w:sz="0" w:space="0" w:color="auto"/>
          </w:divBdr>
        </w:div>
        <w:div w:id="1594509548">
          <w:marLeft w:val="547"/>
          <w:marRight w:val="0"/>
          <w:marTop w:val="0"/>
          <w:marBottom w:val="0"/>
          <w:divBdr>
            <w:top w:val="none" w:sz="0" w:space="0" w:color="auto"/>
            <w:left w:val="none" w:sz="0" w:space="0" w:color="auto"/>
            <w:bottom w:val="none" w:sz="0" w:space="0" w:color="auto"/>
            <w:right w:val="none" w:sz="0" w:space="0" w:color="auto"/>
          </w:divBdr>
        </w:div>
        <w:div w:id="2085487447">
          <w:marLeft w:val="547"/>
          <w:marRight w:val="0"/>
          <w:marTop w:val="0"/>
          <w:marBottom w:val="0"/>
          <w:divBdr>
            <w:top w:val="none" w:sz="0" w:space="0" w:color="auto"/>
            <w:left w:val="none" w:sz="0" w:space="0" w:color="auto"/>
            <w:bottom w:val="none" w:sz="0" w:space="0" w:color="auto"/>
            <w:right w:val="none" w:sz="0" w:space="0" w:color="auto"/>
          </w:divBdr>
        </w:div>
        <w:div w:id="1698002859">
          <w:marLeft w:val="547"/>
          <w:marRight w:val="0"/>
          <w:marTop w:val="0"/>
          <w:marBottom w:val="0"/>
          <w:divBdr>
            <w:top w:val="none" w:sz="0" w:space="0" w:color="auto"/>
            <w:left w:val="none" w:sz="0" w:space="0" w:color="auto"/>
            <w:bottom w:val="none" w:sz="0" w:space="0" w:color="auto"/>
            <w:right w:val="none" w:sz="0" w:space="0" w:color="auto"/>
          </w:divBdr>
        </w:div>
        <w:div w:id="1366908833">
          <w:marLeft w:val="547"/>
          <w:marRight w:val="0"/>
          <w:marTop w:val="0"/>
          <w:marBottom w:val="0"/>
          <w:divBdr>
            <w:top w:val="none" w:sz="0" w:space="0" w:color="auto"/>
            <w:left w:val="none" w:sz="0" w:space="0" w:color="auto"/>
            <w:bottom w:val="none" w:sz="0" w:space="0" w:color="auto"/>
            <w:right w:val="none" w:sz="0" w:space="0" w:color="auto"/>
          </w:divBdr>
        </w:div>
      </w:divsChild>
    </w:div>
    <w:div w:id="1504541442">
      <w:bodyDiv w:val="1"/>
      <w:marLeft w:val="0"/>
      <w:marRight w:val="0"/>
      <w:marTop w:val="0"/>
      <w:marBottom w:val="0"/>
      <w:divBdr>
        <w:top w:val="none" w:sz="0" w:space="0" w:color="auto"/>
        <w:left w:val="none" w:sz="0" w:space="0" w:color="auto"/>
        <w:bottom w:val="none" w:sz="0" w:space="0" w:color="auto"/>
        <w:right w:val="none" w:sz="0" w:space="0" w:color="auto"/>
      </w:divBdr>
    </w:div>
    <w:div w:id="1504977262">
      <w:bodyDiv w:val="1"/>
      <w:marLeft w:val="0"/>
      <w:marRight w:val="0"/>
      <w:marTop w:val="0"/>
      <w:marBottom w:val="0"/>
      <w:divBdr>
        <w:top w:val="none" w:sz="0" w:space="0" w:color="auto"/>
        <w:left w:val="none" w:sz="0" w:space="0" w:color="auto"/>
        <w:bottom w:val="none" w:sz="0" w:space="0" w:color="auto"/>
        <w:right w:val="none" w:sz="0" w:space="0" w:color="auto"/>
      </w:divBdr>
    </w:div>
    <w:div w:id="1556963749">
      <w:bodyDiv w:val="1"/>
      <w:marLeft w:val="0"/>
      <w:marRight w:val="0"/>
      <w:marTop w:val="0"/>
      <w:marBottom w:val="0"/>
      <w:divBdr>
        <w:top w:val="none" w:sz="0" w:space="0" w:color="auto"/>
        <w:left w:val="none" w:sz="0" w:space="0" w:color="auto"/>
        <w:bottom w:val="none" w:sz="0" w:space="0" w:color="auto"/>
        <w:right w:val="none" w:sz="0" w:space="0" w:color="auto"/>
      </w:divBdr>
    </w:div>
    <w:div w:id="1558084490">
      <w:bodyDiv w:val="1"/>
      <w:marLeft w:val="0"/>
      <w:marRight w:val="0"/>
      <w:marTop w:val="0"/>
      <w:marBottom w:val="0"/>
      <w:divBdr>
        <w:top w:val="none" w:sz="0" w:space="0" w:color="auto"/>
        <w:left w:val="none" w:sz="0" w:space="0" w:color="auto"/>
        <w:bottom w:val="none" w:sz="0" w:space="0" w:color="auto"/>
        <w:right w:val="none" w:sz="0" w:space="0" w:color="auto"/>
      </w:divBdr>
    </w:div>
    <w:div w:id="1558784624">
      <w:bodyDiv w:val="1"/>
      <w:marLeft w:val="0"/>
      <w:marRight w:val="0"/>
      <w:marTop w:val="0"/>
      <w:marBottom w:val="0"/>
      <w:divBdr>
        <w:top w:val="none" w:sz="0" w:space="0" w:color="auto"/>
        <w:left w:val="none" w:sz="0" w:space="0" w:color="auto"/>
        <w:bottom w:val="none" w:sz="0" w:space="0" w:color="auto"/>
        <w:right w:val="none" w:sz="0" w:space="0" w:color="auto"/>
      </w:divBdr>
      <w:divsChild>
        <w:div w:id="490562406">
          <w:marLeft w:val="0"/>
          <w:marRight w:val="0"/>
          <w:marTop w:val="0"/>
          <w:marBottom w:val="0"/>
          <w:divBdr>
            <w:top w:val="none" w:sz="0" w:space="0" w:color="auto"/>
            <w:left w:val="none" w:sz="0" w:space="0" w:color="auto"/>
            <w:bottom w:val="none" w:sz="0" w:space="0" w:color="auto"/>
            <w:right w:val="none" w:sz="0" w:space="0" w:color="auto"/>
          </w:divBdr>
        </w:div>
      </w:divsChild>
    </w:div>
    <w:div w:id="1615358732">
      <w:bodyDiv w:val="1"/>
      <w:marLeft w:val="0"/>
      <w:marRight w:val="0"/>
      <w:marTop w:val="0"/>
      <w:marBottom w:val="0"/>
      <w:divBdr>
        <w:top w:val="none" w:sz="0" w:space="0" w:color="auto"/>
        <w:left w:val="none" w:sz="0" w:space="0" w:color="auto"/>
        <w:bottom w:val="none" w:sz="0" w:space="0" w:color="auto"/>
        <w:right w:val="none" w:sz="0" w:space="0" w:color="auto"/>
      </w:divBdr>
    </w:div>
    <w:div w:id="1630427753">
      <w:bodyDiv w:val="1"/>
      <w:marLeft w:val="0"/>
      <w:marRight w:val="0"/>
      <w:marTop w:val="0"/>
      <w:marBottom w:val="0"/>
      <w:divBdr>
        <w:top w:val="none" w:sz="0" w:space="0" w:color="auto"/>
        <w:left w:val="none" w:sz="0" w:space="0" w:color="auto"/>
        <w:bottom w:val="none" w:sz="0" w:space="0" w:color="auto"/>
        <w:right w:val="none" w:sz="0" w:space="0" w:color="auto"/>
      </w:divBdr>
      <w:divsChild>
        <w:div w:id="2069451754">
          <w:marLeft w:val="0"/>
          <w:marRight w:val="0"/>
          <w:marTop w:val="0"/>
          <w:marBottom w:val="0"/>
          <w:divBdr>
            <w:top w:val="none" w:sz="0" w:space="0" w:color="auto"/>
            <w:left w:val="none" w:sz="0" w:space="0" w:color="auto"/>
            <w:bottom w:val="none" w:sz="0" w:space="0" w:color="auto"/>
            <w:right w:val="none" w:sz="0" w:space="0" w:color="auto"/>
          </w:divBdr>
          <w:divsChild>
            <w:div w:id="1721048893">
              <w:marLeft w:val="0"/>
              <w:marRight w:val="0"/>
              <w:marTop w:val="0"/>
              <w:marBottom w:val="0"/>
              <w:divBdr>
                <w:top w:val="none" w:sz="0" w:space="0" w:color="auto"/>
                <w:left w:val="none" w:sz="0" w:space="0" w:color="auto"/>
                <w:bottom w:val="none" w:sz="0" w:space="0" w:color="auto"/>
                <w:right w:val="none" w:sz="0" w:space="0" w:color="auto"/>
              </w:divBdr>
              <w:divsChild>
                <w:div w:id="1388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00506">
      <w:bodyDiv w:val="1"/>
      <w:marLeft w:val="0"/>
      <w:marRight w:val="0"/>
      <w:marTop w:val="0"/>
      <w:marBottom w:val="0"/>
      <w:divBdr>
        <w:top w:val="none" w:sz="0" w:space="0" w:color="auto"/>
        <w:left w:val="none" w:sz="0" w:space="0" w:color="auto"/>
        <w:bottom w:val="none" w:sz="0" w:space="0" w:color="auto"/>
        <w:right w:val="none" w:sz="0" w:space="0" w:color="auto"/>
      </w:divBdr>
    </w:div>
    <w:div w:id="1646741952">
      <w:bodyDiv w:val="1"/>
      <w:marLeft w:val="0"/>
      <w:marRight w:val="0"/>
      <w:marTop w:val="0"/>
      <w:marBottom w:val="0"/>
      <w:divBdr>
        <w:top w:val="none" w:sz="0" w:space="0" w:color="auto"/>
        <w:left w:val="none" w:sz="0" w:space="0" w:color="auto"/>
        <w:bottom w:val="none" w:sz="0" w:space="0" w:color="auto"/>
        <w:right w:val="none" w:sz="0" w:space="0" w:color="auto"/>
      </w:divBdr>
    </w:div>
    <w:div w:id="1670643795">
      <w:bodyDiv w:val="1"/>
      <w:marLeft w:val="0"/>
      <w:marRight w:val="0"/>
      <w:marTop w:val="0"/>
      <w:marBottom w:val="0"/>
      <w:divBdr>
        <w:top w:val="none" w:sz="0" w:space="0" w:color="auto"/>
        <w:left w:val="none" w:sz="0" w:space="0" w:color="auto"/>
        <w:bottom w:val="none" w:sz="0" w:space="0" w:color="auto"/>
        <w:right w:val="none" w:sz="0" w:space="0" w:color="auto"/>
      </w:divBdr>
    </w:div>
    <w:div w:id="1675955971">
      <w:bodyDiv w:val="1"/>
      <w:marLeft w:val="0"/>
      <w:marRight w:val="0"/>
      <w:marTop w:val="0"/>
      <w:marBottom w:val="0"/>
      <w:divBdr>
        <w:top w:val="none" w:sz="0" w:space="0" w:color="auto"/>
        <w:left w:val="none" w:sz="0" w:space="0" w:color="auto"/>
        <w:bottom w:val="none" w:sz="0" w:space="0" w:color="auto"/>
        <w:right w:val="none" w:sz="0" w:space="0" w:color="auto"/>
      </w:divBdr>
      <w:divsChild>
        <w:div w:id="136559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4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6698">
      <w:bodyDiv w:val="1"/>
      <w:marLeft w:val="0"/>
      <w:marRight w:val="0"/>
      <w:marTop w:val="0"/>
      <w:marBottom w:val="0"/>
      <w:divBdr>
        <w:top w:val="none" w:sz="0" w:space="0" w:color="auto"/>
        <w:left w:val="none" w:sz="0" w:space="0" w:color="auto"/>
        <w:bottom w:val="none" w:sz="0" w:space="0" w:color="auto"/>
        <w:right w:val="none" w:sz="0" w:space="0" w:color="auto"/>
      </w:divBdr>
      <w:divsChild>
        <w:div w:id="281303705">
          <w:marLeft w:val="446"/>
          <w:marRight w:val="0"/>
          <w:marTop w:val="0"/>
          <w:marBottom w:val="0"/>
          <w:divBdr>
            <w:top w:val="none" w:sz="0" w:space="0" w:color="auto"/>
            <w:left w:val="none" w:sz="0" w:space="0" w:color="auto"/>
            <w:bottom w:val="none" w:sz="0" w:space="0" w:color="auto"/>
            <w:right w:val="none" w:sz="0" w:space="0" w:color="auto"/>
          </w:divBdr>
        </w:div>
        <w:div w:id="1240864918">
          <w:marLeft w:val="1166"/>
          <w:marRight w:val="0"/>
          <w:marTop w:val="0"/>
          <w:marBottom w:val="0"/>
          <w:divBdr>
            <w:top w:val="none" w:sz="0" w:space="0" w:color="auto"/>
            <w:left w:val="none" w:sz="0" w:space="0" w:color="auto"/>
            <w:bottom w:val="none" w:sz="0" w:space="0" w:color="auto"/>
            <w:right w:val="none" w:sz="0" w:space="0" w:color="auto"/>
          </w:divBdr>
        </w:div>
        <w:div w:id="867723517">
          <w:marLeft w:val="446"/>
          <w:marRight w:val="0"/>
          <w:marTop w:val="0"/>
          <w:marBottom w:val="0"/>
          <w:divBdr>
            <w:top w:val="none" w:sz="0" w:space="0" w:color="auto"/>
            <w:left w:val="none" w:sz="0" w:space="0" w:color="auto"/>
            <w:bottom w:val="none" w:sz="0" w:space="0" w:color="auto"/>
            <w:right w:val="none" w:sz="0" w:space="0" w:color="auto"/>
          </w:divBdr>
        </w:div>
        <w:div w:id="1831099277">
          <w:marLeft w:val="1166"/>
          <w:marRight w:val="0"/>
          <w:marTop w:val="0"/>
          <w:marBottom w:val="0"/>
          <w:divBdr>
            <w:top w:val="none" w:sz="0" w:space="0" w:color="auto"/>
            <w:left w:val="none" w:sz="0" w:space="0" w:color="auto"/>
            <w:bottom w:val="none" w:sz="0" w:space="0" w:color="auto"/>
            <w:right w:val="none" w:sz="0" w:space="0" w:color="auto"/>
          </w:divBdr>
        </w:div>
        <w:div w:id="936789201">
          <w:marLeft w:val="1166"/>
          <w:marRight w:val="0"/>
          <w:marTop w:val="0"/>
          <w:marBottom w:val="0"/>
          <w:divBdr>
            <w:top w:val="none" w:sz="0" w:space="0" w:color="auto"/>
            <w:left w:val="none" w:sz="0" w:space="0" w:color="auto"/>
            <w:bottom w:val="none" w:sz="0" w:space="0" w:color="auto"/>
            <w:right w:val="none" w:sz="0" w:space="0" w:color="auto"/>
          </w:divBdr>
        </w:div>
        <w:div w:id="1677464510">
          <w:marLeft w:val="1166"/>
          <w:marRight w:val="0"/>
          <w:marTop w:val="0"/>
          <w:marBottom w:val="0"/>
          <w:divBdr>
            <w:top w:val="none" w:sz="0" w:space="0" w:color="auto"/>
            <w:left w:val="none" w:sz="0" w:space="0" w:color="auto"/>
            <w:bottom w:val="none" w:sz="0" w:space="0" w:color="auto"/>
            <w:right w:val="none" w:sz="0" w:space="0" w:color="auto"/>
          </w:divBdr>
        </w:div>
        <w:div w:id="216933748">
          <w:marLeft w:val="1166"/>
          <w:marRight w:val="0"/>
          <w:marTop w:val="0"/>
          <w:marBottom w:val="0"/>
          <w:divBdr>
            <w:top w:val="none" w:sz="0" w:space="0" w:color="auto"/>
            <w:left w:val="none" w:sz="0" w:space="0" w:color="auto"/>
            <w:bottom w:val="none" w:sz="0" w:space="0" w:color="auto"/>
            <w:right w:val="none" w:sz="0" w:space="0" w:color="auto"/>
          </w:divBdr>
        </w:div>
        <w:div w:id="1850176168">
          <w:marLeft w:val="1166"/>
          <w:marRight w:val="0"/>
          <w:marTop w:val="0"/>
          <w:marBottom w:val="0"/>
          <w:divBdr>
            <w:top w:val="none" w:sz="0" w:space="0" w:color="auto"/>
            <w:left w:val="none" w:sz="0" w:space="0" w:color="auto"/>
            <w:bottom w:val="none" w:sz="0" w:space="0" w:color="auto"/>
            <w:right w:val="none" w:sz="0" w:space="0" w:color="auto"/>
          </w:divBdr>
        </w:div>
        <w:div w:id="2090809383">
          <w:marLeft w:val="446"/>
          <w:marRight w:val="0"/>
          <w:marTop w:val="0"/>
          <w:marBottom w:val="0"/>
          <w:divBdr>
            <w:top w:val="none" w:sz="0" w:space="0" w:color="auto"/>
            <w:left w:val="none" w:sz="0" w:space="0" w:color="auto"/>
            <w:bottom w:val="none" w:sz="0" w:space="0" w:color="auto"/>
            <w:right w:val="none" w:sz="0" w:space="0" w:color="auto"/>
          </w:divBdr>
        </w:div>
        <w:div w:id="893807879">
          <w:marLeft w:val="446"/>
          <w:marRight w:val="0"/>
          <w:marTop w:val="0"/>
          <w:marBottom w:val="0"/>
          <w:divBdr>
            <w:top w:val="none" w:sz="0" w:space="0" w:color="auto"/>
            <w:left w:val="none" w:sz="0" w:space="0" w:color="auto"/>
            <w:bottom w:val="none" w:sz="0" w:space="0" w:color="auto"/>
            <w:right w:val="none" w:sz="0" w:space="0" w:color="auto"/>
          </w:divBdr>
        </w:div>
        <w:div w:id="1719165177">
          <w:marLeft w:val="1166"/>
          <w:marRight w:val="0"/>
          <w:marTop w:val="0"/>
          <w:marBottom w:val="0"/>
          <w:divBdr>
            <w:top w:val="none" w:sz="0" w:space="0" w:color="auto"/>
            <w:left w:val="none" w:sz="0" w:space="0" w:color="auto"/>
            <w:bottom w:val="none" w:sz="0" w:space="0" w:color="auto"/>
            <w:right w:val="none" w:sz="0" w:space="0" w:color="auto"/>
          </w:divBdr>
        </w:div>
        <w:div w:id="1402289181">
          <w:marLeft w:val="446"/>
          <w:marRight w:val="0"/>
          <w:marTop w:val="0"/>
          <w:marBottom w:val="0"/>
          <w:divBdr>
            <w:top w:val="none" w:sz="0" w:space="0" w:color="auto"/>
            <w:left w:val="none" w:sz="0" w:space="0" w:color="auto"/>
            <w:bottom w:val="none" w:sz="0" w:space="0" w:color="auto"/>
            <w:right w:val="none" w:sz="0" w:space="0" w:color="auto"/>
          </w:divBdr>
        </w:div>
        <w:div w:id="601571231">
          <w:marLeft w:val="446"/>
          <w:marRight w:val="0"/>
          <w:marTop w:val="0"/>
          <w:marBottom w:val="0"/>
          <w:divBdr>
            <w:top w:val="none" w:sz="0" w:space="0" w:color="auto"/>
            <w:left w:val="none" w:sz="0" w:space="0" w:color="auto"/>
            <w:bottom w:val="none" w:sz="0" w:space="0" w:color="auto"/>
            <w:right w:val="none" w:sz="0" w:space="0" w:color="auto"/>
          </w:divBdr>
        </w:div>
        <w:div w:id="1644695836">
          <w:marLeft w:val="1166"/>
          <w:marRight w:val="0"/>
          <w:marTop w:val="0"/>
          <w:marBottom w:val="0"/>
          <w:divBdr>
            <w:top w:val="none" w:sz="0" w:space="0" w:color="auto"/>
            <w:left w:val="none" w:sz="0" w:space="0" w:color="auto"/>
            <w:bottom w:val="none" w:sz="0" w:space="0" w:color="auto"/>
            <w:right w:val="none" w:sz="0" w:space="0" w:color="auto"/>
          </w:divBdr>
        </w:div>
        <w:div w:id="276497558">
          <w:marLeft w:val="1166"/>
          <w:marRight w:val="0"/>
          <w:marTop w:val="0"/>
          <w:marBottom w:val="0"/>
          <w:divBdr>
            <w:top w:val="none" w:sz="0" w:space="0" w:color="auto"/>
            <w:left w:val="none" w:sz="0" w:space="0" w:color="auto"/>
            <w:bottom w:val="none" w:sz="0" w:space="0" w:color="auto"/>
            <w:right w:val="none" w:sz="0" w:space="0" w:color="auto"/>
          </w:divBdr>
        </w:div>
        <w:div w:id="998003535">
          <w:marLeft w:val="446"/>
          <w:marRight w:val="0"/>
          <w:marTop w:val="0"/>
          <w:marBottom w:val="0"/>
          <w:divBdr>
            <w:top w:val="none" w:sz="0" w:space="0" w:color="auto"/>
            <w:left w:val="none" w:sz="0" w:space="0" w:color="auto"/>
            <w:bottom w:val="none" w:sz="0" w:space="0" w:color="auto"/>
            <w:right w:val="none" w:sz="0" w:space="0" w:color="auto"/>
          </w:divBdr>
        </w:div>
        <w:div w:id="1402633054">
          <w:marLeft w:val="446"/>
          <w:marRight w:val="0"/>
          <w:marTop w:val="0"/>
          <w:marBottom w:val="0"/>
          <w:divBdr>
            <w:top w:val="none" w:sz="0" w:space="0" w:color="auto"/>
            <w:left w:val="none" w:sz="0" w:space="0" w:color="auto"/>
            <w:bottom w:val="none" w:sz="0" w:space="0" w:color="auto"/>
            <w:right w:val="none" w:sz="0" w:space="0" w:color="auto"/>
          </w:divBdr>
        </w:div>
      </w:divsChild>
    </w:div>
    <w:div w:id="1746798193">
      <w:bodyDiv w:val="1"/>
      <w:marLeft w:val="0"/>
      <w:marRight w:val="0"/>
      <w:marTop w:val="0"/>
      <w:marBottom w:val="0"/>
      <w:divBdr>
        <w:top w:val="none" w:sz="0" w:space="0" w:color="auto"/>
        <w:left w:val="none" w:sz="0" w:space="0" w:color="auto"/>
        <w:bottom w:val="none" w:sz="0" w:space="0" w:color="auto"/>
        <w:right w:val="none" w:sz="0" w:space="0" w:color="auto"/>
      </w:divBdr>
    </w:div>
    <w:div w:id="1765415380">
      <w:bodyDiv w:val="1"/>
      <w:marLeft w:val="0"/>
      <w:marRight w:val="0"/>
      <w:marTop w:val="0"/>
      <w:marBottom w:val="0"/>
      <w:divBdr>
        <w:top w:val="none" w:sz="0" w:space="0" w:color="auto"/>
        <w:left w:val="none" w:sz="0" w:space="0" w:color="auto"/>
        <w:bottom w:val="none" w:sz="0" w:space="0" w:color="auto"/>
        <w:right w:val="none" w:sz="0" w:space="0" w:color="auto"/>
      </w:divBdr>
      <w:divsChild>
        <w:div w:id="1307052038">
          <w:marLeft w:val="0"/>
          <w:marRight w:val="0"/>
          <w:marTop w:val="0"/>
          <w:marBottom w:val="0"/>
          <w:divBdr>
            <w:top w:val="none" w:sz="0" w:space="0" w:color="auto"/>
            <w:left w:val="none" w:sz="0" w:space="0" w:color="auto"/>
            <w:bottom w:val="none" w:sz="0" w:space="0" w:color="auto"/>
            <w:right w:val="none" w:sz="0" w:space="0" w:color="auto"/>
          </w:divBdr>
          <w:divsChild>
            <w:div w:id="1886260287">
              <w:marLeft w:val="0"/>
              <w:marRight w:val="0"/>
              <w:marTop w:val="0"/>
              <w:marBottom w:val="0"/>
              <w:divBdr>
                <w:top w:val="none" w:sz="0" w:space="0" w:color="auto"/>
                <w:left w:val="none" w:sz="0" w:space="0" w:color="auto"/>
                <w:bottom w:val="none" w:sz="0" w:space="0" w:color="auto"/>
                <w:right w:val="none" w:sz="0" w:space="0" w:color="auto"/>
              </w:divBdr>
              <w:divsChild>
                <w:div w:id="2621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4630">
      <w:bodyDiv w:val="1"/>
      <w:marLeft w:val="0"/>
      <w:marRight w:val="0"/>
      <w:marTop w:val="0"/>
      <w:marBottom w:val="0"/>
      <w:divBdr>
        <w:top w:val="none" w:sz="0" w:space="0" w:color="auto"/>
        <w:left w:val="none" w:sz="0" w:space="0" w:color="auto"/>
        <w:bottom w:val="none" w:sz="0" w:space="0" w:color="auto"/>
        <w:right w:val="none" w:sz="0" w:space="0" w:color="auto"/>
      </w:divBdr>
    </w:div>
    <w:div w:id="1793286863">
      <w:bodyDiv w:val="1"/>
      <w:marLeft w:val="0"/>
      <w:marRight w:val="0"/>
      <w:marTop w:val="0"/>
      <w:marBottom w:val="0"/>
      <w:divBdr>
        <w:top w:val="none" w:sz="0" w:space="0" w:color="auto"/>
        <w:left w:val="none" w:sz="0" w:space="0" w:color="auto"/>
        <w:bottom w:val="none" w:sz="0" w:space="0" w:color="auto"/>
        <w:right w:val="none" w:sz="0" w:space="0" w:color="auto"/>
      </w:divBdr>
      <w:divsChild>
        <w:div w:id="81027392">
          <w:marLeft w:val="0"/>
          <w:marRight w:val="0"/>
          <w:marTop w:val="0"/>
          <w:marBottom w:val="0"/>
          <w:divBdr>
            <w:top w:val="none" w:sz="0" w:space="0" w:color="auto"/>
            <w:left w:val="none" w:sz="0" w:space="0" w:color="auto"/>
            <w:bottom w:val="none" w:sz="0" w:space="0" w:color="auto"/>
            <w:right w:val="none" w:sz="0" w:space="0" w:color="auto"/>
          </w:divBdr>
          <w:divsChild>
            <w:div w:id="436143004">
              <w:marLeft w:val="0"/>
              <w:marRight w:val="0"/>
              <w:marTop w:val="0"/>
              <w:marBottom w:val="0"/>
              <w:divBdr>
                <w:top w:val="none" w:sz="0" w:space="0" w:color="auto"/>
                <w:left w:val="none" w:sz="0" w:space="0" w:color="auto"/>
                <w:bottom w:val="none" w:sz="0" w:space="0" w:color="auto"/>
                <w:right w:val="none" w:sz="0" w:space="0" w:color="auto"/>
              </w:divBdr>
              <w:divsChild>
                <w:div w:id="505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7740">
      <w:bodyDiv w:val="1"/>
      <w:marLeft w:val="0"/>
      <w:marRight w:val="0"/>
      <w:marTop w:val="0"/>
      <w:marBottom w:val="0"/>
      <w:divBdr>
        <w:top w:val="none" w:sz="0" w:space="0" w:color="auto"/>
        <w:left w:val="none" w:sz="0" w:space="0" w:color="auto"/>
        <w:bottom w:val="none" w:sz="0" w:space="0" w:color="auto"/>
        <w:right w:val="none" w:sz="0" w:space="0" w:color="auto"/>
      </w:divBdr>
    </w:div>
    <w:div w:id="1843086137">
      <w:bodyDiv w:val="1"/>
      <w:marLeft w:val="0"/>
      <w:marRight w:val="0"/>
      <w:marTop w:val="0"/>
      <w:marBottom w:val="0"/>
      <w:divBdr>
        <w:top w:val="none" w:sz="0" w:space="0" w:color="auto"/>
        <w:left w:val="none" w:sz="0" w:space="0" w:color="auto"/>
        <w:bottom w:val="none" w:sz="0" w:space="0" w:color="auto"/>
        <w:right w:val="none" w:sz="0" w:space="0" w:color="auto"/>
      </w:divBdr>
    </w:div>
    <w:div w:id="1848976960">
      <w:bodyDiv w:val="1"/>
      <w:marLeft w:val="0"/>
      <w:marRight w:val="0"/>
      <w:marTop w:val="0"/>
      <w:marBottom w:val="0"/>
      <w:divBdr>
        <w:top w:val="none" w:sz="0" w:space="0" w:color="auto"/>
        <w:left w:val="none" w:sz="0" w:space="0" w:color="auto"/>
        <w:bottom w:val="none" w:sz="0" w:space="0" w:color="auto"/>
        <w:right w:val="none" w:sz="0" w:space="0" w:color="auto"/>
      </w:divBdr>
    </w:div>
    <w:div w:id="1850023759">
      <w:bodyDiv w:val="1"/>
      <w:marLeft w:val="0"/>
      <w:marRight w:val="0"/>
      <w:marTop w:val="0"/>
      <w:marBottom w:val="0"/>
      <w:divBdr>
        <w:top w:val="none" w:sz="0" w:space="0" w:color="auto"/>
        <w:left w:val="none" w:sz="0" w:space="0" w:color="auto"/>
        <w:bottom w:val="none" w:sz="0" w:space="0" w:color="auto"/>
        <w:right w:val="none" w:sz="0" w:space="0" w:color="auto"/>
      </w:divBdr>
    </w:div>
    <w:div w:id="1853252823">
      <w:bodyDiv w:val="1"/>
      <w:marLeft w:val="0"/>
      <w:marRight w:val="0"/>
      <w:marTop w:val="0"/>
      <w:marBottom w:val="0"/>
      <w:divBdr>
        <w:top w:val="none" w:sz="0" w:space="0" w:color="auto"/>
        <w:left w:val="none" w:sz="0" w:space="0" w:color="auto"/>
        <w:bottom w:val="none" w:sz="0" w:space="0" w:color="auto"/>
        <w:right w:val="none" w:sz="0" w:space="0" w:color="auto"/>
      </w:divBdr>
      <w:divsChild>
        <w:div w:id="177619038">
          <w:marLeft w:val="0"/>
          <w:marRight w:val="0"/>
          <w:marTop w:val="0"/>
          <w:marBottom w:val="0"/>
          <w:divBdr>
            <w:top w:val="none" w:sz="0" w:space="0" w:color="auto"/>
            <w:left w:val="none" w:sz="0" w:space="0" w:color="auto"/>
            <w:bottom w:val="none" w:sz="0" w:space="0" w:color="auto"/>
            <w:right w:val="none" w:sz="0" w:space="0" w:color="auto"/>
          </w:divBdr>
          <w:divsChild>
            <w:div w:id="72438807">
              <w:marLeft w:val="0"/>
              <w:marRight w:val="0"/>
              <w:marTop w:val="0"/>
              <w:marBottom w:val="0"/>
              <w:divBdr>
                <w:top w:val="none" w:sz="0" w:space="0" w:color="auto"/>
                <w:left w:val="none" w:sz="0" w:space="0" w:color="auto"/>
                <w:bottom w:val="none" w:sz="0" w:space="0" w:color="auto"/>
                <w:right w:val="none" w:sz="0" w:space="0" w:color="auto"/>
              </w:divBdr>
              <w:divsChild>
                <w:div w:id="6494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6872">
      <w:bodyDiv w:val="1"/>
      <w:marLeft w:val="0"/>
      <w:marRight w:val="0"/>
      <w:marTop w:val="0"/>
      <w:marBottom w:val="0"/>
      <w:divBdr>
        <w:top w:val="none" w:sz="0" w:space="0" w:color="auto"/>
        <w:left w:val="none" w:sz="0" w:space="0" w:color="auto"/>
        <w:bottom w:val="none" w:sz="0" w:space="0" w:color="auto"/>
        <w:right w:val="none" w:sz="0" w:space="0" w:color="auto"/>
      </w:divBdr>
      <w:divsChild>
        <w:div w:id="982925037">
          <w:marLeft w:val="547"/>
          <w:marRight w:val="0"/>
          <w:marTop w:val="0"/>
          <w:marBottom w:val="0"/>
          <w:divBdr>
            <w:top w:val="none" w:sz="0" w:space="0" w:color="auto"/>
            <w:left w:val="none" w:sz="0" w:space="0" w:color="auto"/>
            <w:bottom w:val="none" w:sz="0" w:space="0" w:color="auto"/>
            <w:right w:val="none" w:sz="0" w:space="0" w:color="auto"/>
          </w:divBdr>
        </w:div>
      </w:divsChild>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04755408">
      <w:bodyDiv w:val="1"/>
      <w:marLeft w:val="0"/>
      <w:marRight w:val="0"/>
      <w:marTop w:val="0"/>
      <w:marBottom w:val="0"/>
      <w:divBdr>
        <w:top w:val="none" w:sz="0" w:space="0" w:color="auto"/>
        <w:left w:val="none" w:sz="0" w:space="0" w:color="auto"/>
        <w:bottom w:val="none" w:sz="0" w:space="0" w:color="auto"/>
        <w:right w:val="none" w:sz="0" w:space="0" w:color="auto"/>
      </w:divBdr>
    </w:div>
    <w:div w:id="1911773882">
      <w:bodyDiv w:val="1"/>
      <w:marLeft w:val="0"/>
      <w:marRight w:val="0"/>
      <w:marTop w:val="0"/>
      <w:marBottom w:val="0"/>
      <w:divBdr>
        <w:top w:val="none" w:sz="0" w:space="0" w:color="auto"/>
        <w:left w:val="none" w:sz="0" w:space="0" w:color="auto"/>
        <w:bottom w:val="none" w:sz="0" w:space="0" w:color="auto"/>
        <w:right w:val="none" w:sz="0" w:space="0" w:color="auto"/>
      </w:divBdr>
    </w:div>
    <w:div w:id="1917205133">
      <w:bodyDiv w:val="1"/>
      <w:marLeft w:val="0"/>
      <w:marRight w:val="0"/>
      <w:marTop w:val="0"/>
      <w:marBottom w:val="0"/>
      <w:divBdr>
        <w:top w:val="none" w:sz="0" w:space="0" w:color="auto"/>
        <w:left w:val="none" w:sz="0" w:space="0" w:color="auto"/>
        <w:bottom w:val="none" w:sz="0" w:space="0" w:color="auto"/>
        <w:right w:val="none" w:sz="0" w:space="0" w:color="auto"/>
      </w:divBdr>
    </w:div>
    <w:div w:id="1917401352">
      <w:bodyDiv w:val="1"/>
      <w:marLeft w:val="0"/>
      <w:marRight w:val="0"/>
      <w:marTop w:val="0"/>
      <w:marBottom w:val="0"/>
      <w:divBdr>
        <w:top w:val="none" w:sz="0" w:space="0" w:color="auto"/>
        <w:left w:val="none" w:sz="0" w:space="0" w:color="auto"/>
        <w:bottom w:val="none" w:sz="0" w:space="0" w:color="auto"/>
        <w:right w:val="none" w:sz="0" w:space="0" w:color="auto"/>
      </w:divBdr>
    </w:div>
    <w:div w:id="1936478896">
      <w:bodyDiv w:val="1"/>
      <w:marLeft w:val="0"/>
      <w:marRight w:val="0"/>
      <w:marTop w:val="0"/>
      <w:marBottom w:val="0"/>
      <w:divBdr>
        <w:top w:val="none" w:sz="0" w:space="0" w:color="auto"/>
        <w:left w:val="none" w:sz="0" w:space="0" w:color="auto"/>
        <w:bottom w:val="none" w:sz="0" w:space="0" w:color="auto"/>
        <w:right w:val="none" w:sz="0" w:space="0" w:color="auto"/>
      </w:divBdr>
    </w:div>
    <w:div w:id="1960409423">
      <w:bodyDiv w:val="1"/>
      <w:marLeft w:val="0"/>
      <w:marRight w:val="0"/>
      <w:marTop w:val="0"/>
      <w:marBottom w:val="0"/>
      <w:divBdr>
        <w:top w:val="none" w:sz="0" w:space="0" w:color="auto"/>
        <w:left w:val="none" w:sz="0" w:space="0" w:color="auto"/>
        <w:bottom w:val="none" w:sz="0" w:space="0" w:color="auto"/>
        <w:right w:val="none" w:sz="0" w:space="0" w:color="auto"/>
      </w:divBdr>
    </w:div>
    <w:div w:id="1973057362">
      <w:bodyDiv w:val="1"/>
      <w:marLeft w:val="0"/>
      <w:marRight w:val="0"/>
      <w:marTop w:val="0"/>
      <w:marBottom w:val="0"/>
      <w:divBdr>
        <w:top w:val="none" w:sz="0" w:space="0" w:color="auto"/>
        <w:left w:val="none" w:sz="0" w:space="0" w:color="auto"/>
        <w:bottom w:val="none" w:sz="0" w:space="0" w:color="auto"/>
        <w:right w:val="none" w:sz="0" w:space="0" w:color="auto"/>
      </w:divBdr>
    </w:div>
    <w:div w:id="1973518087">
      <w:bodyDiv w:val="1"/>
      <w:marLeft w:val="0"/>
      <w:marRight w:val="0"/>
      <w:marTop w:val="0"/>
      <w:marBottom w:val="0"/>
      <w:divBdr>
        <w:top w:val="none" w:sz="0" w:space="0" w:color="auto"/>
        <w:left w:val="none" w:sz="0" w:space="0" w:color="auto"/>
        <w:bottom w:val="none" w:sz="0" w:space="0" w:color="auto"/>
        <w:right w:val="none" w:sz="0" w:space="0" w:color="auto"/>
      </w:divBdr>
    </w:div>
    <w:div w:id="1981227477">
      <w:bodyDiv w:val="1"/>
      <w:marLeft w:val="0"/>
      <w:marRight w:val="0"/>
      <w:marTop w:val="0"/>
      <w:marBottom w:val="0"/>
      <w:divBdr>
        <w:top w:val="none" w:sz="0" w:space="0" w:color="auto"/>
        <w:left w:val="none" w:sz="0" w:space="0" w:color="auto"/>
        <w:bottom w:val="none" w:sz="0" w:space="0" w:color="auto"/>
        <w:right w:val="none" w:sz="0" w:space="0" w:color="auto"/>
      </w:divBdr>
    </w:div>
    <w:div w:id="1998072320">
      <w:bodyDiv w:val="1"/>
      <w:marLeft w:val="0"/>
      <w:marRight w:val="0"/>
      <w:marTop w:val="0"/>
      <w:marBottom w:val="0"/>
      <w:divBdr>
        <w:top w:val="none" w:sz="0" w:space="0" w:color="auto"/>
        <w:left w:val="none" w:sz="0" w:space="0" w:color="auto"/>
        <w:bottom w:val="none" w:sz="0" w:space="0" w:color="auto"/>
        <w:right w:val="none" w:sz="0" w:space="0" w:color="auto"/>
      </w:divBdr>
      <w:divsChild>
        <w:div w:id="1440639563">
          <w:marLeft w:val="0"/>
          <w:marRight w:val="0"/>
          <w:marTop w:val="0"/>
          <w:marBottom w:val="0"/>
          <w:divBdr>
            <w:top w:val="none" w:sz="0" w:space="0" w:color="auto"/>
            <w:left w:val="none" w:sz="0" w:space="0" w:color="auto"/>
            <w:bottom w:val="none" w:sz="0" w:space="0" w:color="auto"/>
            <w:right w:val="none" w:sz="0" w:space="0" w:color="auto"/>
          </w:divBdr>
          <w:divsChild>
            <w:div w:id="1343049305">
              <w:marLeft w:val="0"/>
              <w:marRight w:val="0"/>
              <w:marTop w:val="0"/>
              <w:marBottom w:val="0"/>
              <w:divBdr>
                <w:top w:val="none" w:sz="0" w:space="0" w:color="auto"/>
                <w:left w:val="none" w:sz="0" w:space="0" w:color="auto"/>
                <w:bottom w:val="none" w:sz="0" w:space="0" w:color="auto"/>
                <w:right w:val="none" w:sz="0" w:space="0" w:color="auto"/>
              </w:divBdr>
              <w:divsChild>
                <w:div w:id="12265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047">
      <w:bodyDiv w:val="1"/>
      <w:marLeft w:val="0"/>
      <w:marRight w:val="0"/>
      <w:marTop w:val="0"/>
      <w:marBottom w:val="0"/>
      <w:divBdr>
        <w:top w:val="none" w:sz="0" w:space="0" w:color="auto"/>
        <w:left w:val="none" w:sz="0" w:space="0" w:color="auto"/>
        <w:bottom w:val="none" w:sz="0" w:space="0" w:color="auto"/>
        <w:right w:val="none" w:sz="0" w:space="0" w:color="auto"/>
      </w:divBdr>
      <w:divsChild>
        <w:div w:id="115873350">
          <w:marLeft w:val="0"/>
          <w:marRight w:val="0"/>
          <w:marTop w:val="0"/>
          <w:marBottom w:val="0"/>
          <w:divBdr>
            <w:top w:val="none" w:sz="0" w:space="0" w:color="auto"/>
            <w:left w:val="none" w:sz="0" w:space="0" w:color="auto"/>
            <w:bottom w:val="none" w:sz="0" w:space="0" w:color="auto"/>
            <w:right w:val="none" w:sz="0" w:space="0" w:color="auto"/>
          </w:divBdr>
          <w:divsChild>
            <w:div w:id="1083524404">
              <w:marLeft w:val="0"/>
              <w:marRight w:val="0"/>
              <w:marTop w:val="0"/>
              <w:marBottom w:val="0"/>
              <w:divBdr>
                <w:top w:val="none" w:sz="0" w:space="0" w:color="auto"/>
                <w:left w:val="none" w:sz="0" w:space="0" w:color="auto"/>
                <w:bottom w:val="none" w:sz="0" w:space="0" w:color="auto"/>
                <w:right w:val="none" w:sz="0" w:space="0" w:color="auto"/>
              </w:divBdr>
              <w:divsChild>
                <w:div w:id="4332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7773">
      <w:bodyDiv w:val="1"/>
      <w:marLeft w:val="0"/>
      <w:marRight w:val="0"/>
      <w:marTop w:val="0"/>
      <w:marBottom w:val="0"/>
      <w:divBdr>
        <w:top w:val="none" w:sz="0" w:space="0" w:color="auto"/>
        <w:left w:val="none" w:sz="0" w:space="0" w:color="auto"/>
        <w:bottom w:val="none" w:sz="0" w:space="0" w:color="auto"/>
        <w:right w:val="none" w:sz="0" w:space="0" w:color="auto"/>
      </w:divBdr>
    </w:div>
    <w:div w:id="2022127467">
      <w:bodyDiv w:val="1"/>
      <w:marLeft w:val="0"/>
      <w:marRight w:val="0"/>
      <w:marTop w:val="0"/>
      <w:marBottom w:val="0"/>
      <w:divBdr>
        <w:top w:val="none" w:sz="0" w:space="0" w:color="auto"/>
        <w:left w:val="none" w:sz="0" w:space="0" w:color="auto"/>
        <w:bottom w:val="none" w:sz="0" w:space="0" w:color="auto"/>
        <w:right w:val="none" w:sz="0" w:space="0" w:color="auto"/>
      </w:divBdr>
      <w:divsChild>
        <w:div w:id="1174875639">
          <w:marLeft w:val="446"/>
          <w:marRight w:val="0"/>
          <w:marTop w:val="0"/>
          <w:marBottom w:val="0"/>
          <w:divBdr>
            <w:top w:val="none" w:sz="0" w:space="0" w:color="auto"/>
            <w:left w:val="none" w:sz="0" w:space="0" w:color="auto"/>
            <w:bottom w:val="none" w:sz="0" w:space="0" w:color="auto"/>
            <w:right w:val="none" w:sz="0" w:space="0" w:color="auto"/>
          </w:divBdr>
        </w:div>
        <w:div w:id="259526840">
          <w:marLeft w:val="446"/>
          <w:marRight w:val="0"/>
          <w:marTop w:val="0"/>
          <w:marBottom w:val="0"/>
          <w:divBdr>
            <w:top w:val="none" w:sz="0" w:space="0" w:color="auto"/>
            <w:left w:val="none" w:sz="0" w:space="0" w:color="auto"/>
            <w:bottom w:val="none" w:sz="0" w:space="0" w:color="auto"/>
            <w:right w:val="none" w:sz="0" w:space="0" w:color="auto"/>
          </w:divBdr>
        </w:div>
        <w:div w:id="390159545">
          <w:marLeft w:val="446"/>
          <w:marRight w:val="0"/>
          <w:marTop w:val="0"/>
          <w:marBottom w:val="0"/>
          <w:divBdr>
            <w:top w:val="none" w:sz="0" w:space="0" w:color="auto"/>
            <w:left w:val="none" w:sz="0" w:space="0" w:color="auto"/>
            <w:bottom w:val="none" w:sz="0" w:space="0" w:color="auto"/>
            <w:right w:val="none" w:sz="0" w:space="0" w:color="auto"/>
          </w:divBdr>
        </w:div>
        <w:div w:id="1453279874">
          <w:marLeft w:val="446"/>
          <w:marRight w:val="0"/>
          <w:marTop w:val="0"/>
          <w:marBottom w:val="0"/>
          <w:divBdr>
            <w:top w:val="none" w:sz="0" w:space="0" w:color="auto"/>
            <w:left w:val="none" w:sz="0" w:space="0" w:color="auto"/>
            <w:bottom w:val="none" w:sz="0" w:space="0" w:color="auto"/>
            <w:right w:val="none" w:sz="0" w:space="0" w:color="auto"/>
          </w:divBdr>
        </w:div>
      </w:divsChild>
    </w:div>
    <w:div w:id="2048866378">
      <w:bodyDiv w:val="1"/>
      <w:marLeft w:val="0"/>
      <w:marRight w:val="0"/>
      <w:marTop w:val="0"/>
      <w:marBottom w:val="0"/>
      <w:divBdr>
        <w:top w:val="none" w:sz="0" w:space="0" w:color="auto"/>
        <w:left w:val="none" w:sz="0" w:space="0" w:color="auto"/>
        <w:bottom w:val="none" w:sz="0" w:space="0" w:color="auto"/>
        <w:right w:val="none" w:sz="0" w:space="0" w:color="auto"/>
      </w:divBdr>
    </w:div>
    <w:div w:id="2057660278">
      <w:bodyDiv w:val="1"/>
      <w:marLeft w:val="0"/>
      <w:marRight w:val="0"/>
      <w:marTop w:val="0"/>
      <w:marBottom w:val="0"/>
      <w:divBdr>
        <w:top w:val="none" w:sz="0" w:space="0" w:color="auto"/>
        <w:left w:val="none" w:sz="0" w:space="0" w:color="auto"/>
        <w:bottom w:val="none" w:sz="0" w:space="0" w:color="auto"/>
        <w:right w:val="none" w:sz="0" w:space="0" w:color="auto"/>
      </w:divBdr>
      <w:divsChild>
        <w:div w:id="552886239">
          <w:marLeft w:val="806"/>
          <w:marRight w:val="0"/>
          <w:marTop w:val="200"/>
          <w:marBottom w:val="0"/>
          <w:divBdr>
            <w:top w:val="none" w:sz="0" w:space="0" w:color="auto"/>
            <w:left w:val="none" w:sz="0" w:space="0" w:color="auto"/>
            <w:bottom w:val="none" w:sz="0" w:space="0" w:color="auto"/>
            <w:right w:val="none" w:sz="0" w:space="0" w:color="auto"/>
          </w:divBdr>
        </w:div>
        <w:div w:id="25756358">
          <w:marLeft w:val="806"/>
          <w:marRight w:val="0"/>
          <w:marTop w:val="200"/>
          <w:marBottom w:val="0"/>
          <w:divBdr>
            <w:top w:val="none" w:sz="0" w:space="0" w:color="auto"/>
            <w:left w:val="none" w:sz="0" w:space="0" w:color="auto"/>
            <w:bottom w:val="none" w:sz="0" w:space="0" w:color="auto"/>
            <w:right w:val="none" w:sz="0" w:space="0" w:color="auto"/>
          </w:divBdr>
        </w:div>
        <w:div w:id="1931346851">
          <w:marLeft w:val="806"/>
          <w:marRight w:val="0"/>
          <w:marTop w:val="200"/>
          <w:marBottom w:val="0"/>
          <w:divBdr>
            <w:top w:val="none" w:sz="0" w:space="0" w:color="auto"/>
            <w:left w:val="none" w:sz="0" w:space="0" w:color="auto"/>
            <w:bottom w:val="none" w:sz="0" w:space="0" w:color="auto"/>
            <w:right w:val="none" w:sz="0" w:space="0" w:color="auto"/>
          </w:divBdr>
        </w:div>
        <w:div w:id="1344042535">
          <w:marLeft w:val="806"/>
          <w:marRight w:val="0"/>
          <w:marTop w:val="200"/>
          <w:marBottom w:val="0"/>
          <w:divBdr>
            <w:top w:val="none" w:sz="0" w:space="0" w:color="auto"/>
            <w:left w:val="none" w:sz="0" w:space="0" w:color="auto"/>
            <w:bottom w:val="none" w:sz="0" w:space="0" w:color="auto"/>
            <w:right w:val="none" w:sz="0" w:space="0" w:color="auto"/>
          </w:divBdr>
        </w:div>
        <w:div w:id="1696685322">
          <w:marLeft w:val="806"/>
          <w:marRight w:val="0"/>
          <w:marTop w:val="200"/>
          <w:marBottom w:val="0"/>
          <w:divBdr>
            <w:top w:val="none" w:sz="0" w:space="0" w:color="auto"/>
            <w:left w:val="none" w:sz="0" w:space="0" w:color="auto"/>
            <w:bottom w:val="none" w:sz="0" w:space="0" w:color="auto"/>
            <w:right w:val="none" w:sz="0" w:space="0" w:color="auto"/>
          </w:divBdr>
        </w:div>
        <w:div w:id="22679100">
          <w:marLeft w:val="360"/>
          <w:marRight w:val="0"/>
          <w:marTop w:val="200"/>
          <w:marBottom w:val="0"/>
          <w:divBdr>
            <w:top w:val="none" w:sz="0" w:space="0" w:color="auto"/>
            <w:left w:val="none" w:sz="0" w:space="0" w:color="auto"/>
            <w:bottom w:val="none" w:sz="0" w:space="0" w:color="auto"/>
            <w:right w:val="none" w:sz="0" w:space="0" w:color="auto"/>
          </w:divBdr>
        </w:div>
        <w:div w:id="1467965749">
          <w:marLeft w:val="360"/>
          <w:marRight w:val="0"/>
          <w:marTop w:val="200"/>
          <w:marBottom w:val="0"/>
          <w:divBdr>
            <w:top w:val="none" w:sz="0" w:space="0" w:color="auto"/>
            <w:left w:val="none" w:sz="0" w:space="0" w:color="auto"/>
            <w:bottom w:val="none" w:sz="0" w:space="0" w:color="auto"/>
            <w:right w:val="none" w:sz="0" w:space="0" w:color="auto"/>
          </w:divBdr>
        </w:div>
        <w:div w:id="291863591">
          <w:marLeft w:val="360"/>
          <w:marRight w:val="0"/>
          <w:marTop w:val="200"/>
          <w:marBottom w:val="0"/>
          <w:divBdr>
            <w:top w:val="none" w:sz="0" w:space="0" w:color="auto"/>
            <w:left w:val="none" w:sz="0" w:space="0" w:color="auto"/>
            <w:bottom w:val="none" w:sz="0" w:space="0" w:color="auto"/>
            <w:right w:val="none" w:sz="0" w:space="0" w:color="auto"/>
          </w:divBdr>
        </w:div>
        <w:div w:id="1574392260">
          <w:marLeft w:val="360"/>
          <w:marRight w:val="0"/>
          <w:marTop w:val="200"/>
          <w:marBottom w:val="0"/>
          <w:divBdr>
            <w:top w:val="none" w:sz="0" w:space="0" w:color="auto"/>
            <w:left w:val="none" w:sz="0" w:space="0" w:color="auto"/>
            <w:bottom w:val="none" w:sz="0" w:space="0" w:color="auto"/>
            <w:right w:val="none" w:sz="0" w:space="0" w:color="auto"/>
          </w:divBdr>
        </w:div>
      </w:divsChild>
    </w:div>
    <w:div w:id="2059620437">
      <w:bodyDiv w:val="1"/>
      <w:marLeft w:val="0"/>
      <w:marRight w:val="0"/>
      <w:marTop w:val="0"/>
      <w:marBottom w:val="0"/>
      <w:divBdr>
        <w:top w:val="none" w:sz="0" w:space="0" w:color="auto"/>
        <w:left w:val="none" w:sz="0" w:space="0" w:color="auto"/>
        <w:bottom w:val="none" w:sz="0" w:space="0" w:color="auto"/>
        <w:right w:val="none" w:sz="0" w:space="0" w:color="auto"/>
      </w:divBdr>
    </w:div>
    <w:div w:id="2060349725">
      <w:bodyDiv w:val="1"/>
      <w:marLeft w:val="0"/>
      <w:marRight w:val="0"/>
      <w:marTop w:val="0"/>
      <w:marBottom w:val="0"/>
      <w:divBdr>
        <w:top w:val="none" w:sz="0" w:space="0" w:color="auto"/>
        <w:left w:val="none" w:sz="0" w:space="0" w:color="auto"/>
        <w:bottom w:val="none" w:sz="0" w:space="0" w:color="auto"/>
        <w:right w:val="none" w:sz="0" w:space="0" w:color="auto"/>
      </w:divBdr>
      <w:divsChild>
        <w:div w:id="1151605902">
          <w:marLeft w:val="0"/>
          <w:marRight w:val="0"/>
          <w:marTop w:val="0"/>
          <w:marBottom w:val="0"/>
          <w:divBdr>
            <w:top w:val="none" w:sz="0" w:space="0" w:color="auto"/>
            <w:left w:val="none" w:sz="0" w:space="0" w:color="auto"/>
            <w:bottom w:val="none" w:sz="0" w:space="0" w:color="auto"/>
            <w:right w:val="none" w:sz="0" w:space="0" w:color="auto"/>
          </w:divBdr>
          <w:divsChild>
            <w:div w:id="573273768">
              <w:marLeft w:val="0"/>
              <w:marRight w:val="0"/>
              <w:marTop w:val="0"/>
              <w:marBottom w:val="0"/>
              <w:divBdr>
                <w:top w:val="none" w:sz="0" w:space="0" w:color="auto"/>
                <w:left w:val="none" w:sz="0" w:space="0" w:color="auto"/>
                <w:bottom w:val="none" w:sz="0" w:space="0" w:color="auto"/>
                <w:right w:val="none" w:sz="0" w:space="0" w:color="auto"/>
              </w:divBdr>
              <w:divsChild>
                <w:div w:id="9552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76583">
      <w:bodyDiv w:val="1"/>
      <w:marLeft w:val="0"/>
      <w:marRight w:val="0"/>
      <w:marTop w:val="0"/>
      <w:marBottom w:val="0"/>
      <w:divBdr>
        <w:top w:val="none" w:sz="0" w:space="0" w:color="auto"/>
        <w:left w:val="none" w:sz="0" w:space="0" w:color="auto"/>
        <w:bottom w:val="none" w:sz="0" w:space="0" w:color="auto"/>
        <w:right w:val="none" w:sz="0" w:space="0" w:color="auto"/>
      </w:divBdr>
    </w:div>
    <w:div w:id="2067413208">
      <w:bodyDiv w:val="1"/>
      <w:marLeft w:val="0"/>
      <w:marRight w:val="0"/>
      <w:marTop w:val="0"/>
      <w:marBottom w:val="0"/>
      <w:divBdr>
        <w:top w:val="none" w:sz="0" w:space="0" w:color="auto"/>
        <w:left w:val="none" w:sz="0" w:space="0" w:color="auto"/>
        <w:bottom w:val="none" w:sz="0" w:space="0" w:color="auto"/>
        <w:right w:val="none" w:sz="0" w:space="0" w:color="auto"/>
      </w:divBdr>
    </w:div>
    <w:div w:id="2095083977">
      <w:bodyDiv w:val="1"/>
      <w:marLeft w:val="0"/>
      <w:marRight w:val="0"/>
      <w:marTop w:val="0"/>
      <w:marBottom w:val="0"/>
      <w:divBdr>
        <w:top w:val="none" w:sz="0" w:space="0" w:color="auto"/>
        <w:left w:val="none" w:sz="0" w:space="0" w:color="auto"/>
        <w:bottom w:val="none" w:sz="0" w:space="0" w:color="auto"/>
        <w:right w:val="none" w:sz="0" w:space="0" w:color="auto"/>
      </w:divBdr>
    </w:div>
    <w:div w:id="2114594152">
      <w:bodyDiv w:val="1"/>
      <w:marLeft w:val="0"/>
      <w:marRight w:val="0"/>
      <w:marTop w:val="0"/>
      <w:marBottom w:val="0"/>
      <w:divBdr>
        <w:top w:val="none" w:sz="0" w:space="0" w:color="auto"/>
        <w:left w:val="none" w:sz="0" w:space="0" w:color="auto"/>
        <w:bottom w:val="none" w:sz="0" w:space="0" w:color="auto"/>
        <w:right w:val="none" w:sz="0" w:space="0" w:color="auto"/>
      </w:divBdr>
      <w:divsChild>
        <w:div w:id="323820272">
          <w:marLeft w:val="0"/>
          <w:marRight w:val="0"/>
          <w:marTop w:val="0"/>
          <w:marBottom w:val="0"/>
          <w:divBdr>
            <w:top w:val="none" w:sz="0" w:space="0" w:color="auto"/>
            <w:left w:val="none" w:sz="0" w:space="0" w:color="auto"/>
            <w:bottom w:val="none" w:sz="0" w:space="0" w:color="auto"/>
            <w:right w:val="none" w:sz="0" w:space="0" w:color="auto"/>
          </w:divBdr>
          <w:divsChild>
            <w:div w:id="841044698">
              <w:marLeft w:val="0"/>
              <w:marRight w:val="0"/>
              <w:marTop w:val="0"/>
              <w:marBottom w:val="0"/>
              <w:divBdr>
                <w:top w:val="none" w:sz="0" w:space="0" w:color="auto"/>
                <w:left w:val="none" w:sz="0" w:space="0" w:color="auto"/>
                <w:bottom w:val="none" w:sz="0" w:space="0" w:color="auto"/>
                <w:right w:val="none" w:sz="0" w:space="0" w:color="auto"/>
              </w:divBdr>
              <w:divsChild>
                <w:div w:id="16140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3316">
      <w:bodyDiv w:val="1"/>
      <w:marLeft w:val="0"/>
      <w:marRight w:val="0"/>
      <w:marTop w:val="0"/>
      <w:marBottom w:val="0"/>
      <w:divBdr>
        <w:top w:val="none" w:sz="0" w:space="0" w:color="auto"/>
        <w:left w:val="none" w:sz="0" w:space="0" w:color="auto"/>
        <w:bottom w:val="none" w:sz="0" w:space="0" w:color="auto"/>
        <w:right w:val="none" w:sz="0" w:space="0" w:color="auto"/>
      </w:divBdr>
    </w:div>
    <w:div w:id="21463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Users/HJV/Dropbox/0%20MOHS%20NCD%20Strategic%20plan/NCD%20workshops/Document%20versions/7Mar2020%20versions/NCD%20strategic%20plan%202019-2023%207Mar2020.docx"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eg"/><Relationship Id="rId12" Type="http://schemas.openxmlformats.org/officeDocument/2006/relationships/hyperlink" Target="file:////Users/HJV/Dropbox/0%20MOHS%20NCD%20Strategic%20plan/NCD%20workshops/Document%20versions/7Mar2020%20versions/NCD%20strategic%20plan%202019-2023%207Mar2020.docx" TargetMode="External"/><Relationship Id="rId17" Type="http://schemas.microsoft.com/office/2007/relationships/hdphoto" Target="media/hdphoto1.wdp"/><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HJV/Dropbox/0%20MOHS%20NCD%20Strategic%20plan/NCD%20workshops/Document%20versions/7Mar2020%20versions/NCD%20strategic%20plan%202019-2023%207Mar2020.docx" TargetMode="External"/><Relationship Id="rId24"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Users/HJV/Dropbox/0%20MOHS%20NCD%20Strategic%20plan/NCD%20workshops/Document%20versions/7Mar2020%20versions/NCD%20strategic%20plan%202019-2023%207Mar2020.docx" TargetMode="External"/><Relationship Id="rId22" Type="http://schemas.openxmlformats.org/officeDocument/2006/relationships/chart" Target="charts/chart1.xml"/></Relationships>
</file>

<file path=word/_rels/endnotes.xml.rels><?xml version="1.0" encoding="UTF-8" standalone="yes"?>
<Relationships xmlns="http://schemas.openxmlformats.org/package/2006/relationships"><Relationship Id="rId1" Type="http://schemas.openxmlformats.org/officeDocument/2006/relationships/hyperlink" Target="http://www.sierra-leone.org/Laws/2007-5p.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321-304E-877C-9771AB14A98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321-304E-877C-9771AB14A98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321-304E-877C-9771AB14A98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321-304E-877C-9771AB14A98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321-304E-877C-9771AB14A98D}"/>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321-304E-877C-9771AB14A98D}"/>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321-304E-877C-9771AB14A98D}"/>
              </c:ext>
            </c:extLst>
          </c:dPt>
          <c:dLbls>
            <c:dLbl>
              <c:idx val="0"/>
              <c:layout>
                <c:manualLayout>
                  <c:x val="2.0705583720171793E-2"/>
                  <c:y val="0.1843246745429542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0342299764555719"/>
                      <c:h val="0.36837737919339647"/>
                    </c:manualLayout>
                  </c15:layout>
                </c:ext>
                <c:ext xmlns:c16="http://schemas.microsoft.com/office/drawing/2014/chart" uri="{C3380CC4-5D6E-409C-BE32-E72D297353CC}">
                  <c16:uniqueId val="{00000001-C321-304E-877C-9771AB14A98D}"/>
                </c:ext>
              </c:extLst>
            </c:dLbl>
            <c:dLbl>
              <c:idx val="1"/>
              <c:layout>
                <c:manualLayout>
                  <c:x val="-1.1323174125933068E-2"/>
                  <c:y val="8.0061412375570587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364872143425067"/>
                      <c:h val="0.26477328694958258"/>
                    </c:manualLayout>
                  </c15:layout>
                </c:ext>
                <c:ext xmlns:c16="http://schemas.microsoft.com/office/drawing/2014/chart" uri="{C3380CC4-5D6E-409C-BE32-E72D297353CC}">
                  <c16:uniqueId val="{00000003-C321-304E-877C-9771AB14A98D}"/>
                </c:ext>
              </c:extLst>
            </c:dLbl>
            <c:dLbl>
              <c:idx val="2"/>
              <c:layout>
                <c:manualLayout>
                  <c:x val="-6.8251809689373694E-2"/>
                  <c:y val="5.48554014470553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21-304E-877C-9771AB14A98D}"/>
                </c:ext>
              </c:extLst>
            </c:dLbl>
            <c:dLbl>
              <c:idx val="3"/>
              <c:layout>
                <c:manualLayout>
                  <c:x val="-8.0227023739296438E-2"/>
                  <c:y val="9.1184593612259307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1675197766402979"/>
                      <c:h val="0.11496437054631829"/>
                    </c:manualLayout>
                  </c15:layout>
                </c:ext>
                <c:ext xmlns:c16="http://schemas.microsoft.com/office/drawing/2014/chart" uri="{C3380CC4-5D6E-409C-BE32-E72D297353CC}">
                  <c16:uniqueId val="{00000007-C321-304E-877C-9771AB14A98D}"/>
                </c:ext>
              </c:extLst>
            </c:dLbl>
            <c:dLbl>
              <c:idx val="4"/>
              <c:layout>
                <c:manualLayout>
                  <c:x val="-0.10595096204431183"/>
                  <c:y val="3.3986695843542139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901484247656339"/>
                      <c:h val="0.2747545214805393"/>
                    </c:manualLayout>
                  </c15:layout>
                </c:ext>
                <c:ext xmlns:c16="http://schemas.microsoft.com/office/drawing/2014/chart" uri="{C3380CC4-5D6E-409C-BE32-E72D297353CC}">
                  <c16:uniqueId val="{00000009-C321-304E-877C-9771AB14A98D}"/>
                </c:ext>
              </c:extLst>
            </c:dLbl>
            <c:dLbl>
              <c:idx val="5"/>
              <c:layout>
                <c:manualLayout>
                  <c:x val="4.4077250833920299E-2"/>
                  <c:y val="-5.806861316161929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21-304E-877C-9771AB14A98D}"/>
                </c:ext>
              </c:extLst>
            </c:dLbl>
            <c:dLbl>
              <c:idx val="6"/>
              <c:layout>
                <c:manualLayout>
                  <c:x val="0.18018404325965279"/>
                  <c:y val="-4.47254069488344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21-304E-877C-9771AB14A98D}"/>
                </c:ext>
              </c:extLst>
            </c:dLbl>
            <c:spPr>
              <a:noFill/>
              <a:ln>
                <a:noFill/>
              </a:ln>
              <a:effectLst/>
            </c:spPr>
            <c:txPr>
              <a:bodyPr rot="0" spcFirstLastPara="1" vertOverflow="ellipsis" vert="horz" wrap="square" lIns="38100" tIns="19050" rIns="38100" bIns="19050" anchor="ctr" anchorCtr="1"/>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 2018'!$A$3:$A$9</c:f>
              <c:strCache>
                <c:ptCount val="7"/>
                <c:pt idx="0">
                  <c:v>Communicable, maternal, perinatal and nutritional conditions</c:v>
                </c:pt>
                <c:pt idx="1">
                  <c:v>Cardiovascular diseases</c:v>
                </c:pt>
                <c:pt idx="2">
                  <c:v>Other NCDs</c:v>
                </c:pt>
                <c:pt idx="3">
                  <c:v>Cancers</c:v>
                </c:pt>
                <c:pt idx="4">
                  <c:v>Chronic respiratory diseases</c:v>
                </c:pt>
                <c:pt idx="5">
                  <c:v>Diabetes</c:v>
                </c:pt>
                <c:pt idx="6">
                  <c:v>Injuries</c:v>
                </c:pt>
              </c:strCache>
            </c:strRef>
          </c:cat>
          <c:val>
            <c:numRef>
              <c:f>'graph 2018'!$B$3:$B$9</c:f>
              <c:numCache>
                <c:formatCode>0%</c:formatCode>
                <c:ptCount val="7"/>
                <c:pt idx="0">
                  <c:v>0.57999999999999996</c:v>
                </c:pt>
                <c:pt idx="1">
                  <c:v>0.14000000000000001</c:v>
                </c:pt>
                <c:pt idx="2">
                  <c:v>0.12</c:v>
                </c:pt>
                <c:pt idx="3">
                  <c:v>0.03</c:v>
                </c:pt>
                <c:pt idx="4">
                  <c:v>0.02</c:v>
                </c:pt>
                <c:pt idx="5">
                  <c:v>0.02</c:v>
                </c:pt>
                <c:pt idx="6">
                  <c:v>0.09</c:v>
                </c:pt>
              </c:numCache>
            </c:numRef>
          </c:val>
          <c:extLst>
            <c:ext xmlns:c16="http://schemas.microsoft.com/office/drawing/2014/chart" uri="{C3380CC4-5D6E-409C-BE32-E72D297353CC}">
              <c16:uniqueId val="{0000000E-C321-304E-877C-9771AB14A98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lang="en-US" sz="18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752-FC4B-BED5-1EDDD4C1D29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752-FC4B-BED5-1EDDD4C1D29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752-FC4B-BED5-1EDDD4C1D29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752-FC4B-BED5-1EDDD4C1D29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752-FC4B-BED5-1EDDD4C1D29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752-FC4B-BED5-1EDDD4C1D291}"/>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752-FC4B-BED5-1EDDD4C1D291}"/>
              </c:ext>
            </c:extLst>
          </c:dPt>
          <c:dLbls>
            <c:dLbl>
              <c:idx val="0"/>
              <c:layout>
                <c:manualLayout>
                  <c:x val="2.0705583720171793E-2"/>
                  <c:y val="0.1843246745429542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30342299764555719"/>
                      <c:h val="0.36837737919339647"/>
                    </c:manualLayout>
                  </c15:layout>
                </c:ext>
                <c:ext xmlns:c16="http://schemas.microsoft.com/office/drawing/2014/chart" uri="{C3380CC4-5D6E-409C-BE32-E72D297353CC}">
                  <c16:uniqueId val="{00000001-4752-FC4B-BED5-1EDDD4C1D291}"/>
                </c:ext>
              </c:extLst>
            </c:dLbl>
            <c:dLbl>
              <c:idx val="1"/>
              <c:layout>
                <c:manualLayout>
                  <c:x val="-2.5283091763658401E-2"/>
                  <c:y val="4.4431868340820801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357288861588"/>
                      <c:h val="0.193514198880083"/>
                    </c:manualLayout>
                  </c15:layout>
                </c:ext>
                <c:ext xmlns:c16="http://schemas.microsoft.com/office/drawing/2014/chart" uri="{C3380CC4-5D6E-409C-BE32-E72D297353CC}">
                  <c16:uniqueId val="{00000003-4752-FC4B-BED5-1EDDD4C1D291}"/>
                </c:ext>
              </c:extLst>
            </c:dLbl>
            <c:dLbl>
              <c:idx val="2"/>
              <c:layout>
                <c:manualLayout>
                  <c:x val="-6.8251809689373694E-2"/>
                  <c:y val="5.485540144705530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52-FC4B-BED5-1EDDD4C1D291}"/>
                </c:ext>
              </c:extLst>
            </c:dLbl>
            <c:dLbl>
              <c:idx val="3"/>
              <c:layout>
                <c:manualLayout>
                  <c:x val="-7.3246965070716097E-2"/>
                  <c:y val="9.118473596988649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52-FC4B-BED5-1EDDD4C1D291}"/>
                </c:ext>
              </c:extLst>
            </c:dLbl>
            <c:dLbl>
              <c:idx val="4"/>
              <c:layout>
                <c:manualLayout>
                  <c:x val="-0.10595096204431183"/>
                  <c:y val="3.3986695843542139E-3"/>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4901484247656339"/>
                      <c:h val="0.2747545214805393"/>
                    </c:manualLayout>
                  </c15:layout>
                </c:ext>
                <c:ext xmlns:c16="http://schemas.microsoft.com/office/drawing/2014/chart" uri="{C3380CC4-5D6E-409C-BE32-E72D297353CC}">
                  <c16:uniqueId val="{00000009-4752-FC4B-BED5-1EDDD4C1D291}"/>
                </c:ext>
              </c:extLst>
            </c:dLbl>
            <c:dLbl>
              <c:idx val="5"/>
              <c:layout>
                <c:manualLayout>
                  <c:x val="4.4077250833920299E-2"/>
                  <c:y val="-5.806861316161929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52-FC4B-BED5-1EDDD4C1D291}"/>
                </c:ext>
              </c:extLst>
            </c:dLbl>
            <c:dLbl>
              <c:idx val="6"/>
              <c:layout>
                <c:manualLayout>
                  <c:x val="0.18018404325965279"/>
                  <c:y val="-4.472540694883448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752-FC4B-BED5-1EDDD4C1D291}"/>
                </c:ext>
              </c:extLst>
            </c:dLbl>
            <c:spPr>
              <a:noFill/>
              <a:ln>
                <a:noFill/>
              </a:ln>
              <a:effectLst/>
            </c:spPr>
            <c:txPr>
              <a:bodyPr rot="0" spcFirstLastPara="1" vertOverflow="ellipsis" vert="horz" wrap="square" lIns="38100" tIns="19050" rIns="38100" bIns="19050" anchor="ctr" anchorCtr="1"/>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 2018'!$A$3:$A$9</c:f>
              <c:strCache>
                <c:ptCount val="7"/>
                <c:pt idx="0">
                  <c:v>Communicable, maternal, perinatal and nutritional conditions</c:v>
                </c:pt>
                <c:pt idx="1">
                  <c:v>Cardiovascular diseases</c:v>
                </c:pt>
                <c:pt idx="2">
                  <c:v>Other NCDs</c:v>
                </c:pt>
                <c:pt idx="3">
                  <c:v>Cancers</c:v>
                </c:pt>
                <c:pt idx="4">
                  <c:v>Chronic respiratory diseases</c:v>
                </c:pt>
                <c:pt idx="5">
                  <c:v>Diabetes</c:v>
                </c:pt>
                <c:pt idx="6">
                  <c:v>Injuries</c:v>
                </c:pt>
              </c:strCache>
            </c:strRef>
          </c:cat>
          <c:val>
            <c:numRef>
              <c:f>'graph 2018'!$B$3:$B$9</c:f>
              <c:numCache>
                <c:formatCode>0%</c:formatCode>
                <c:ptCount val="7"/>
                <c:pt idx="0">
                  <c:v>0.57999999999999996</c:v>
                </c:pt>
                <c:pt idx="1">
                  <c:v>0.14000000000000001</c:v>
                </c:pt>
                <c:pt idx="2">
                  <c:v>0.12</c:v>
                </c:pt>
                <c:pt idx="3">
                  <c:v>0.03</c:v>
                </c:pt>
                <c:pt idx="4">
                  <c:v>0.02</c:v>
                </c:pt>
                <c:pt idx="5">
                  <c:v>0.02</c:v>
                </c:pt>
                <c:pt idx="6">
                  <c:v>0.09</c:v>
                </c:pt>
              </c:numCache>
            </c:numRef>
          </c:val>
          <c:extLst>
            <c:ext xmlns:c16="http://schemas.microsoft.com/office/drawing/2014/chart" uri="{C3380CC4-5D6E-409C-BE32-E72D297353CC}">
              <c16:uniqueId val="{0000000E-4752-FC4B-BED5-1EDDD4C1D29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lang="en-US" sz="1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44633</Words>
  <Characters>254411</Characters>
  <Application>Microsoft Office Word</Application>
  <DocSecurity>0</DocSecurity>
  <Lines>2120</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Santrica borah Sesay</cp:lastModifiedBy>
  <cp:revision>4</cp:revision>
  <cp:lastPrinted>2020-05-26T07:47:00Z</cp:lastPrinted>
  <dcterms:created xsi:type="dcterms:W3CDTF">2021-04-22T11:13:00Z</dcterms:created>
  <dcterms:modified xsi:type="dcterms:W3CDTF">2021-04-30T13:42:00Z</dcterms:modified>
</cp:coreProperties>
</file>