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F8" w:rsidRDefault="00B05DF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05DF8" w:rsidRDefault="00B05DF8">
      <w:pPr>
        <w:pStyle w:val="ConsPlusNormal"/>
        <w:jc w:val="both"/>
        <w:outlineLvl w:val="0"/>
      </w:pPr>
    </w:p>
    <w:p w:rsidR="00B05DF8" w:rsidRDefault="00B05DF8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B05DF8" w:rsidRDefault="00B05DF8">
      <w:pPr>
        <w:pStyle w:val="ConsPlusTitle"/>
        <w:jc w:val="center"/>
      </w:pPr>
    </w:p>
    <w:p w:rsidR="00B05DF8" w:rsidRDefault="00B05DF8">
      <w:pPr>
        <w:pStyle w:val="ConsPlusTitle"/>
        <w:jc w:val="center"/>
      </w:pPr>
      <w:r>
        <w:t>ПРИКАЗ</w:t>
      </w:r>
    </w:p>
    <w:p w:rsidR="00B05DF8" w:rsidRDefault="00B05DF8">
      <w:pPr>
        <w:pStyle w:val="ConsPlusTitle"/>
        <w:jc w:val="center"/>
      </w:pPr>
      <w:r>
        <w:t>от 15 января 2020 г. N 8</w:t>
      </w:r>
    </w:p>
    <w:p w:rsidR="00B05DF8" w:rsidRDefault="00B05DF8">
      <w:pPr>
        <w:pStyle w:val="ConsPlusTitle"/>
        <w:jc w:val="center"/>
      </w:pPr>
    </w:p>
    <w:p w:rsidR="00B05DF8" w:rsidRDefault="00B05DF8">
      <w:pPr>
        <w:pStyle w:val="ConsPlusTitle"/>
        <w:jc w:val="center"/>
      </w:pPr>
      <w:r>
        <w:t>ОБ УТВЕРЖДЕНИИ СТРАТЕГИИ</w:t>
      </w:r>
    </w:p>
    <w:p w:rsidR="00B05DF8" w:rsidRDefault="00B05DF8">
      <w:pPr>
        <w:pStyle w:val="ConsPlusTitle"/>
        <w:jc w:val="center"/>
      </w:pPr>
      <w:r>
        <w:t>ФОРМИРОВАНИЯ ЗДОРОВОГО ОБРАЗА ЖИЗНИ НАСЕЛЕНИЯ, ПРОФИЛАКТИКИ</w:t>
      </w:r>
    </w:p>
    <w:p w:rsidR="00B05DF8" w:rsidRDefault="00B05DF8">
      <w:pPr>
        <w:pStyle w:val="ConsPlusTitle"/>
        <w:jc w:val="center"/>
      </w:pPr>
      <w:r>
        <w:t>И КОНТРОЛЯ НЕИНФЕКЦИОННЫХ ЗАБОЛЕВАНИЙ НА ПЕРИОД</w:t>
      </w:r>
    </w:p>
    <w:p w:rsidR="00B05DF8" w:rsidRDefault="00B05DF8">
      <w:pPr>
        <w:pStyle w:val="ConsPlusTitle"/>
        <w:jc w:val="center"/>
      </w:pPr>
      <w:r>
        <w:t>ДО 2025 ГОДА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>
        <w:r>
          <w:rPr>
            <w:color w:val="0000FF"/>
          </w:rPr>
          <w:t>Стратегии</w:t>
        </w:r>
      </w:hyperlink>
      <w:r>
        <w:t xml:space="preserve"> развития здравоохранения в Российской Федерации на период до 2025 года, утвержденной Указом Президента Российской Федерации от 6 июня 2019 г. N 254, приказываю: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26">
        <w:r>
          <w:rPr>
            <w:color w:val="0000FF"/>
          </w:rPr>
          <w:t>Стратегию</w:t>
        </w:r>
      </w:hyperlink>
      <w:r>
        <w:t xml:space="preserve"> формирования здорового образа жизни населения, профилактики и контроля неинфекционных заболеваний на период до 2025 года согласно приложению.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jc w:val="right"/>
      </w:pPr>
      <w:r>
        <w:t>Министр</w:t>
      </w:r>
    </w:p>
    <w:p w:rsidR="00B05DF8" w:rsidRDefault="00B05DF8">
      <w:pPr>
        <w:pStyle w:val="ConsPlusNormal"/>
        <w:jc w:val="right"/>
      </w:pPr>
      <w:r>
        <w:t>В.И.СКВОРЦОВА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jc w:val="right"/>
        <w:outlineLvl w:val="0"/>
      </w:pPr>
      <w:r>
        <w:t>Приложение</w:t>
      </w:r>
    </w:p>
    <w:p w:rsidR="00B05DF8" w:rsidRDefault="00B05DF8">
      <w:pPr>
        <w:pStyle w:val="ConsPlusNormal"/>
        <w:jc w:val="right"/>
      </w:pPr>
      <w:r>
        <w:t>к приказу Министерства здравоохранения</w:t>
      </w:r>
    </w:p>
    <w:p w:rsidR="00B05DF8" w:rsidRDefault="00B05DF8">
      <w:pPr>
        <w:pStyle w:val="ConsPlusNormal"/>
        <w:jc w:val="right"/>
      </w:pPr>
      <w:r>
        <w:t>Российской Федерации</w:t>
      </w:r>
    </w:p>
    <w:p w:rsidR="00B05DF8" w:rsidRDefault="00B05DF8">
      <w:pPr>
        <w:pStyle w:val="ConsPlusNormal"/>
        <w:jc w:val="right"/>
      </w:pPr>
      <w:r>
        <w:t>от 15 января 2020 г. N 8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</w:pPr>
      <w:bookmarkStart w:id="0" w:name="P26"/>
      <w:bookmarkEnd w:id="0"/>
      <w:r>
        <w:t>СТРАТЕГИЯ</w:t>
      </w:r>
    </w:p>
    <w:p w:rsidR="00B05DF8" w:rsidRDefault="00B05DF8">
      <w:pPr>
        <w:pStyle w:val="ConsPlusTitle"/>
        <w:jc w:val="center"/>
      </w:pPr>
      <w:r>
        <w:t>ФОРМИРОВАНИЯ ЗДОРОВОГО ОБРАЗА ЖИЗНИ НАСЕЛЕНИЯ, ПРОФИЛАКТИКИ</w:t>
      </w:r>
    </w:p>
    <w:p w:rsidR="00B05DF8" w:rsidRDefault="00B05DF8">
      <w:pPr>
        <w:pStyle w:val="ConsPlusTitle"/>
        <w:jc w:val="center"/>
      </w:pPr>
      <w:r>
        <w:t>И КОНТРОЛЯ НЕИНФЕКЦИОННЫХ ЗАБОЛЕВАНИЙ НА ПЕРИОД</w:t>
      </w:r>
    </w:p>
    <w:p w:rsidR="00B05DF8" w:rsidRDefault="00B05DF8">
      <w:pPr>
        <w:pStyle w:val="ConsPlusTitle"/>
        <w:jc w:val="center"/>
      </w:pPr>
      <w:r>
        <w:t>ДО 2025 ГОДА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  <w:outlineLvl w:val="1"/>
      </w:pPr>
      <w:r>
        <w:t>I. Общие положения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Стратегия формирования здорового образа жизни населения, профилактики и контроля неинфекционных заболеваний на период до 2025 года (далее - Стратегия) определяет цели, задачи и принципы государственной политики Российской Федерации в области общественного здоровья, направленные на обеспечение национальных интересов и реализацию стратегических национальных приоритетов в сфере формирования здорового образа жизни и профилактики неинфекционных заболеваний у населения Российской Федерации на долгосрочную перспективу.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Прогнозу</w:t>
        </w:r>
      </w:hyperlink>
      <w:r>
        <w:t xml:space="preserve"> долгосрочного социально-экономического развития Российской Федерации на период до 2030 года акцент государственной демографической политики на формирование здорового образа жизни, на меры по снижению масштабов злоупотребления алкогольной и табачной продукцией, на профилактику алкоголизма, </w:t>
      </w:r>
      <w:proofErr w:type="spellStart"/>
      <w:r>
        <w:t>табакокурения</w:t>
      </w:r>
      <w:proofErr w:type="spellEnd"/>
      <w:r>
        <w:t xml:space="preserve"> и наркомании позволит улучшить показатели смертности.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Правовую основу Стратегии составляют </w:t>
      </w:r>
      <w:hyperlink r:id="rId7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28 июня 2014 г. N 172-ФЗ "О стратегическом планировании в Российской Федерации", </w:t>
      </w:r>
      <w:hyperlink r:id="rId9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Федерации, утвержденная Указом Президента Российской Федерации от 31 декабря 2015 г. N 683, </w:t>
      </w:r>
      <w:hyperlink r:id="rId10">
        <w:r>
          <w:rPr>
            <w:color w:val="0000FF"/>
          </w:rPr>
          <w:t>Концепция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N 1662-р, </w:t>
      </w:r>
      <w:hyperlink r:id="rId11">
        <w:r>
          <w:rPr>
            <w:color w:val="0000FF"/>
          </w:rPr>
          <w:t>Основы</w:t>
        </w:r>
      </w:hyperlink>
      <w:r>
        <w:t xml:space="preserve"> государственной политики Российской Федерации в области здорового питания населения на период до 2020 года, утвержденные распоряжением Правительства Российской Федерации от 25 октября 2010 г. N 1873-р, </w:t>
      </w:r>
      <w:hyperlink r:id="rId12">
        <w:r>
          <w:rPr>
            <w:color w:val="0000FF"/>
          </w:rPr>
          <w:t>План</w:t>
        </w:r>
      </w:hyperlink>
      <w:r>
        <w:t xml:space="preserve"> мероприятий на 2016 - 2020 годы по реализации первого этапа Стратегии действий в интересах граждан старшего поколения в Российской Федерации до 2025 года, утвержденный распоряжением Правительства Российской Федерации от 29 ноября 2016 г. N 2539-р, а также иные нормативные правовые акты и документы, в том числе документы Всемирной организации здравоохранения.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  <w:outlineLvl w:val="1"/>
      </w:pPr>
      <w:r>
        <w:t>II. Современное состояние проблемы формирования</w:t>
      </w:r>
    </w:p>
    <w:p w:rsidR="00B05DF8" w:rsidRDefault="00B05DF8">
      <w:pPr>
        <w:pStyle w:val="ConsPlusTitle"/>
        <w:jc w:val="center"/>
      </w:pPr>
      <w:r>
        <w:t>здорового образа жизни, профилактики и контроля</w:t>
      </w:r>
    </w:p>
    <w:p w:rsidR="00B05DF8" w:rsidRDefault="00B05DF8">
      <w:pPr>
        <w:pStyle w:val="ConsPlusTitle"/>
        <w:jc w:val="center"/>
      </w:pPr>
      <w:r>
        <w:t>неинфекционных заболеваний в Российской Федерации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Неинфекционные заболевания являются ведущей причиной временной нетрудоспособности, инвалидности и смертности населения как в мире, так и в Российской Федерации. К неинфекционным заболеваниям относятся сердечно-сосудистые заболевания, злокачественные новообразования, хронические болезни органов дыхания и сахарный диабет. В 2018 году вклад в общую смертность болезней системы кровообращения составил 46,8%, новообразований - 16,3%, болезней органов пищеварения - 5,2% болезней органов дыхания - 3,3%.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Высокий уровень смертности от неинфекционных заболеваний приводит к большим экономическим потерям, обусловленным как прямыми затратами на оказание медицинской помощи, в том числе высокотехнологичной, так и экономическим потерям вследствие сокращения трудовых ресурсов из-за преждевременной смертности, инвалидности и временной нетрудоспособности. По оценкам Национального медицинского исследовательского центра профилактической медицины, совокупный экономический ущерб от неинфекционных заболеваний в России составляет около 3,6 трлн рублей, что эквивалентно 4,2% ВВП, причем большая его часть была обусловлена </w:t>
      </w:r>
      <w:proofErr w:type="spellStart"/>
      <w:r>
        <w:t>трудопотерями</w:t>
      </w:r>
      <w:proofErr w:type="spellEnd"/>
      <w:r>
        <w:t xml:space="preserve"> и сокращением численности населения из-за преждевременной смертности.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Основой профилактики и контроля неинфекционных заболеваний является здоровый образ жизни. Здоровый образ жизни - это образ жизни человека, направленный на предупреждение возникновения и развития неинфекционных заболеваний и характеризующийся исключением или сокращением действия поведенческих факторов риска, к числу которых относятся употребление табака, вредное потребление алкоголя, нерациональное питание, отсутствие физической активности, а также неадаптивное преодоление стрессов. По данным Глобального опроса взрослых о потреблении табака, проведенного совместно Федеральной службой государственной статистики и Всемирной организацией здравоохранения (далее - ВОЗ), с 2009 по 2016 гг. в России распространенность курения снизилась с 39,4% до 30,9%, в том числе среди мужчин - с 60,7% до 50,9%, а среди женщин - с 21,7% до 14,3% &lt;1&gt;.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&lt;1&gt; Глобальный опрос взрослого населения о пользовании табачными изделиями (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Tobacco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(GATS) в Российской Федерации в 2009, 2016 гг.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 xml:space="preserve">Согласно Глобальному обследованию потребления табака среди молодежи, проведенному ВОЗ в 2015 г., выявлено резкое снижение распространенности потребления табака среди подростков 13 - 15 лет почти в 2 раза по сравнению с 2004 годом, почти в 3 раза снизилось курение сигарет &lt;2&gt;. Кроме того, значимо снизился уровень пассивного курения (воздействия вторичного табачного дыма) в домах и общественных местах. В домах этот показатель снизился с 34,7% в 2009 </w:t>
      </w:r>
      <w:r>
        <w:lastRenderedPageBreak/>
        <w:t>г. до 23,1% в 2016 г. &lt;3&gt;.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&lt;2&gt; Глобального обследования об употреблении табака среди молодежи в возрасте 13 - 15 лет (GYTS) 2015 года.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&lt;3&gt; Глобальный опрос взрослого населения о пользовании табачными изделиями (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Tobacco</w:t>
      </w:r>
      <w:proofErr w:type="spellEnd"/>
      <w:r>
        <w:t xml:space="preserve"> </w:t>
      </w:r>
      <w:proofErr w:type="spellStart"/>
      <w:r>
        <w:t>Survay</w:t>
      </w:r>
      <w:proofErr w:type="spellEnd"/>
      <w:r>
        <w:t xml:space="preserve"> (GATS) в Российской Федерации в 2009, 2016 гг.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Вместе с тем распространенность курения в России все еще остается критически высокой. Курение является фактором риска, вносящим наибольший вклад в преждевременную смертность и инвалидность от целого ряда злокачественных новообразований, сердечно-сосудистых заболеваний, а также болезней органов дыхания.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 данным ВОЗ, среди людей в возрасте 20 - 39 лет примерно 13,5% всех случаев смерти связаны с алкоголем. Научные исследования, проведенные в Российской Федерации, показывают, что для нашей страны вклад алкоголя в смертность трудоспособного населения, особенно мужчин, может быть существенно выше. По данным Минздрава России, в 2018 году заболеваемость населения алкоголизмом и алкогольными психозами в Российской Федерации составила 1 376 344 человек. Потребление алкоголя является также причиной сердечно-сосудистых, отдельных форм онкологических заболеваний и заболеваний органов пищеварения.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Основной причиной развития ожирения и артериальной гипертонии является нерациональное питание, прежде всего, высокий уровень потребления сахара, насыщенных жирных кислот и соли. По данным Росстата, в 2017 г. более половины россиян (55%) имели избыточную массу тела, а 20,5% населения страдали ожирением. Особое опасение вызывает увеличение числа детей и подростков с ожирением: так, в целом по России этот показатель увеличился на 5,3% за 2017 год. Среди несовершеннолетних с избыточной массой тела или ожирением артериальная гипертония выявляется значительно чаще, чем среди детей с нормальной массой тела. Основными принципами рационального питания являются: ежедневное потребление фруктов и овощей (не менее 400 грамм в день), сокращение свободных сахаров (до менее 10% от общей потребляемой энергии, что эквивалентно 50 г в день), потребление жиров в количестве менее 30% от общей потребляемой энергии, потребление соли менее 5 г в день.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Недостаточная физическая активность является важным фактором риска неинфекционных заболеваний. По данным </w:t>
      </w:r>
      <w:proofErr w:type="spellStart"/>
      <w:r>
        <w:t>Минспорта</w:t>
      </w:r>
      <w:proofErr w:type="spellEnd"/>
      <w:r>
        <w:t xml:space="preserve"> России, по состоянию на 1 января 2018 г. регулярно занимались физической культурой и спортом лишь 36,8% россиян.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В последние годы наблюдается тенденция к повышению уровня информированности граждан о факторах риска развития неинфекционных заболеваний, а данные социологических опросов показывают повышение интереса граждан к ведению здорового образа жизни и сохранению здоровья.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Важным является также своевременное выявление заболеваний, что создает условия для их эффективного лечения. С 2013 года в России были возобновлены массовые профилактические медицинские осмотры и диспансеризация населения. В 2018 году профилактические осмотры и диспансеризацию прошли 61,9 млн граждан, в том числе 26,7 млн детей. Диспансеризация позволила увеличить долю раннего выявления злокачественных новообразований и составила 56,4% на первой и второй стадиях, что привело к снижению одногодичной летальности до 22,2% и повышению пятилетней выживаемости до 54,4%.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Во всем мире наблюдается рост тревожных и депрессивных состояний, риск возникновения которых напрямую связан с социально-психологическими факторами. Широкое распространение среди населения приобретают психосоматические заболевания, в развитии и течении которых </w:t>
      </w:r>
      <w:r>
        <w:lastRenderedPageBreak/>
        <w:t xml:space="preserve">существенная роль также принадлежит психологическим факторам, недостаточной стрессоустойчивости, длительному психоэмоциональному напряжению. Развитие этих нарушений не только существенно снижает качество жизни, но и приводит к длительной нетрудоспособности, присоединению сопутствующих заболеваний, в том числе и зависимости от алкоголя и других </w:t>
      </w:r>
      <w:proofErr w:type="spellStart"/>
      <w:r>
        <w:t>психоактивных</w:t>
      </w:r>
      <w:proofErr w:type="spellEnd"/>
      <w:r>
        <w:t xml:space="preserve"> веществ. По этой причине предотвращение психических и поведенческих расстройств является важным направлением в профилактике неинфекционных заболеваний среди населения Российской Федерации.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Учитывая изложенное, сокращение бремени неинфекционных заболеваний возможно посредством последовательной государственной политики в области общественного здоровья. Системные меры на данном направлении могут обеспечить существенное снижение смертности от неинфекционных заболеваний и увеличение продолжительности жизни граждан Российской Федерации в долгосрочной перспективе.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  <w:outlineLvl w:val="1"/>
      </w:pPr>
      <w:r>
        <w:t>III. Основные цели, принципы и задачи Стратегии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Целью Стратегии является снижение заболеваемости и предотвратимой смертности от неинфекционных заболеваний, увеличение ожидаемой продолжительности здоровой жизни за счет увеличения доли лиц, ведущих здоровый образ жизни.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Стратегия базируется на следующих принципах: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системный подход при формировании мероприятий, направленных на формирование здорового образа жизни, профилактику и контроль неинфекционных заболеваний, в том числе с применением информационных технологий;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научная обоснованность мер, направленных на формирование здорового образа жизни, профилактику и контроль неинфекционных заболеваний;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непрерывность и последовательность в разработке и реализации мероприятий, направленных на формирование здорового образа жизни, профилактику и контроль неинфекционных заболеваний, недопустимость снижения уровня защиты здоровья граждан;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взаимодействие органов государственной власти с общественными организациями и бизнес-сообществом в целях реализации мероприятий Стратегии;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обеспечение межведомственного взаимодействия при реализации Стратегии на федеральном, региональном и муниципальном уровнях;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учет общепризнанных принципов и норм международного права, включая право Евразийского экономического союза.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Основными задачами Стратегии являются: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формирование здорового образа жизни населения и профилактика неинфекционных заболеваний;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контроль неинфекционных заболеваний.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  <w:outlineLvl w:val="1"/>
      </w:pPr>
      <w:r>
        <w:t>IV. Основные направления решения задач Стратегии: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Формирование здорового образа жизни населения и профилактика неинфекционных заболеваний осуществляется путем: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формирования органами государственной власти субъектов Российской Федерации и органами местного самоуправления среды, способствующей ведению здорового образа жизни, </w:t>
      </w:r>
      <w:r>
        <w:lastRenderedPageBreak/>
        <w:t>посредством разработки и реализации региональных и муниципальных программ общественного здоровья;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выявления и тиражирования лучших муниципальных и региональных программ общественного здоровья;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ответственности работодателей за здоровье работников через систему экономических и иных стимулов, разработки и принятия корпоративных программ по укреплению здоровья;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совершенствования деятельности медицинских организаций и их структурных подразделений, осуществляющих профилактику неинфекционных заболеваний, включая внедрение новой модели центров общественного здоровья;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и реализации мероприятий, направленных на формирование здорового образа жизни у детей и молодежи;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эффективности преподавания основ здорового образа жизни и профилактики неинфекционных заболеваний в рамках школьной программы;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создания условий, обеспечивающих возможность вести здоровый образ жизни, систематически заниматься физической культурой и спортом;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уровня профессиональной подготовки специалистов по вопросам формирования здорового образа жизни, профилактики и контроля неинфекционных заболеваний (общественного здоровья);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проведения коммуникационных кампаний, направленных на повышение ответственности граждан за свое здоровье, осознание ценности человеческой жизни и здоровья, формирование культуры здоровья в различных возрастных и социальных группах;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и реализации программ информирования беременных и рожениц по вопросам укрепления здоровья матери и ребенка, включая важность грудного вскармливания;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нормативных правовых мер, направленных на повышение защищенности граждан от воздействия табачного дыма и последствий потребления табака, а также сокращения бремени заболеваний и социальных последствий, связанных с потреблением алкоголя;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снижения избыточного потребления гражданами соли, сахара, насыщенных жиров;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увеличения потребления овощей и фруктов, пищевых волокон, рыбы и морепродуктов;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ликвидации </w:t>
      </w:r>
      <w:proofErr w:type="spellStart"/>
      <w:r>
        <w:t>микронутриентной</w:t>
      </w:r>
      <w:proofErr w:type="spellEnd"/>
      <w:r>
        <w:t xml:space="preserve"> недостаточности, прежде всего, дефицита йода;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программ популяризации рационального питания;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мер по стимулированию предпринимательства и государственно-частного партнерства в области формирования здорового образа жизни и профилактики неинфекционных заболеваний;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и реализации мер по укреплению психического здоровья, включая профилактику жестокого обращения и суицидов;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и реализации комплекса мер по профилактике суицида среди несовершеннолетних;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совершенствования системы организации питания детей в образовательных организациях;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lastRenderedPageBreak/>
        <w:t>разработки и реализации мероприятий по профилактике хронических неинфекционных заболеваний у людей старшего возраста, включающих повышение физической активности данной категории граждан, сокращения потребления ими алкоголя и табака;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увеличения охвата населения мероприятиями по укреплению здоровья с участием общественных организаций, в том числе профессиональных союзов и объединений работодателей;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проведения прикладных и фундаментальных научных исследований в области общественного здоровья.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Контроль неинфекционных заболеваний осуществляется путем: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охвата населения профилактическими осмотрами и диспансеризацией;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охвата профилактическим консультированием с целью ранней и наиболее полной коррекции выявленных поведенческих и биологических факторов риска;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расширения практики выявления факторов риска и их коррекции, а также пропаганды здорового образа жизни медицинскими работниками;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улучшения выявляемое и профилактики депрессивных, тревожных и </w:t>
      </w:r>
      <w:proofErr w:type="spellStart"/>
      <w:r>
        <w:t>постстрессовых</w:t>
      </w:r>
      <w:proofErr w:type="spellEnd"/>
      <w:r>
        <w:t xml:space="preserve"> расстройств;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совершенствования диспансерного наблюдения, в том числе дистанционного диспансерного наблюдения с применением информационных технологий за пациентами с неинфекционными заболеваниями, включая психические расстройства;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доступности психологической и психотерапевтической помощи;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доступности медицинской помощи при никотиновой зависимости и алкоголизме;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разработки и внедрения программ, направленных на повышение числа лиц, контролирующих артериальное давление в целях профилактики осложнений сердечно-сосудистых заболеваний, в том числе посредством медицинских изделий с функцией дистанционной передачи данных;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совершенствования системы организации лечебного и профилактического питания для детей с хроническими заболеваниями;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повышения информированности граждан о возраст-ассоциированных заболеваниях и информирование общества по вопросам качества жизни граждан его поколения;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ранней диагностики возраст-ассоциированных неинфекционных заболеваний и факторов риска их развития.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  <w:outlineLvl w:val="1"/>
      </w:pPr>
      <w:r>
        <w:t>V. Перспективы формирования здорового</w:t>
      </w:r>
    </w:p>
    <w:p w:rsidR="00B05DF8" w:rsidRDefault="00B05DF8">
      <w:pPr>
        <w:pStyle w:val="ConsPlusTitle"/>
        <w:jc w:val="center"/>
      </w:pPr>
      <w:r>
        <w:t>образа жизни населения, профилактики и контроля</w:t>
      </w:r>
    </w:p>
    <w:p w:rsidR="00B05DF8" w:rsidRDefault="00B05DF8">
      <w:pPr>
        <w:pStyle w:val="ConsPlusTitle"/>
        <w:jc w:val="center"/>
      </w:pPr>
      <w:r>
        <w:t>неинфекционных заболеваний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Перспективы формирования здорового образа жизни населения, профилактики и контроля неинфекционных заболеваний зависят от следующих факторов: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состояние социально-экономического развития;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обеспеченность условиями для ведения гражданами здорового образа жизни, а также уровнем </w:t>
      </w:r>
      <w:proofErr w:type="spellStart"/>
      <w:r>
        <w:t>мотивированности</w:t>
      </w:r>
      <w:proofErr w:type="spellEnd"/>
      <w:r>
        <w:t xml:space="preserve"> населения в отношении здорового образа жизни;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принятие дополнительных мер, направленных на снижение распространенности и </w:t>
      </w:r>
      <w:r>
        <w:lastRenderedPageBreak/>
        <w:t>негативного воздействия поведенческих факторов риска развития неинфекционных заболеваний, включая новые вызовы и угрозы в сфере общественного здоровья.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В зависимости от степени реализации этих факторов выделяются два сценария развития в долгосрочной перспективе - консервативный и целевой.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Консервативный сценарий характеризуется </w:t>
      </w:r>
      <w:proofErr w:type="spellStart"/>
      <w:r>
        <w:t>стагнирующим</w:t>
      </w:r>
      <w:proofErr w:type="spellEnd"/>
      <w:r>
        <w:t xml:space="preserve"> уровнем потребления алкогольной и табачной продукции, связанным с этим потенциально возможным повышением уровней заболеваемости и смертности от неинфекционных заболеваний.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Целевой сценарий характеризуется усилением системы общественного здоровья с постепенным устойчивым сокращением уровня потребления алкогольной и табачной продукции, а также связанных с ними случаев временной нетрудоспособности, инвалидности и смертности населения от неинфекционных заболеваний.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  <w:outlineLvl w:val="1"/>
      </w:pPr>
      <w:r>
        <w:t>VI. Механизм реализации Стратегии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В целях реализации Стратегии Правительством Российской Федерации утверждается план ее реализации.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Реализация задач Стратегии осуществляется на основе многостороннего взаимодействия между органами государственной власти, общественными организациями, включая профессиональные союзы, объединения работодателей, организациями науки и образования.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Общая координация работ по реализации Стратегии осуществляется Межведомственным советом по общественному здоровью при Министерстве здравоохранения Российской Федерации, в состав которого войдут представители федеральных и региональных органов государственной власти, общественных организаций, представителей профессиональных союзов, объединений работодателей, профессиональных некоммерческих организаций, создаваемых медицинскими работниками и фармацевтическими работниками, организаций науки и образования, а также некоммерческих организаций в сфере агропромышленного комплекса.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Title"/>
        <w:jc w:val="center"/>
        <w:outlineLvl w:val="1"/>
      </w:pPr>
      <w:r>
        <w:t>VII. Итоги реализации Стратегии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ind w:firstLine="540"/>
        <w:jc w:val="both"/>
      </w:pPr>
      <w:r>
        <w:t>Реализация Стратегии согласно целевому сценарию предполагает достижение следующих результатов: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сокращение распространенности потребления табака взрослым населением до 26%, детским населением - до 10%;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 xml:space="preserve">сокращение </w:t>
      </w:r>
      <w:proofErr w:type="spellStart"/>
      <w:r>
        <w:t>подушевого</w:t>
      </w:r>
      <w:proofErr w:type="spellEnd"/>
      <w:r>
        <w:t xml:space="preserve"> потребления алкоголя в Российской Федерации до 9 литров;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увеличение доли граждан, систематически занимающихся физической культурой и спортом, до 55,5%;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увеличение обращаемости в медицинские организации по вопросам здорового образа жизни до 3 260 тыс. человек;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сокращение темпов прироста первичной заболеваемости ожирением до 5%;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сокращение смертности в трудоспособном возрасте до 340 случаев на 100 тыс. населения;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t>увеличение доли больных артериальной гипертонией, контролирующих артериальное давление, до 37%;</w:t>
      </w:r>
    </w:p>
    <w:p w:rsidR="00B05DF8" w:rsidRDefault="00B05DF8">
      <w:pPr>
        <w:pStyle w:val="ConsPlusNormal"/>
        <w:spacing w:before="220"/>
        <w:ind w:firstLine="540"/>
        <w:jc w:val="both"/>
      </w:pPr>
      <w:r>
        <w:lastRenderedPageBreak/>
        <w:t>увеличение доли посещений детьми медицинских организаций с профилактическими целями до 51,5%.</w:t>
      </w: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jc w:val="both"/>
      </w:pPr>
    </w:p>
    <w:p w:rsidR="00B05DF8" w:rsidRDefault="00B05D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4294" w:rsidRDefault="00B05DF8">
      <w:bookmarkStart w:id="1" w:name="_GoBack"/>
      <w:bookmarkEnd w:id="1"/>
    </w:p>
    <w:sectPr w:rsidR="00AF4294" w:rsidSect="005F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F8"/>
    <w:rsid w:val="00A87E2E"/>
    <w:rsid w:val="00B05DF8"/>
    <w:rsid w:val="00B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90B2F-5563-4B70-A5BB-2104F452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5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05D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AFE5AA3639660DE62843DC9DB05AA699D50E42CB73B7C96161CF8117BD71C50D3A0FE8A4F8E0EDA08755E01EFF3381410F2728ED73603c2AD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AAFE5AA3639660DE62843DC9DB05AA6F965EE820E66C7EC74312FD192B8D0C469AACF6944F8410D80323c0ACI" TargetMode="External"/><Relationship Id="rId12" Type="http://schemas.openxmlformats.org/officeDocument/2006/relationships/hyperlink" Target="consultantplus://offline/ref=F0AAFE5AA3639660DE62843DC9DB05AA6E9850EF2AB73B7C96161CF8117BD71C50D3A0FE8A4F8D0BD808755E01EFF3381410F2728ED73603c2A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AAFE5AA3639660DE62843DC9DB05AA6C9A5DEC22B03B7C96161CF8117BD71C50D3A0FE8A4F880ADB08755E01EFF3381410F2728ED73603c2ADI" TargetMode="External"/><Relationship Id="rId11" Type="http://schemas.openxmlformats.org/officeDocument/2006/relationships/hyperlink" Target="consultantplus://offline/ref=F0AAFE5AA3639660DE62843DC9DB05AA6C9E5FEC22B63B7C96161CF8117BD71C50D3A0FE8A4F8D0CDB08755E01EFF3381410F2728ED73603c2ADI" TargetMode="External"/><Relationship Id="rId5" Type="http://schemas.openxmlformats.org/officeDocument/2006/relationships/hyperlink" Target="consultantplus://offline/ref=F0AAFE5AA3639660DE62843DC9DB05AA699A5AED2CB73B7C96161CF8117BD71C50D3A0FE8A4F8D09DA08755E01EFF3381410F2728ED73603c2ADI" TargetMode="External"/><Relationship Id="rId10" Type="http://schemas.openxmlformats.org/officeDocument/2006/relationships/hyperlink" Target="consultantplus://offline/ref=F0AAFE5AA3639660DE62843DC9DB05AA6E9E51ED2DB93B7C96161CF8117BD71C50D3A0FE8A4F8E0DDA08755E01EFF3381410F2728ED73603c2AD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0AAFE5AA3639660DE62843DC9DB05AA6C9758EB2DB93B7C96161CF8117BD71C50D3A0FE8A4F8C06DC08755E01EFF3381410F2728ED73603c2A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 Елена Владимировна</dc:creator>
  <cp:keywords/>
  <dc:description/>
  <cp:lastModifiedBy>Кирсанова Елена Владимировна</cp:lastModifiedBy>
  <cp:revision>1</cp:revision>
  <dcterms:created xsi:type="dcterms:W3CDTF">2023-09-19T08:00:00Z</dcterms:created>
  <dcterms:modified xsi:type="dcterms:W3CDTF">2023-09-19T08:00:00Z</dcterms:modified>
</cp:coreProperties>
</file>