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C6" w:rsidRDefault="004748C6" w:rsidP="004748C6">
      <w:pPr>
        <w:pStyle w:val="Kop1"/>
      </w:pPr>
      <w:r>
        <w:t>قائمة الحصر لرصد تكرار الأحداث التي تمثل حالات عدم امتثال</w:t>
      </w:r>
    </w:p>
    <w:p w:rsidR="004748C6" w:rsidRDefault="004748C6"/>
    <w:p w:rsidR="00EF243B" w:rsidRPr="00EF243B" w:rsidRDefault="00EF243B">
      <w:pPr>
        <w:rPr>
          <w:u w:val="single"/>
        </w:rPr>
      </w:pPr>
      <w:r>
        <w:t xml:space="preserve">تاريخ طباعة هذه الاستمارة (أي بدء الرصد): </w:t>
      </w:r>
      <w:r w:rsidRPr="00515EF2">
        <w:rPr>
          <w:u w:val="single"/>
        </w:rPr>
        <w:tab/>
      </w:r>
      <w:r w:rsidRPr="00515EF2">
        <w:rPr>
          <w:u w:val="single"/>
        </w:rPr>
        <w:tab/>
        <w:t>*</w:t>
      </w:r>
    </w:p>
    <w:p w:rsidR="00EF243B" w:rsidRDefault="00EF243B">
      <w:bookmarkStart w:id="0" w:name="_GoBack"/>
      <w:bookmarkEnd w:id="0"/>
    </w:p>
    <w:tbl>
      <w:tblPr>
        <w:tblStyle w:val="Tabelraster"/>
        <w:bidiVisual/>
        <w:tblW w:w="0" w:type="auto"/>
        <w:tblLook w:val="04A0" w:firstRow="1" w:lastRow="0" w:firstColumn="1" w:lastColumn="0" w:noHBand="0" w:noVBand="1"/>
      </w:tblPr>
      <w:tblGrid>
        <w:gridCol w:w="7479"/>
        <w:gridCol w:w="3204"/>
      </w:tblGrid>
      <w:tr w:rsidR="004748C6" w:rsidTr="004748C6">
        <w:tc>
          <w:tcPr>
            <w:tcW w:w="7479" w:type="dxa"/>
          </w:tcPr>
          <w:p w:rsidR="004748C6" w:rsidRDefault="00EF243B" w:rsidP="004748C6">
            <w:pPr>
              <w:pStyle w:val="Kop2"/>
              <w:outlineLvl w:val="1"/>
            </w:pPr>
            <w:r>
              <w:t>الحدث الذي يمثل حالة عدم امتثال</w:t>
            </w:r>
          </w:p>
        </w:tc>
        <w:tc>
          <w:tcPr>
            <w:tcW w:w="3204" w:type="dxa"/>
          </w:tcPr>
          <w:p w:rsidR="004748C6" w:rsidRDefault="004748C6" w:rsidP="004748C6">
            <w:pPr>
              <w:pStyle w:val="Kop2"/>
              <w:outlineLvl w:val="1"/>
            </w:pPr>
            <w:r>
              <w:t>مرات وقوع الحدث</w:t>
            </w:r>
          </w:p>
        </w:tc>
      </w:tr>
      <w:tr w:rsidR="004748C6" w:rsidTr="004748C6">
        <w:tc>
          <w:tcPr>
            <w:tcW w:w="7479" w:type="dxa"/>
          </w:tcPr>
          <w:p w:rsidR="004748C6" w:rsidRPr="004748C6" w:rsidRDefault="004748C6" w:rsidP="004748C6">
            <w:pPr>
              <w:spacing w:line="360" w:lineRule="auto"/>
            </w:pPr>
            <w:r>
              <w:t>[</w:t>
            </w:r>
            <w:r>
              <w:rPr>
                <w:i/>
                <w:iCs/>
              </w:rPr>
              <w:t>اوصف بإيجاز الحدث الذي يمثل حالة عدم امتثال</w:t>
            </w:r>
            <w:r>
              <w:t>]</w:t>
            </w:r>
          </w:p>
        </w:tc>
        <w:tc>
          <w:tcPr>
            <w:tcW w:w="3204" w:type="dxa"/>
          </w:tcPr>
          <w:p w:rsidR="004748C6" w:rsidRPr="004748C6" w:rsidRDefault="004748C6" w:rsidP="00D921F6">
            <w:r>
              <w:t>[</w:t>
            </w:r>
            <w:r>
              <w:rPr>
                <w:i/>
                <w:iCs/>
              </w:rPr>
              <w:t>أحصِ المرات التي يقع فيها الحدث الذي يمثل حالة عدم امتثال</w:t>
            </w:r>
            <w:r>
              <w:t>]</w:t>
            </w: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4748C6" w:rsidTr="004748C6">
        <w:tc>
          <w:tcPr>
            <w:tcW w:w="7479" w:type="dxa"/>
          </w:tcPr>
          <w:p w:rsidR="004748C6" w:rsidRDefault="004748C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4748C6" w:rsidP="004748C6">
            <w:pPr>
              <w:spacing w:line="360" w:lineRule="auto"/>
            </w:pPr>
          </w:p>
        </w:tc>
      </w:tr>
      <w:tr w:rsidR="00D921F6" w:rsidTr="004748C6">
        <w:tc>
          <w:tcPr>
            <w:tcW w:w="7479" w:type="dxa"/>
          </w:tcPr>
          <w:p w:rsidR="00D921F6" w:rsidRDefault="00D921F6" w:rsidP="004748C6">
            <w:pPr>
              <w:spacing w:line="360" w:lineRule="auto"/>
            </w:pPr>
          </w:p>
        </w:tc>
        <w:tc>
          <w:tcPr>
            <w:tcW w:w="3204" w:type="dxa"/>
          </w:tcPr>
          <w:p w:rsidR="00D921F6" w:rsidRDefault="00D921F6" w:rsidP="004748C6">
            <w:pPr>
              <w:spacing w:line="360" w:lineRule="auto"/>
            </w:pPr>
          </w:p>
        </w:tc>
      </w:tr>
      <w:tr w:rsidR="00EF243B" w:rsidTr="004748C6">
        <w:tc>
          <w:tcPr>
            <w:tcW w:w="7479" w:type="dxa"/>
          </w:tcPr>
          <w:p w:rsidR="00EF243B" w:rsidRDefault="00EF243B" w:rsidP="004748C6">
            <w:pPr>
              <w:spacing w:line="360" w:lineRule="auto"/>
            </w:pPr>
          </w:p>
        </w:tc>
        <w:tc>
          <w:tcPr>
            <w:tcW w:w="3204" w:type="dxa"/>
          </w:tcPr>
          <w:p w:rsidR="00EF243B" w:rsidRDefault="00EF243B" w:rsidP="004748C6">
            <w:pPr>
              <w:spacing w:line="360" w:lineRule="auto"/>
            </w:pPr>
          </w:p>
        </w:tc>
      </w:tr>
    </w:tbl>
    <w:p w:rsidR="00D3571A" w:rsidRDefault="00EF243B">
      <w:r>
        <w:t>*  هذا التاريخ يمكنك من حساب مدى تواتر وقوع الأحداث التي تمثل حالات عدم امتثال عبر الزمن.</w:t>
      </w:r>
    </w:p>
    <w:sectPr w:rsidR="00D3571A" w:rsidSect="00646C6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23" w:rsidRDefault="002A2423" w:rsidP="004748C6">
      <w:r>
        <w:separator/>
      </w:r>
    </w:p>
  </w:endnote>
  <w:endnote w:type="continuationSeparator" w:id="0">
    <w:p w:rsidR="002A2423" w:rsidRDefault="002A2423" w:rsidP="0047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C6" w:rsidRDefault="004748C6">
    <w:pPr>
      <w:pStyle w:val="Voettekst"/>
    </w:pPr>
    <w:r>
      <w:rPr>
        <w:noProof/>
        <w:lang w:val="nl-NL" w:eastAsia="nl-NL" w:bidi="ar-SA"/>
      </w:rPr>
      <w:drawing>
        <wp:inline distT="0" distB="0" distL="0" distR="0" wp14:anchorId="64CA01A5" wp14:editId="34ADFA5F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23" w:rsidRDefault="002A2423" w:rsidP="004748C6">
      <w:r>
        <w:separator/>
      </w:r>
    </w:p>
  </w:footnote>
  <w:footnote w:type="continuationSeparator" w:id="0">
    <w:p w:rsidR="002A2423" w:rsidRDefault="002A2423" w:rsidP="0047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bidiVisual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4748C6" w:rsidTr="002C47DC">
      <w:tc>
        <w:tcPr>
          <w:tcW w:w="7621" w:type="dxa"/>
          <w:vMerge w:val="restart"/>
          <w:vAlign w:val="center"/>
        </w:tcPr>
        <w:p w:rsidR="004748C6" w:rsidRPr="00BA5DCA" w:rsidRDefault="004748C6" w:rsidP="002C47DC">
          <w:pPr>
            <w:pStyle w:val="Titel"/>
            <w:jc w:val="center"/>
          </w:pPr>
          <w:r>
            <w:t>المختبر الوطني للصحة العمومية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Koptekst"/>
            <w:rPr>
              <w:b/>
            </w:rPr>
          </w:pPr>
          <w:r>
            <w:rPr>
              <w:b/>
              <w:bCs/>
            </w:rPr>
            <w:t>الكود:</w:t>
          </w:r>
        </w:p>
      </w:tc>
      <w:tc>
        <w:tcPr>
          <w:tcW w:w="1531" w:type="dxa"/>
        </w:tcPr>
        <w:p w:rsidR="004748C6" w:rsidRPr="00BA5DCA" w:rsidRDefault="004748C6" w:rsidP="004748C6">
          <w:pPr>
            <w:pStyle w:val="Koptekst"/>
          </w:pPr>
          <w:r>
            <w:rPr>
              <w:rtl w:val="0"/>
            </w:rPr>
            <w:t>P38A2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Koptekst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Koptekst"/>
            <w:rPr>
              <w:b/>
            </w:rPr>
          </w:pPr>
          <w:r>
            <w:rPr>
              <w:b/>
              <w:bCs/>
            </w:rPr>
            <w:t>الإصدار: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Koptekst"/>
          </w:pPr>
          <w:r>
            <w:rPr>
              <w:rtl w:val="0"/>
            </w:rPr>
            <w:t>V1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Koptekst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Koptekst"/>
            <w:rPr>
              <w:b/>
            </w:rPr>
          </w:pPr>
          <w:r>
            <w:rPr>
              <w:b/>
              <w:bCs/>
            </w:rPr>
            <w:t>نافذ من تاريخ: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Koptekst"/>
          </w:pPr>
          <w:r>
            <w:t>19-9-2013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Koptekst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Koptekst"/>
            <w:rPr>
              <w:b/>
            </w:rPr>
          </w:pPr>
          <w:r>
            <w:rPr>
              <w:b/>
              <w:bCs/>
            </w:rPr>
            <w:t>يُسحب في تاريخ: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Koptekst"/>
          </w:pPr>
          <w:r>
            <w:t>19-9-2015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Koptekst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Koptekst"/>
            <w:rPr>
              <w:b/>
            </w:rPr>
          </w:pPr>
          <w:r>
            <w:rPr>
              <w:b/>
              <w:bCs/>
            </w:rPr>
            <w:t>الصفحات:</w:t>
          </w:r>
        </w:p>
      </w:tc>
      <w:tc>
        <w:tcPr>
          <w:tcW w:w="1531" w:type="dxa"/>
        </w:tcPr>
        <w:p w:rsidR="004748C6" w:rsidRPr="00BA5DCA" w:rsidRDefault="004748C6" w:rsidP="002C47DC">
          <w:pPr>
            <w:pStyle w:val="Koptekst"/>
          </w:pPr>
          <w:r>
            <w:t>1</w:t>
          </w:r>
        </w:p>
      </w:tc>
    </w:tr>
    <w:tr w:rsidR="004748C6" w:rsidTr="002C47DC">
      <w:tc>
        <w:tcPr>
          <w:tcW w:w="7621" w:type="dxa"/>
          <w:vMerge/>
        </w:tcPr>
        <w:p w:rsidR="004748C6" w:rsidRDefault="004748C6" w:rsidP="002C47DC">
          <w:pPr>
            <w:pStyle w:val="Koptekst"/>
            <w:jc w:val="center"/>
          </w:pPr>
        </w:p>
      </w:tc>
      <w:tc>
        <w:tcPr>
          <w:tcW w:w="1531" w:type="dxa"/>
        </w:tcPr>
        <w:p w:rsidR="004748C6" w:rsidRPr="00BA5DCA" w:rsidRDefault="004748C6" w:rsidP="002C47DC">
          <w:pPr>
            <w:pStyle w:val="Koptekst"/>
            <w:rPr>
              <w:b/>
            </w:rPr>
          </w:pPr>
          <w:r>
            <w:rPr>
              <w:b/>
              <w:bCs/>
            </w:rPr>
            <w:t>توقيع المجيز:</w:t>
          </w:r>
        </w:p>
      </w:tc>
      <w:tc>
        <w:tcPr>
          <w:tcW w:w="1531" w:type="dxa"/>
        </w:tcPr>
        <w:p w:rsidR="004748C6" w:rsidRDefault="004748C6" w:rsidP="002C47DC">
          <w:pPr>
            <w:pStyle w:val="Koptekst"/>
            <w:rPr>
              <w:rtl w:val="0"/>
            </w:rPr>
          </w:pPr>
        </w:p>
        <w:p w:rsidR="00515EF2" w:rsidRPr="00BA5DCA" w:rsidRDefault="00515EF2" w:rsidP="002C47DC">
          <w:pPr>
            <w:pStyle w:val="Koptekst"/>
          </w:pPr>
        </w:p>
      </w:tc>
    </w:tr>
  </w:tbl>
  <w:p w:rsidR="004748C6" w:rsidRDefault="00515EF2">
    <w:pPr>
      <w:pStyle w:val="Kop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1pt;margin-top:-26.05pt;width:79.05pt;height:26.2pt;z-index:-251658752;mso-position-horizontal-relative:text;mso-position-vertical-relative:text;mso-width-relative:page;mso-height-relative:page" wrapcoords="-273 0 -273 20571 21600 20571 21600 0 -273 0">
          <v:imagedata r:id="rId1" o:title=""/>
        </v:shape>
        <o:OLEObject Type="Embed" ProgID="PBrush" ShapeID="_x0000_s2049" DrawAspect="Content" ObjectID="_155092555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6"/>
    <w:rsid w:val="002A2423"/>
    <w:rsid w:val="004562C2"/>
    <w:rsid w:val="004748C6"/>
    <w:rsid w:val="00515EF2"/>
    <w:rsid w:val="00646C65"/>
    <w:rsid w:val="007E63AB"/>
    <w:rsid w:val="00892A0F"/>
    <w:rsid w:val="00B115DC"/>
    <w:rsid w:val="00D3571A"/>
    <w:rsid w:val="00D62965"/>
    <w:rsid w:val="00D921F6"/>
    <w:rsid w:val="00E93757"/>
    <w:rsid w:val="00E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A32169"/>
  <w15:docId w15:val="{1450B48A-A52F-4DF6-98D1-B7FC0593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bidi/>
      <w:spacing w:after="0" w:line="240" w:lineRule="auto"/>
    </w:pPr>
    <w:rPr>
      <w:rtl/>
    </w:r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table" w:styleId="Tabelraster">
    <w:name w:val="Table Grid"/>
    <w:basedOn w:val="Standaardtabel"/>
    <w:uiPriority w:val="59"/>
    <w:rsid w:val="004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48C6"/>
  </w:style>
  <w:style w:type="paragraph" w:styleId="Voettekst">
    <w:name w:val="footer"/>
    <w:basedOn w:val="Standaard"/>
    <w:link w:val="Voettekst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48C6"/>
  </w:style>
  <w:style w:type="paragraph" w:styleId="Ballontekst">
    <w:name w:val="Balloon Text"/>
    <w:basedOn w:val="Standaard"/>
    <w:link w:val="BallontekstChar"/>
    <w:uiPriority w:val="99"/>
    <w:semiHidden/>
    <w:unhideWhenUsed/>
    <w:rsid w:val="004748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3</cp:revision>
  <dcterms:created xsi:type="dcterms:W3CDTF">2013-04-05T14:30:00Z</dcterms:created>
  <dcterms:modified xsi:type="dcterms:W3CDTF">2017-03-13T14:53:00Z</dcterms:modified>
</cp:coreProperties>
</file>