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4" w:rsidRPr="00134B3F" w:rsidRDefault="00812204" w:rsidP="00812204">
      <w:pPr>
        <w:pStyle w:val="Heading1"/>
      </w:pPr>
      <w:r>
        <w:t>1. Уведомление о случае несоответствия</w:t>
      </w:r>
    </w:p>
    <w:p w:rsidR="00812204" w:rsidRDefault="00812204" w:rsidP="00812204">
      <w:pPr>
        <w:pStyle w:val="NoSpacing"/>
      </w:pPr>
    </w:p>
    <w:p w:rsidR="001E3F9D" w:rsidRPr="0010709A" w:rsidRDefault="001E3F9D" w:rsidP="001E3F9D">
      <w:pPr>
        <w:pStyle w:val="NoSpacing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Если случаем несоответствия является жалоба, сначала заполните форму жалобы!</w:t>
      </w:r>
    </w:p>
    <w:p w:rsidR="001E3F9D" w:rsidRPr="00134B3F" w:rsidRDefault="001E3F9D" w:rsidP="00812204">
      <w:pPr>
        <w:pStyle w:val="NoSpacing"/>
      </w:pPr>
    </w:p>
    <w:p w:rsidR="00812204" w:rsidRDefault="00812204" w:rsidP="00812204">
      <w:pPr>
        <w:pStyle w:val="Heading2"/>
      </w:pPr>
      <w:r>
        <w:t>Часть 1: Описание случая несоответствия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</w:rPr>
        <w:t>(заполн</w:t>
      </w:r>
      <w:r w:rsidR="00E1067F">
        <w:rPr>
          <w:rFonts w:asciiTheme="minorHAnsi" w:hAnsiTheme="minorHAnsi" w:cstheme="minorHAnsi"/>
          <w:i/>
          <w:sz w:val="22"/>
        </w:rPr>
        <w:t>яет</w:t>
      </w:r>
      <w:r>
        <w:rPr>
          <w:rFonts w:asciiTheme="minorHAnsi" w:hAnsiTheme="minorHAnsi" w:cstheme="minorHAnsi"/>
          <w:i/>
          <w:sz w:val="22"/>
        </w:rPr>
        <w:t xml:space="preserve"> т</w:t>
      </w:r>
      <w:r w:rsidR="00E1067F">
        <w:rPr>
          <w:rFonts w:asciiTheme="minorHAnsi" w:hAnsiTheme="minorHAnsi" w:cstheme="minorHAnsi"/>
          <w:i/>
          <w:sz w:val="22"/>
        </w:rPr>
        <w:t>от</w:t>
      </w:r>
      <w:r>
        <w:rPr>
          <w:rFonts w:asciiTheme="minorHAnsi" w:hAnsiTheme="minorHAnsi" w:cstheme="minorHAnsi"/>
          <w:i/>
          <w:sz w:val="22"/>
        </w:rPr>
        <w:t>, кто уведомляет о случае несоответствия)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ФИО: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E1067F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Числ</w:t>
            </w:r>
            <w:r w:rsidR="00812204">
              <w:rPr>
                <w:b/>
              </w:rPr>
              <w:t>о приложений: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Pr="00E1067F" w:rsidRDefault="00812204" w:rsidP="00812204">
      <w:pPr>
        <w:pStyle w:val="NoSpacing"/>
        <w:rPr>
          <w:b/>
          <w:iCs/>
        </w:rPr>
      </w:pPr>
      <w:r>
        <w:rPr>
          <w:b/>
        </w:rPr>
        <w:t>Описание случая несоответствия: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</w:rPr>
      </w:pPr>
      <w:r>
        <w:rPr>
          <w:b/>
        </w:rPr>
        <w:t>Предполагаемые причины случая несоответствия: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  <w:rPr>
          <w:iCs/>
        </w:rPr>
      </w:pPr>
    </w:p>
    <w:p w:rsidR="00812204" w:rsidRDefault="00812204" w:rsidP="00812204">
      <w:pPr>
        <w:pStyle w:val="NoSpacing"/>
        <w:rPr>
          <w:iCs/>
        </w:rPr>
      </w:pPr>
    </w:p>
    <w:p w:rsidR="00812204" w:rsidRPr="00443D8D" w:rsidRDefault="00812204" w:rsidP="00812204">
      <w:pPr>
        <w:pStyle w:val="NoSpacing"/>
        <w:rPr>
          <w:b/>
          <w:iCs/>
        </w:rPr>
      </w:pPr>
      <w:r>
        <w:rPr>
          <w:b/>
        </w:rPr>
        <w:t>Предлагаемые меры: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1E3F9D" w:rsidRDefault="001E3F9D" w:rsidP="00812204">
      <w:pPr>
        <w:pStyle w:val="NoSpacing"/>
        <w:jc w:val="center"/>
      </w:pPr>
    </w:p>
    <w:p w:rsidR="00812204" w:rsidRPr="00134B3F" w:rsidRDefault="00812204" w:rsidP="00812204">
      <w:pPr>
        <w:pStyle w:val="NoSpacing"/>
        <w:jc w:val="center"/>
      </w:pPr>
      <w:r>
        <w:t>После заполнения этой страницы передайте эту форму руководителю/менеджеру лаборатории</w:t>
      </w:r>
      <w:r w:rsidR="00E1067F">
        <w:t>.</w:t>
      </w:r>
    </w:p>
    <w:p w:rsidR="00C0282B" w:rsidRDefault="00C0282B" w:rsidP="00C0282B">
      <w:pPr>
        <w:pStyle w:val="Heading2"/>
      </w:pPr>
      <w:r>
        <w:lastRenderedPageBreak/>
        <w:t>Часть 2: Действия, которые необходимо предпринять</w:t>
      </w:r>
    </w:p>
    <w:p w:rsidR="00C0282B" w:rsidRPr="00C0282B" w:rsidRDefault="00C0282B" w:rsidP="00C0282B">
      <w:pPr>
        <w:pStyle w:val="NoSpacing"/>
        <w:rPr>
          <w:i/>
        </w:rPr>
      </w:pPr>
      <w:r>
        <w:rPr>
          <w:i/>
        </w:rPr>
        <w:t>(заполн</w:t>
      </w:r>
      <w:r w:rsidR="00E1067F">
        <w:rPr>
          <w:i/>
        </w:rPr>
        <w:t>яет</w:t>
      </w:r>
      <w:r>
        <w:rPr>
          <w:i/>
        </w:rPr>
        <w:t xml:space="preserve"> руководител</w:t>
      </w:r>
      <w:r w:rsidR="00E1067F">
        <w:rPr>
          <w:i/>
        </w:rPr>
        <w:t>ь</w:t>
      </w:r>
      <w:r>
        <w:rPr>
          <w:i/>
        </w:rPr>
        <w:t>/менеджер лаборатории)</w:t>
      </w:r>
    </w:p>
    <w:p w:rsidR="00C0282B" w:rsidRDefault="00C0282B" w:rsidP="00C0282B">
      <w:pPr>
        <w:pStyle w:val="NoSpacing"/>
        <w:rPr>
          <w:u w:val="single"/>
        </w:rPr>
      </w:pPr>
    </w:p>
    <w:p w:rsidR="00812204" w:rsidRPr="00443D8D" w:rsidRDefault="00C0282B" w:rsidP="00C0282B">
      <w:pPr>
        <w:pStyle w:val="NoSpacing"/>
        <w:rPr>
          <w:b/>
          <w:bCs/>
          <w:iCs/>
        </w:rPr>
      </w:pPr>
      <w:r>
        <w:rPr>
          <w:b/>
        </w:rPr>
        <w:t>Компонент, где имел</w:t>
      </w:r>
      <w:r w:rsidR="002D4683">
        <w:rPr>
          <w:b/>
        </w:rPr>
        <w:t>о</w:t>
      </w:r>
      <w:r>
        <w:rPr>
          <w:b/>
        </w:rPr>
        <w:t xml:space="preserve"> место несоответствие (отметьте нужное):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Помещения, инфраструктура и безопасность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Организация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Персонал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Оборудование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Закупка и инвентарный учет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Контроль процессов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Управление информацией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Документы и записи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Фокус на клиенте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Оценка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Управление случаями несоответствия</w:t>
      </w:r>
    </w:p>
    <w:p w:rsidR="00C0282B" w:rsidRP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Постоянное улучшение</w:t>
      </w:r>
    </w:p>
    <w:p w:rsidR="00C0282B" w:rsidRDefault="00C0282B" w:rsidP="00C0282B">
      <w:pPr>
        <w:pStyle w:val="NoSpacing"/>
        <w:rPr>
          <w:bCs/>
          <w:iCs/>
        </w:rPr>
      </w:pPr>
    </w:p>
    <w:p w:rsidR="00443D8D" w:rsidRPr="00443D8D" w:rsidRDefault="00E1067F" w:rsidP="00C0282B">
      <w:pPr>
        <w:pStyle w:val="NoSpacing"/>
        <w:rPr>
          <w:b/>
          <w:bCs/>
          <w:iCs/>
        </w:rPr>
      </w:pPr>
      <w:r>
        <w:rPr>
          <w:b/>
        </w:rPr>
        <w:t>Тяжесть случая несоответствия</w:t>
      </w:r>
    </w:p>
    <w:p w:rsidR="00443D8D" w:rsidRDefault="00443D8D" w:rsidP="00C0282B">
      <w:pPr>
        <w:pStyle w:val="NoSpacing"/>
        <w:rPr>
          <w:bCs/>
          <w:iCs/>
        </w:rPr>
      </w:pPr>
      <w:r>
        <w:t xml:space="preserve">А) Тяжесть последствий </w:t>
      </w:r>
      <w:r w:rsidR="00E1067F">
        <w:t>(</w:t>
      </w:r>
      <w:r>
        <w:t>1= нет серьезных последствий; 2= умеренно серьезные последствия; 3= очень серьезные последствия):</w:t>
      </w:r>
    </w:p>
    <w:p w:rsidR="00443D8D" w:rsidRDefault="00443D8D" w:rsidP="00FB459D">
      <w:pPr>
        <w:pStyle w:val="NoSpacing"/>
        <w:jc w:val="center"/>
        <w:rPr>
          <w:bCs/>
          <w:iCs/>
        </w:rPr>
      </w:pPr>
      <w:r>
        <w:rPr>
          <w:bCs/>
          <w:iCs/>
        </w:rPr>
        <w:sym w:font="Symbol" w:char="F099"/>
      </w:r>
      <w:r>
        <w:t xml:space="preserve">  1</w:t>
      </w:r>
      <w:r>
        <w:tab/>
      </w:r>
      <w:r>
        <w:rPr>
          <w:bCs/>
          <w:iCs/>
        </w:rPr>
        <w:sym w:font="Symbol" w:char="F099"/>
      </w:r>
      <w:r>
        <w:t xml:space="preserve">  2</w:t>
      </w:r>
      <w:r>
        <w:tab/>
      </w:r>
      <w:r w:rsidR="00FB459D">
        <w:rPr>
          <w:bCs/>
          <w:iCs/>
        </w:rPr>
        <w:sym w:font="Symbol" w:char="F099"/>
      </w:r>
      <w:r>
        <w:t xml:space="preserve">  3</w:t>
      </w:r>
    </w:p>
    <w:p w:rsidR="00FB459D" w:rsidRPr="00E1067F" w:rsidRDefault="00FB459D" w:rsidP="00C0282B">
      <w:pPr>
        <w:pStyle w:val="NoSpacing"/>
        <w:rPr>
          <w:bCs/>
          <w:iCs/>
          <w:sz w:val="16"/>
          <w:szCs w:val="16"/>
        </w:rPr>
      </w:pPr>
    </w:p>
    <w:p w:rsidR="00443D8D" w:rsidRDefault="00443D8D" w:rsidP="00C0282B">
      <w:pPr>
        <w:pStyle w:val="NoSpacing"/>
        <w:rPr>
          <w:bCs/>
          <w:iCs/>
        </w:rPr>
      </w:pPr>
      <w:r>
        <w:t>Б) Вероятность повторения случая несоответствия (1= повторение практически невероятно; 2= умеренная вероятность повторения; 3= высокая вероятность повторения):</w:t>
      </w:r>
    </w:p>
    <w:p w:rsidR="00FB459D" w:rsidRDefault="00FB459D" w:rsidP="00FB459D">
      <w:pPr>
        <w:pStyle w:val="NoSpacing"/>
        <w:jc w:val="center"/>
        <w:rPr>
          <w:bCs/>
          <w:iCs/>
        </w:rPr>
      </w:pPr>
      <w:r>
        <w:rPr>
          <w:bCs/>
          <w:iCs/>
        </w:rPr>
        <w:sym w:font="Symbol" w:char="F099"/>
      </w:r>
      <w:r>
        <w:t xml:space="preserve">  1</w:t>
      </w:r>
      <w:r>
        <w:tab/>
      </w:r>
      <w:r>
        <w:rPr>
          <w:bCs/>
          <w:iCs/>
        </w:rPr>
        <w:sym w:font="Symbol" w:char="F099"/>
      </w:r>
      <w:r>
        <w:t xml:space="preserve">  2</w:t>
      </w:r>
      <w:r>
        <w:tab/>
      </w:r>
      <w:r>
        <w:rPr>
          <w:bCs/>
          <w:iCs/>
        </w:rPr>
        <w:sym w:font="Symbol" w:char="F099"/>
      </w:r>
      <w:r>
        <w:t xml:space="preserve">  3</w:t>
      </w:r>
    </w:p>
    <w:p w:rsidR="00FB459D" w:rsidRPr="00447194" w:rsidRDefault="00FB459D" w:rsidP="00C0282B">
      <w:pPr>
        <w:pStyle w:val="NoSpacing"/>
        <w:rPr>
          <w:bCs/>
          <w:iCs/>
          <w:sz w:val="16"/>
          <w:szCs w:val="16"/>
        </w:rPr>
      </w:pPr>
    </w:p>
    <w:p w:rsidR="00443D8D" w:rsidRDefault="00FB459D" w:rsidP="00C0282B">
      <w:pPr>
        <w:pStyle w:val="NoSpacing"/>
        <w:rPr>
          <w:bCs/>
          <w:iCs/>
        </w:rPr>
      </w:pPr>
      <w:r>
        <w:t>В) Оценка тяжести в баллах (1= п</w:t>
      </w:r>
      <w:r w:rsidR="00E1067F">
        <w:t>оследствия очень незначительные,</w:t>
      </w:r>
      <w:r>
        <w:t xml:space="preserve"> немедленных действий не требуется; 9= последствия очень серьезные</w:t>
      </w:r>
      <w:r w:rsidR="00E1067F">
        <w:t>,</w:t>
      </w:r>
      <w:r>
        <w:t xml:space="preserve"> требуются немедленные действия):</w:t>
      </w:r>
    </w:p>
    <w:p w:rsidR="00443D8D" w:rsidRPr="00FB459D" w:rsidRDefault="00443D8D" w:rsidP="00443D8D">
      <w:pPr>
        <w:pStyle w:val="NoSpacing"/>
        <w:jc w:val="center"/>
        <w:rPr>
          <w:bCs/>
          <w:iCs/>
          <w:u w:val="single"/>
        </w:rPr>
      </w:pPr>
      <w:r>
        <w:t xml:space="preserve">Балл пункта (А) x балл пункта (Б) = </w:t>
      </w:r>
      <w:r>
        <w:tab/>
      </w:r>
    </w:p>
    <w:p w:rsidR="00443D8D" w:rsidRDefault="00443D8D" w:rsidP="00C0282B">
      <w:pPr>
        <w:pStyle w:val="NoSpacing"/>
        <w:rPr>
          <w:bCs/>
          <w:iCs/>
        </w:rPr>
      </w:pPr>
    </w:p>
    <w:p w:rsidR="00812204" w:rsidRPr="00FB459D" w:rsidRDefault="00C0282B" w:rsidP="00C0282B">
      <w:pPr>
        <w:pStyle w:val="NoSpacing"/>
        <w:rPr>
          <w:b/>
          <w:bCs/>
          <w:iCs/>
        </w:rPr>
      </w:pPr>
      <w:r>
        <w:rPr>
          <w:b/>
        </w:rPr>
        <w:t>Описание корректирующих действий (конкретны</w:t>
      </w:r>
      <w:r w:rsidR="00E1067F">
        <w:rPr>
          <w:b/>
        </w:rPr>
        <w:t>е</w:t>
      </w:r>
      <w:r>
        <w:rPr>
          <w:b/>
        </w:rPr>
        <w:t xml:space="preserve"> SMART действи</w:t>
      </w:r>
      <w:r w:rsidR="00E1067F">
        <w:rPr>
          <w:b/>
        </w:rPr>
        <w:t>я</w:t>
      </w:r>
      <w:r>
        <w:rPr>
          <w:b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0282B" w:rsidTr="002C47DC">
        <w:tc>
          <w:tcPr>
            <w:tcW w:w="10683" w:type="dxa"/>
            <w:tcBorders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C0282B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C0282B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</w:tbl>
    <w:p w:rsidR="00C0282B" w:rsidRPr="00E1067F" w:rsidRDefault="00C0282B" w:rsidP="00C0282B">
      <w:pPr>
        <w:pStyle w:val="NoSpacing"/>
        <w:rPr>
          <w:bCs/>
          <w:iCs/>
          <w:sz w:val="16"/>
          <w:szCs w:val="16"/>
        </w:rPr>
      </w:pPr>
    </w:p>
    <w:p w:rsidR="00C0282B" w:rsidRPr="00FB459D" w:rsidRDefault="00C0282B" w:rsidP="00C0282B">
      <w:pPr>
        <w:pStyle w:val="NoSpacing"/>
        <w:rPr>
          <w:b/>
          <w:bCs/>
          <w:iCs/>
        </w:rPr>
      </w:pPr>
      <w:r>
        <w:rPr>
          <w:b/>
        </w:rPr>
        <w:t>Если применимо, описание профилактических или немедленных действий (конкретные SMART действи</w:t>
      </w:r>
      <w:r w:rsidR="00E1067F">
        <w:rPr>
          <w:b/>
        </w:rPr>
        <w:t>я</w:t>
      </w:r>
      <w:r>
        <w:rPr>
          <w:b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0282B" w:rsidTr="002C47DC">
        <w:tc>
          <w:tcPr>
            <w:tcW w:w="10683" w:type="dxa"/>
            <w:tcBorders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C0282B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C0282B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</w:tbl>
    <w:p w:rsidR="00443D8D" w:rsidRPr="00E1067F" w:rsidRDefault="00443D8D" w:rsidP="00443D8D">
      <w:pPr>
        <w:pStyle w:val="NoSpacing"/>
        <w:jc w:val="center"/>
        <w:rPr>
          <w:sz w:val="16"/>
          <w:szCs w:val="16"/>
        </w:rPr>
      </w:pPr>
    </w:p>
    <w:p w:rsidR="00443D8D" w:rsidRPr="00134B3F" w:rsidRDefault="00443D8D" w:rsidP="00443D8D">
      <w:pPr>
        <w:pStyle w:val="NoSpacing"/>
        <w:jc w:val="center"/>
      </w:pPr>
      <w:r>
        <w:t>После заполнения этой страницы передайте эту форму менеджеру по качеству</w:t>
      </w:r>
      <w:r w:rsidR="00447194">
        <w:t>.</w:t>
      </w:r>
    </w:p>
    <w:p w:rsidR="00FB459D" w:rsidRPr="00FB459D" w:rsidRDefault="00FB459D" w:rsidP="00FB459D">
      <w:pPr>
        <w:pStyle w:val="Heading2"/>
      </w:pPr>
      <w:r>
        <w:lastRenderedPageBreak/>
        <w:t xml:space="preserve">Часть 3: </w:t>
      </w:r>
      <w:r w:rsidR="00447194">
        <w:t>Выполнение</w:t>
      </w:r>
      <w:r>
        <w:t xml:space="preserve"> и отслеживание корректирующих, профилактических и немедленных действий</w:t>
      </w:r>
    </w:p>
    <w:p w:rsidR="00FB459D" w:rsidRPr="00C0282B" w:rsidRDefault="00FB459D" w:rsidP="00FB459D">
      <w:pPr>
        <w:pStyle w:val="NoSpacing"/>
        <w:rPr>
          <w:i/>
        </w:rPr>
      </w:pPr>
      <w:r>
        <w:rPr>
          <w:i/>
        </w:rPr>
        <w:t>(заполн</w:t>
      </w:r>
      <w:r w:rsidR="00447194">
        <w:rPr>
          <w:i/>
        </w:rPr>
        <w:t>яет</w:t>
      </w:r>
      <w:r>
        <w:rPr>
          <w:i/>
        </w:rPr>
        <w:t xml:space="preserve"> менеджер по качеству)</w:t>
      </w:r>
    </w:p>
    <w:p w:rsidR="00FB459D" w:rsidRDefault="00FB459D" w:rsidP="00C0282B">
      <w:pPr>
        <w:pStyle w:val="NoSpacing"/>
        <w:rPr>
          <w:b/>
          <w:bCs/>
          <w:iCs/>
        </w:rPr>
      </w:pPr>
    </w:p>
    <w:p w:rsidR="00FB459D" w:rsidRDefault="00FB459D" w:rsidP="00C0282B">
      <w:pPr>
        <w:pStyle w:val="NoSpacing"/>
        <w:rPr>
          <w:b/>
          <w:bCs/>
          <w:iCs/>
        </w:rPr>
      </w:pPr>
      <w:r>
        <w:rPr>
          <w:b/>
        </w:rPr>
        <w:t>Контрольный список:</w:t>
      </w:r>
    </w:p>
    <w:p w:rsidR="00FB459D" w:rsidRPr="00FB459D" w:rsidRDefault="00FB459D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Поместите эту форму в папку «Несоответствия»</w:t>
      </w:r>
      <w:r w:rsidR="00447194">
        <w:t>.</w:t>
      </w:r>
    </w:p>
    <w:p w:rsidR="00FB459D" w:rsidRDefault="00447194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О</w:t>
      </w:r>
      <w:r w:rsidR="00FB459D">
        <w:t>бсу</w:t>
      </w:r>
      <w:r>
        <w:t>дите случай</w:t>
      </w:r>
      <w:r w:rsidR="00FB459D">
        <w:t xml:space="preserve"> несоответствия и конкретны</w:t>
      </w:r>
      <w:r>
        <w:t>е</w:t>
      </w:r>
      <w:r w:rsidR="00FB459D">
        <w:t xml:space="preserve"> действи</w:t>
      </w:r>
      <w:r>
        <w:t>я</w:t>
      </w:r>
      <w:r w:rsidR="00FB459D">
        <w:t xml:space="preserve"> на еженедельном совещании сотрудников</w:t>
      </w:r>
      <w:r>
        <w:t>.</w:t>
      </w:r>
    </w:p>
    <w:p w:rsidR="00FB459D" w:rsidRPr="00FB459D" w:rsidRDefault="00FB459D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Включите конкретные де</w:t>
      </w:r>
      <w:r w:rsidR="00447194">
        <w:t>йствия в протокол еженедельного</w:t>
      </w:r>
      <w:r>
        <w:t xml:space="preserve"> совещания сотрудников</w:t>
      </w:r>
      <w:r w:rsidR="00447194">
        <w:t>.</w:t>
      </w:r>
    </w:p>
    <w:p w:rsidR="00FB459D" w:rsidRPr="00FB459D" w:rsidRDefault="00FB459D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Следите за своевременным выполнением конкретных действий</w:t>
      </w:r>
      <w:r w:rsidR="00447194">
        <w:t>.</w:t>
      </w:r>
    </w:p>
    <w:p w:rsidR="00FB459D" w:rsidRDefault="00FB459D" w:rsidP="00C0282B">
      <w:pPr>
        <w:pStyle w:val="NoSpacing"/>
        <w:rPr>
          <w:b/>
          <w:bCs/>
          <w:iCs/>
        </w:rPr>
      </w:pPr>
    </w:p>
    <w:p w:rsidR="00FB459D" w:rsidRPr="00FB459D" w:rsidRDefault="00FB459D" w:rsidP="00C0282B">
      <w:pPr>
        <w:pStyle w:val="NoSpacing"/>
        <w:rPr>
          <w:bCs/>
          <w:iCs/>
          <w:u w:val="single"/>
        </w:rPr>
      </w:pPr>
      <w:r>
        <w:t xml:space="preserve">Дата обсуждения случая несоответствия на еженедельном совещании сотрудников: </w:t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</w:p>
    <w:p w:rsidR="00FB459D" w:rsidRPr="00FB459D" w:rsidRDefault="00FB459D" w:rsidP="00C0282B">
      <w:pPr>
        <w:pStyle w:val="NoSpacing"/>
        <w:rPr>
          <w:bCs/>
          <w:iCs/>
        </w:rPr>
      </w:pPr>
    </w:p>
    <w:p w:rsidR="00FB459D" w:rsidRPr="00FB459D" w:rsidRDefault="00FB459D" w:rsidP="00C0282B">
      <w:pPr>
        <w:pStyle w:val="NoSpacing"/>
        <w:rPr>
          <w:b/>
          <w:bCs/>
          <w:iCs/>
        </w:rPr>
      </w:pPr>
      <w:r>
        <w:rPr>
          <w:b/>
        </w:rPr>
        <w:t>Даты выполнения конкретных действий:</w:t>
      </w:r>
    </w:p>
    <w:p w:rsidR="00FB459D" w:rsidRPr="005152F7" w:rsidRDefault="005152F7" w:rsidP="00C0282B">
      <w:pPr>
        <w:pStyle w:val="NoSpacing"/>
        <w:rPr>
          <w:bCs/>
          <w:iCs/>
        </w:rPr>
      </w:pPr>
      <w:r>
        <w:t>Конкретное корректирующ</w:t>
      </w:r>
      <w:r w:rsidR="002D4683">
        <w:t>е</w:t>
      </w:r>
      <w:bookmarkStart w:id="0" w:name="_GoBack"/>
      <w:bookmarkEnd w:id="0"/>
      <w:r>
        <w:t>е действие:</w:t>
      </w:r>
      <w: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>
        <w:t xml:space="preserve"> Время выполнения: </w:t>
      </w:r>
      <w:r w:rsidR="00447194" w:rsidRPr="00447194">
        <w:rPr>
          <w:u w:val="single"/>
        </w:rPr>
        <w:tab/>
      </w:r>
      <w:r w:rsidRPr="00447194">
        <w:rPr>
          <w:u w:val="single"/>
        </w:rPr>
        <w:tab/>
      </w:r>
      <w:r>
        <w:t xml:space="preserve"> дней</w:t>
      </w:r>
    </w:p>
    <w:p w:rsidR="00FB459D" w:rsidRPr="005152F7" w:rsidRDefault="005152F7" w:rsidP="00C0282B">
      <w:pPr>
        <w:pStyle w:val="NoSpacing"/>
        <w:rPr>
          <w:bCs/>
          <w:iCs/>
        </w:rPr>
      </w:pPr>
      <w:r>
        <w:t>Конкретное профилактическое действие:</w:t>
      </w:r>
      <w:r>
        <w:tab/>
      </w:r>
      <w:r w:rsidR="00447194">
        <w:rPr>
          <w:u w:val="single"/>
        </w:rPr>
        <w:tab/>
      </w:r>
      <w:r w:rsidR="00447194">
        <w:rPr>
          <w:u w:val="single"/>
        </w:rPr>
        <w:tab/>
        <w:t xml:space="preserve"> </w:t>
      </w:r>
      <w:r>
        <w:t xml:space="preserve">Время выполнения: </w:t>
      </w:r>
      <w:r w:rsidR="00447194" w:rsidRPr="00447194">
        <w:rPr>
          <w:u w:val="single"/>
        </w:rPr>
        <w:tab/>
      </w:r>
      <w:r w:rsidR="00447194" w:rsidRPr="00447194">
        <w:rPr>
          <w:u w:val="single"/>
        </w:rPr>
        <w:tab/>
      </w:r>
      <w:r>
        <w:t xml:space="preserve"> дней</w:t>
      </w:r>
    </w:p>
    <w:p w:rsidR="005152F7" w:rsidRPr="005152F7" w:rsidRDefault="005152F7" w:rsidP="005152F7">
      <w:pPr>
        <w:pStyle w:val="NoSpacing"/>
        <w:rPr>
          <w:bCs/>
          <w:iCs/>
        </w:rPr>
      </w:pPr>
      <w:r>
        <w:t>Конкретное немедленное действие:</w:t>
      </w:r>
      <w:r>
        <w:tab/>
      </w:r>
      <w:r>
        <w:tab/>
      </w:r>
      <w:r w:rsidRPr="00447194">
        <w:rPr>
          <w:u w:val="single"/>
        </w:rPr>
        <w:tab/>
      </w:r>
      <w:r w:rsidR="00447194">
        <w:rPr>
          <w:u w:val="single"/>
        </w:rPr>
        <w:tab/>
      </w:r>
      <w:r>
        <w:t xml:space="preserve">Время выполнения: </w:t>
      </w:r>
      <w:r w:rsidRPr="00447194">
        <w:rPr>
          <w:u w:val="single"/>
        </w:rPr>
        <w:tab/>
      </w:r>
      <w:r w:rsidR="00447194" w:rsidRPr="00447194">
        <w:rPr>
          <w:u w:val="single"/>
        </w:rPr>
        <w:tab/>
      </w:r>
      <w:r>
        <w:t xml:space="preserve"> дней</w:t>
      </w:r>
    </w:p>
    <w:p w:rsidR="00FB459D" w:rsidRDefault="00FB459D" w:rsidP="00C0282B">
      <w:pPr>
        <w:pStyle w:val="NoSpacing"/>
        <w:rPr>
          <w:bCs/>
          <w:iCs/>
        </w:rPr>
      </w:pPr>
    </w:p>
    <w:p w:rsidR="00FB459D" w:rsidRPr="00FB459D" w:rsidRDefault="00FB459D" w:rsidP="00FB459D">
      <w:pPr>
        <w:pStyle w:val="NoSpacing"/>
        <w:jc w:val="center"/>
        <w:rPr>
          <w:bCs/>
          <w:iCs/>
        </w:rPr>
      </w:pPr>
      <w:r>
        <w:t>После выполнения всех конкретных действий передайте эту форму руководителю/менеджеру лаборатории</w:t>
      </w:r>
      <w:r w:rsidR="00447194">
        <w:t>.</w:t>
      </w:r>
    </w:p>
    <w:p w:rsidR="005152F7" w:rsidRDefault="005152F7" w:rsidP="00C0282B">
      <w:pPr>
        <w:pStyle w:val="NoSpacing"/>
        <w:rPr>
          <w:bCs/>
          <w:iCs/>
        </w:rPr>
      </w:pPr>
    </w:p>
    <w:p w:rsidR="005152F7" w:rsidRDefault="005152F7" w:rsidP="005152F7">
      <w:pPr>
        <w:pStyle w:val="Heading2"/>
      </w:pPr>
      <w:r>
        <w:t>Часть 4: Оценка корректирующих, профилактических и немедленных действий</w:t>
      </w:r>
    </w:p>
    <w:p w:rsidR="005152F7" w:rsidRPr="00C0282B" w:rsidRDefault="005152F7" w:rsidP="005152F7">
      <w:pPr>
        <w:pStyle w:val="NoSpacing"/>
        <w:rPr>
          <w:i/>
        </w:rPr>
      </w:pPr>
      <w:r>
        <w:rPr>
          <w:i/>
        </w:rPr>
        <w:t>(</w:t>
      </w:r>
      <w:r w:rsidR="00447194">
        <w:rPr>
          <w:i/>
        </w:rPr>
        <w:t>з</w:t>
      </w:r>
      <w:r>
        <w:rPr>
          <w:i/>
        </w:rPr>
        <w:t>аполн</w:t>
      </w:r>
      <w:r w:rsidR="00447194">
        <w:rPr>
          <w:i/>
        </w:rPr>
        <w:t>яет</w:t>
      </w:r>
      <w:r>
        <w:rPr>
          <w:i/>
        </w:rPr>
        <w:t xml:space="preserve"> руководител</w:t>
      </w:r>
      <w:r w:rsidR="00447194">
        <w:rPr>
          <w:i/>
        </w:rPr>
        <w:t>ь</w:t>
      </w:r>
      <w:r>
        <w:rPr>
          <w:i/>
        </w:rPr>
        <w:t>/менеджер лаборатории)</w:t>
      </w:r>
    </w:p>
    <w:p w:rsidR="005152F7" w:rsidRPr="00FB459D" w:rsidRDefault="005152F7" w:rsidP="00C0282B">
      <w:pPr>
        <w:pStyle w:val="NoSpacing"/>
        <w:rPr>
          <w:bCs/>
          <w:iCs/>
        </w:rPr>
      </w:pPr>
    </w:p>
    <w:p w:rsidR="00FB459D" w:rsidRPr="003F010E" w:rsidRDefault="003F010E" w:rsidP="00C0282B">
      <w:pPr>
        <w:pStyle w:val="NoSpacing"/>
        <w:rPr>
          <w:b/>
          <w:bCs/>
          <w:iCs/>
        </w:rPr>
      </w:pPr>
      <w:r>
        <w:rPr>
          <w:b/>
        </w:rPr>
        <w:t>Были ли корректирующие, профилактические и немедленные действия эффективны в исправлении случая несоответствия и предотвращении его повторения?</w:t>
      </w:r>
    </w:p>
    <w:p w:rsidR="005152F7" w:rsidRDefault="005152F7" w:rsidP="005152F7">
      <w:pPr>
        <w:pStyle w:val="NoSpacing"/>
        <w:numPr>
          <w:ilvl w:val="0"/>
          <w:numId w:val="8"/>
        </w:numPr>
        <w:rPr>
          <w:bCs/>
          <w:iCs/>
        </w:rPr>
      </w:pPr>
      <w:r>
        <w:t>Да: поставьте вашу подпись ниже на странице и отдайте эту форму менеджеру по качеству для архивирования</w:t>
      </w:r>
      <w:r w:rsidR="00447194">
        <w:t>.</w:t>
      </w:r>
    </w:p>
    <w:p w:rsidR="005152F7" w:rsidRPr="005152F7" w:rsidRDefault="005152F7" w:rsidP="005152F7">
      <w:pPr>
        <w:pStyle w:val="NoSpacing"/>
        <w:numPr>
          <w:ilvl w:val="0"/>
          <w:numId w:val="8"/>
        </w:numPr>
        <w:rPr>
          <w:bCs/>
          <w:iCs/>
        </w:rPr>
      </w:pPr>
      <w:r>
        <w:t>Нет: опишите, какие следующие действия должны быть выполнены (и проверьте, что они на самом деле будут выполнены):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5152F7" w:rsidTr="002C47DC">
        <w:tc>
          <w:tcPr>
            <w:tcW w:w="10683" w:type="dxa"/>
            <w:tcBorders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  <w:tr w:rsidR="005152F7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  <w:tr w:rsidR="005152F7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  <w:tr w:rsidR="005152F7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  <w:tr w:rsidR="005152F7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</w:tbl>
    <w:p w:rsidR="00FB459D" w:rsidRDefault="00FB459D" w:rsidP="00C0282B">
      <w:pPr>
        <w:pStyle w:val="NoSpacing"/>
        <w:rPr>
          <w:bCs/>
          <w:iCs/>
        </w:rPr>
      </w:pPr>
    </w:p>
    <w:p w:rsidR="005152F7" w:rsidRPr="003F010E" w:rsidRDefault="003F010E" w:rsidP="00C0282B">
      <w:pPr>
        <w:pStyle w:val="NoSpacing"/>
        <w:rPr>
          <w:b/>
          <w:bCs/>
          <w:i/>
          <w:iCs/>
        </w:rPr>
      </w:pPr>
      <w:r>
        <w:rPr>
          <w:b/>
          <w:i/>
        </w:rPr>
        <w:t xml:space="preserve">Если следующие действия были эффективны в исправлении случая несоответствия и предотвращении его повторения, поставьте вашу подпись ниже на странице и отдайте эту форму менеджеру по качеству. </w:t>
      </w:r>
      <w:r w:rsidR="00447194" w:rsidRPr="00447194">
        <w:rPr>
          <w:b/>
          <w:i/>
        </w:rPr>
        <w:t>Если случай несоответствия остался неисправленным, повторяйте описанную выше процедуру до тех пор, пока несоответствие не будет исправлено и шанс его повторения не будет сведен к минимуму.</w:t>
      </w:r>
    </w:p>
    <w:p w:rsidR="003F010E" w:rsidRDefault="003F010E" w:rsidP="00C0282B">
      <w:pPr>
        <w:pStyle w:val="NoSpacing"/>
      </w:pPr>
    </w:p>
    <w:p w:rsidR="003F010E" w:rsidRPr="003F010E" w:rsidRDefault="003F010E" w:rsidP="00C0282B">
      <w:pPr>
        <w:pStyle w:val="NoSpacing"/>
        <w:rPr>
          <w:b/>
        </w:rPr>
      </w:pPr>
      <w:r>
        <w:rPr>
          <w:b/>
        </w:rPr>
        <w:t>Имя, дата и подпись руководителя/менеджера лаборатории (завершают форму):</w:t>
      </w:r>
    </w:p>
    <w:p w:rsidR="001E3F9D" w:rsidRDefault="001E3F9D" w:rsidP="00C0282B">
      <w:pPr>
        <w:pStyle w:val="NoSpacing"/>
      </w:pPr>
    </w:p>
    <w:p w:rsidR="003F010E" w:rsidRDefault="003F010E" w:rsidP="00C0282B">
      <w:pPr>
        <w:pStyle w:val="NoSpacing"/>
        <w:rPr>
          <w:u w:val="single"/>
        </w:rPr>
      </w:pPr>
      <w:r>
        <w:t xml:space="preserve">ФИО: </w:t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>
        <w:t xml:space="preserve"> Дата:</w:t>
      </w:r>
      <w:r w:rsidRPr="00447194">
        <w:rPr>
          <w:u w:val="single"/>
        </w:rPr>
        <w:t xml:space="preserve"> </w:t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>
        <w:t xml:space="preserve"> Подпись: </w:t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  <w:r w:rsidRPr="00447194">
        <w:rPr>
          <w:u w:val="single"/>
        </w:rPr>
        <w:tab/>
      </w:r>
    </w:p>
    <w:p w:rsidR="0010709A" w:rsidRDefault="0010709A" w:rsidP="003F010E">
      <w:pPr>
        <w:pStyle w:val="NoSpacing"/>
        <w:jc w:val="center"/>
      </w:pPr>
    </w:p>
    <w:p w:rsidR="003F010E" w:rsidRPr="003F010E" w:rsidRDefault="003F010E" w:rsidP="003F010E">
      <w:pPr>
        <w:pStyle w:val="NoSpacing"/>
        <w:jc w:val="center"/>
      </w:pPr>
      <w:r>
        <w:t>После завершения этой формы передайте ее менеджеру по качеству для архивирования</w:t>
      </w:r>
      <w:r w:rsidR="00447194">
        <w:t>.</w:t>
      </w:r>
    </w:p>
    <w:sectPr w:rsidR="003F010E" w:rsidRPr="003F010E" w:rsidSect="00646C65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76" w:rsidRDefault="003F0C76" w:rsidP="00812204">
      <w:r>
        <w:separator/>
      </w:r>
    </w:p>
  </w:endnote>
  <w:endnote w:type="continuationSeparator" w:id="0">
    <w:p w:rsidR="003F0C76" w:rsidRDefault="003F0C76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04" w:rsidRPr="00812204" w:rsidRDefault="00812204" w:rsidP="00812204">
    <w:pPr>
      <w:pStyle w:val="Footer"/>
    </w:pPr>
    <w:r>
      <w:rPr>
        <w:noProof/>
        <w:lang w:val="en-US" w:eastAsia="en-US" w:bidi="ar-SA"/>
      </w:rPr>
      <w:drawing>
        <wp:inline distT="0" distB="0" distL="0" distR="0" wp14:anchorId="6A6FE561" wp14:editId="61BFB4B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76" w:rsidRDefault="003F0C76" w:rsidP="00812204">
      <w:r>
        <w:separator/>
      </w:r>
    </w:p>
  </w:footnote>
  <w:footnote w:type="continuationSeparator" w:id="0">
    <w:p w:rsidR="003F0C76" w:rsidRDefault="003F0C76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E1067F" w:rsidRPr="00E1067F" w:rsidTr="001B2EB1">
      <w:tc>
        <w:tcPr>
          <w:tcW w:w="7143" w:type="dxa"/>
          <w:vMerge w:val="restart"/>
          <w:vAlign w:val="center"/>
        </w:tcPr>
        <w:p w:rsidR="00E1067F" w:rsidRPr="00E1067F" w:rsidRDefault="00E1067F" w:rsidP="00E1067F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E1067F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Номер:</w:t>
          </w:r>
        </w:p>
      </w:tc>
      <w:tc>
        <w:tcPr>
          <w:tcW w:w="1503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П38ПР1</w:t>
          </w:r>
        </w:p>
      </w:tc>
    </w:tr>
    <w:tr w:rsidR="00E1067F" w:rsidRPr="00E1067F" w:rsidTr="001B2EB1">
      <w:tc>
        <w:tcPr>
          <w:tcW w:w="7143" w:type="dxa"/>
          <w:vMerge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Версия:</w:t>
          </w:r>
        </w:p>
      </w:tc>
      <w:tc>
        <w:tcPr>
          <w:tcW w:w="1503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В</w:t>
          </w:r>
          <w:proofErr w:type="gramStart"/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  <w:proofErr w:type="gramEnd"/>
        </w:p>
      </w:tc>
    </w:tr>
    <w:tr w:rsidR="00E1067F" w:rsidRPr="00E1067F" w:rsidTr="001B2EB1">
      <w:tc>
        <w:tcPr>
          <w:tcW w:w="7143" w:type="dxa"/>
          <w:vMerge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Действительно с:</w:t>
          </w:r>
        </w:p>
      </w:tc>
      <w:tc>
        <w:tcPr>
          <w:tcW w:w="1503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-2013</w:t>
          </w:r>
        </w:p>
      </w:tc>
    </w:tr>
    <w:tr w:rsidR="00E1067F" w:rsidRPr="00E1067F" w:rsidTr="001B2EB1">
      <w:tc>
        <w:tcPr>
          <w:tcW w:w="7143" w:type="dxa"/>
          <w:vMerge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Извлечь из обращения:</w:t>
          </w:r>
        </w:p>
      </w:tc>
      <w:tc>
        <w:tcPr>
          <w:tcW w:w="1503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E1067F">
            <w:rPr>
              <w:rFonts w:asciiTheme="minorHAnsi" w:eastAsiaTheme="minorEastAsia" w:hAnsiTheme="minorHAnsi" w:cstheme="minorBidi"/>
              <w:sz w:val="22"/>
              <w:szCs w:val="22"/>
            </w:rPr>
            <w:t>-2015</w:t>
          </w:r>
        </w:p>
      </w:tc>
    </w:tr>
    <w:tr w:rsidR="00E1067F" w:rsidRPr="00E1067F" w:rsidTr="001B2EB1">
      <w:tc>
        <w:tcPr>
          <w:tcW w:w="7143" w:type="dxa"/>
          <w:vMerge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Стр.:</w:t>
          </w:r>
        </w:p>
      </w:tc>
      <w:tc>
        <w:tcPr>
          <w:tcW w:w="1503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3</w:t>
          </w:r>
        </w:p>
      </w:tc>
    </w:tr>
    <w:tr w:rsidR="00E1067F" w:rsidRPr="00E1067F" w:rsidTr="001B2EB1">
      <w:tc>
        <w:tcPr>
          <w:tcW w:w="7143" w:type="dxa"/>
          <w:vMerge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E1067F" w:rsidRPr="00E1067F" w:rsidRDefault="00E1067F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E1067F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Утверждено (подпись):</w:t>
          </w:r>
        </w:p>
      </w:tc>
      <w:tc>
        <w:tcPr>
          <w:tcW w:w="1503" w:type="dxa"/>
        </w:tcPr>
        <w:p w:rsidR="00E1067F" w:rsidRPr="00E1067F" w:rsidRDefault="003F0C76" w:rsidP="00E1067F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2" DrawAspect="Content" ObjectID="_1465690896" r:id="rId2"/>
            </w:pict>
          </w:r>
        </w:p>
      </w:tc>
    </w:tr>
  </w:tbl>
  <w:p w:rsidR="00F14CC4" w:rsidRDefault="003F0C76" w:rsidP="00C34A4B">
    <w:pPr>
      <w:pStyle w:val="Header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C4" w:rsidRPr="00F14CC4" w:rsidRDefault="003F010E">
    <w:r>
      <w:t xml:space="preserve">СОП П029, приложение 1 </w:t>
    </w:r>
  </w:p>
  <w:p w:rsidR="00F14CC4" w:rsidRPr="00F14CC4" w:rsidRDefault="003F0C76"/>
  <w:p w:rsidR="00F14CC4" w:rsidRPr="00F14CC4" w:rsidRDefault="003F0C76"/>
  <w:p w:rsidR="00F14CC4" w:rsidRDefault="003F010E" w:rsidP="00C34A4B">
    <w:pPr>
      <w:jc w:val="center"/>
    </w:pPr>
    <w:r>
      <w:rPr>
        <w:rFonts w:ascii="Times New Roman" w:hAnsi="Times New Roman"/>
        <w:b/>
        <w:sz w:val="32"/>
      </w:rPr>
      <w:t>Форма уведомления об улучшениях, отклонениях и жалобах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10709A"/>
    <w:rsid w:val="001E3F9D"/>
    <w:rsid w:val="002D4683"/>
    <w:rsid w:val="003F010E"/>
    <w:rsid w:val="003F0C76"/>
    <w:rsid w:val="00443D8D"/>
    <w:rsid w:val="00447194"/>
    <w:rsid w:val="004562C2"/>
    <w:rsid w:val="005152F7"/>
    <w:rsid w:val="00646C65"/>
    <w:rsid w:val="007B7969"/>
    <w:rsid w:val="007E63AB"/>
    <w:rsid w:val="00812204"/>
    <w:rsid w:val="00866A7E"/>
    <w:rsid w:val="00892A0F"/>
    <w:rsid w:val="00B115DC"/>
    <w:rsid w:val="00C0282B"/>
    <w:rsid w:val="00D3571A"/>
    <w:rsid w:val="00D62965"/>
    <w:rsid w:val="00E1067F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E106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E106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5</cp:revision>
  <dcterms:created xsi:type="dcterms:W3CDTF">2013-04-05T13:14:00Z</dcterms:created>
  <dcterms:modified xsi:type="dcterms:W3CDTF">2014-07-01T01:35:00Z</dcterms:modified>
</cp:coreProperties>
</file>