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E8B00" w14:textId="77777777" w:rsidR="003F2F29" w:rsidRPr="003F2F29" w:rsidRDefault="003F2F29" w:rsidP="003F2F29">
      <w:pPr>
        <w:pStyle w:val="Heading1"/>
        <w:keepNext w:val="0"/>
        <w:keepLines w:val="0"/>
        <w:pBdr>
          <w:bottom w:val="none" w:sz="0" w:space="0" w:color="auto"/>
        </w:pBdr>
        <w:spacing w:before="60" w:after="0" w:line="276" w:lineRule="auto"/>
        <w:rPr>
          <w:rFonts w:ascii="Arial" w:hAnsi="Arial" w:cs="Arial"/>
          <w:b/>
          <w:bCs/>
          <w:color w:val="009AC9"/>
          <w:kern w:val="36"/>
          <w:sz w:val="36"/>
          <w:szCs w:val="36"/>
        </w:rPr>
      </w:pPr>
      <w:r w:rsidRPr="003F2F29">
        <w:rPr>
          <w:rFonts w:ascii="Arial" w:hAnsi="Arial"/>
          <w:b/>
          <w:color w:val="009AC9"/>
          <w:sz w:val="36"/>
          <w:szCs w:val="36"/>
        </w:rPr>
        <w:t>Часто задаваемые вопросы</w:t>
      </w:r>
    </w:p>
    <w:p w14:paraId="56035D6A" w14:textId="6306479A" w:rsidR="008A1B65" w:rsidRPr="003F2F29" w:rsidRDefault="003F2F29" w:rsidP="00116D17">
      <w:pPr>
        <w:pStyle w:val="Heading1"/>
        <w:keepNext w:val="0"/>
        <w:keepLines w:val="0"/>
        <w:pBdr>
          <w:bottom w:val="none" w:sz="0" w:space="0" w:color="auto"/>
        </w:pBdr>
        <w:spacing w:before="0" w:after="0" w:line="276" w:lineRule="auto"/>
        <w:rPr>
          <w:rFonts w:ascii="Arial" w:hAnsi="Arial" w:cs="Arial"/>
          <w:b/>
          <w:bCs/>
          <w:color w:val="009AC9"/>
          <w:kern w:val="36"/>
          <w:sz w:val="24"/>
          <w:szCs w:val="24"/>
        </w:rPr>
      </w:pPr>
      <w:r>
        <w:rPr>
          <w:rFonts w:ascii="Arial" w:hAnsi="Arial"/>
          <w:b/>
          <w:color w:val="009AC9"/>
          <w:sz w:val="24"/>
          <w:szCs w:val="24"/>
        </w:rPr>
        <w:t>К</w:t>
      </w:r>
      <w:r w:rsidR="0076227C" w:rsidRPr="003F2F29">
        <w:rPr>
          <w:rFonts w:ascii="Arial" w:hAnsi="Arial"/>
          <w:b/>
          <w:color w:val="009AC9"/>
          <w:sz w:val="24"/>
          <w:szCs w:val="24"/>
        </w:rPr>
        <w:t>урс «Диагностический экспресс-тест на антигены вируса SARS-CoV-2»</w:t>
      </w:r>
    </w:p>
    <w:p w14:paraId="5D7E72A0" w14:textId="75C18503" w:rsidR="00E47080" w:rsidRPr="00DA4119" w:rsidRDefault="00DA4119" w:rsidP="00116D17">
      <w:pPr>
        <w:pStyle w:val="Heading2"/>
        <w:keepNext w:val="0"/>
        <w:keepLines w:val="0"/>
        <w:spacing w:before="480" w:after="160" w:line="276" w:lineRule="auto"/>
        <w:rPr>
          <w:rFonts w:ascii="Arial" w:hAnsi="Arial" w:cs="Arial"/>
          <w:b/>
          <w:bCs/>
          <w:color w:val="auto"/>
          <w:sz w:val="26"/>
          <w:szCs w:val="26"/>
        </w:rPr>
      </w:pPr>
      <w:r>
        <w:rPr>
          <w:rFonts w:ascii="Arial" w:hAnsi="Arial"/>
          <w:b/>
          <w:color w:val="auto"/>
          <w:sz w:val="26"/>
        </w:rPr>
        <w:t>Общие сведения о тесте</w:t>
      </w:r>
    </w:p>
    <w:p w14:paraId="57004767" w14:textId="77777777" w:rsidR="00250F5F" w:rsidRPr="00AD12DE" w:rsidRDefault="00445522" w:rsidP="00116D17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AD12DE">
        <w:rPr>
          <w:rFonts w:ascii="Arial" w:hAnsi="Arial" w:cs="Arial"/>
          <w:b/>
          <w:sz w:val="20"/>
          <w:szCs w:val="20"/>
        </w:rPr>
        <w:t>Что такое ДЭТ?</w:t>
      </w:r>
    </w:p>
    <w:p w14:paraId="40C02E1C" w14:textId="7AE80F9C" w:rsidR="00445522" w:rsidRPr="00AD12DE" w:rsidRDefault="00445522" w:rsidP="00116D17">
      <w:pPr>
        <w:pStyle w:val="ListParagraph"/>
        <w:rPr>
          <w:rFonts w:ascii="Arial" w:hAnsi="Arial" w:cs="Arial"/>
          <w:sz w:val="20"/>
          <w:szCs w:val="20"/>
        </w:rPr>
      </w:pPr>
      <w:r w:rsidRPr="00AD12DE">
        <w:rPr>
          <w:rFonts w:ascii="Arial" w:hAnsi="Arial" w:cs="Arial"/>
          <w:sz w:val="20"/>
          <w:szCs w:val="20"/>
        </w:rPr>
        <w:t>ДЭТ – это диагностический экспресс-тест. ДЭТ прост</w:t>
      </w:r>
      <w:r w:rsidR="00DA4119" w:rsidRPr="00AD12DE">
        <w:rPr>
          <w:rFonts w:ascii="Arial" w:hAnsi="Arial" w:cs="Arial"/>
          <w:sz w:val="20"/>
          <w:szCs w:val="20"/>
        </w:rPr>
        <w:t>о</w:t>
      </w:r>
      <w:r w:rsidRPr="00AD12DE">
        <w:rPr>
          <w:rFonts w:ascii="Arial" w:hAnsi="Arial" w:cs="Arial"/>
          <w:sz w:val="20"/>
          <w:szCs w:val="20"/>
        </w:rPr>
        <w:t xml:space="preserve"> выполн</w:t>
      </w:r>
      <w:r w:rsidR="00DA4119" w:rsidRPr="00AD12DE">
        <w:rPr>
          <w:rFonts w:ascii="Arial" w:hAnsi="Arial" w:cs="Arial"/>
          <w:sz w:val="20"/>
          <w:szCs w:val="20"/>
        </w:rPr>
        <w:t>ять</w:t>
      </w:r>
      <w:r w:rsidRPr="00AD12DE">
        <w:rPr>
          <w:rFonts w:ascii="Arial" w:hAnsi="Arial" w:cs="Arial"/>
          <w:sz w:val="20"/>
          <w:szCs w:val="20"/>
        </w:rPr>
        <w:t xml:space="preserve">, </w:t>
      </w:r>
      <w:r w:rsidR="00DA4119" w:rsidRPr="00AD12DE">
        <w:rPr>
          <w:rFonts w:ascii="Arial" w:hAnsi="Arial" w:cs="Arial"/>
          <w:sz w:val="20"/>
          <w:szCs w:val="20"/>
        </w:rPr>
        <w:t xml:space="preserve">их </w:t>
      </w:r>
      <w:r w:rsidRPr="00AD12DE">
        <w:rPr>
          <w:rFonts w:ascii="Arial" w:hAnsi="Arial" w:cs="Arial"/>
          <w:sz w:val="20"/>
          <w:szCs w:val="20"/>
        </w:rPr>
        <w:t>можно</w:t>
      </w:r>
      <w:r w:rsidR="00DA4119" w:rsidRPr="00AD12DE">
        <w:rPr>
          <w:rFonts w:ascii="Arial" w:hAnsi="Arial" w:cs="Arial"/>
          <w:sz w:val="20"/>
          <w:szCs w:val="20"/>
        </w:rPr>
        <w:t xml:space="preserve"> ставить</w:t>
      </w:r>
      <w:r w:rsidRPr="00AD12DE">
        <w:rPr>
          <w:rFonts w:ascii="Arial" w:hAnsi="Arial" w:cs="Arial"/>
          <w:sz w:val="20"/>
          <w:szCs w:val="20"/>
        </w:rPr>
        <w:t xml:space="preserve"> вне лаборатории,</w:t>
      </w:r>
      <w:r w:rsidR="00DA4119" w:rsidRPr="00AD12DE">
        <w:rPr>
          <w:rFonts w:ascii="Arial" w:hAnsi="Arial" w:cs="Arial"/>
          <w:sz w:val="20"/>
          <w:szCs w:val="20"/>
        </w:rPr>
        <w:t xml:space="preserve"> и</w:t>
      </w:r>
      <w:r w:rsidRPr="00AD12DE">
        <w:rPr>
          <w:rFonts w:ascii="Arial" w:hAnsi="Arial" w:cs="Arial"/>
          <w:sz w:val="20"/>
          <w:szCs w:val="20"/>
        </w:rPr>
        <w:t xml:space="preserve"> их результаты, как правило, готовы в течение 15–30 минут. Латеральные проточные тесты – самый частый тип ДЭТ (например, тесты на малярию).</w:t>
      </w:r>
    </w:p>
    <w:p w14:paraId="4CF6F4FB" w14:textId="77777777" w:rsidR="008A1B65" w:rsidRPr="00AD12DE" w:rsidRDefault="008A1B65" w:rsidP="00116D17">
      <w:pPr>
        <w:pStyle w:val="ListParagraph"/>
        <w:rPr>
          <w:rFonts w:ascii="Arial" w:hAnsi="Arial" w:cs="Arial"/>
          <w:sz w:val="20"/>
          <w:szCs w:val="20"/>
        </w:rPr>
      </w:pPr>
    </w:p>
    <w:p w14:paraId="27B5AD08" w14:textId="692C69B3" w:rsidR="00650FBB" w:rsidRPr="00AD12DE" w:rsidRDefault="00650FBB" w:rsidP="00116D17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AD12DE">
        <w:rPr>
          <w:rFonts w:ascii="Arial" w:hAnsi="Arial" w:cs="Arial"/>
          <w:b/>
          <w:sz w:val="20"/>
          <w:szCs w:val="20"/>
        </w:rPr>
        <w:t>Что такое антиген</w:t>
      </w:r>
      <w:r w:rsidR="00302A43" w:rsidRPr="00AD12DE">
        <w:rPr>
          <w:rFonts w:ascii="Arial" w:hAnsi="Arial" w:cs="Arial"/>
          <w:b/>
          <w:sz w:val="20"/>
          <w:szCs w:val="20"/>
        </w:rPr>
        <w:t>ы</w:t>
      </w:r>
      <w:r w:rsidRPr="00AD12DE">
        <w:rPr>
          <w:rFonts w:ascii="Arial" w:hAnsi="Arial" w:cs="Arial"/>
          <w:b/>
          <w:sz w:val="20"/>
          <w:szCs w:val="20"/>
        </w:rPr>
        <w:t>?</w:t>
      </w:r>
    </w:p>
    <w:p w14:paraId="7FBBE2F8" w14:textId="675B2DE8" w:rsidR="00650FBB" w:rsidRPr="00AD12DE" w:rsidRDefault="00650FBB" w:rsidP="00116D17">
      <w:pPr>
        <w:pStyle w:val="ListParagraph"/>
        <w:rPr>
          <w:rFonts w:ascii="Arial" w:hAnsi="Arial" w:cs="Arial"/>
          <w:sz w:val="20"/>
          <w:szCs w:val="20"/>
        </w:rPr>
      </w:pPr>
      <w:r w:rsidRPr="00AD12DE">
        <w:rPr>
          <w:rFonts w:ascii="Arial" w:hAnsi="Arial" w:cs="Arial"/>
          <w:sz w:val="20"/>
          <w:szCs w:val="20"/>
        </w:rPr>
        <w:t>Антиген</w:t>
      </w:r>
      <w:r w:rsidR="00302A43" w:rsidRPr="00AD12DE">
        <w:rPr>
          <w:rFonts w:ascii="Arial" w:hAnsi="Arial" w:cs="Arial"/>
          <w:sz w:val="20"/>
          <w:szCs w:val="20"/>
        </w:rPr>
        <w:t>ы</w:t>
      </w:r>
      <w:r w:rsidRPr="00AD12DE">
        <w:rPr>
          <w:rFonts w:ascii="Arial" w:hAnsi="Arial" w:cs="Arial"/>
          <w:sz w:val="20"/>
          <w:szCs w:val="20"/>
        </w:rPr>
        <w:t xml:space="preserve"> – это белки, экспрессируемые вирусом, бактерией или паразитом. </w:t>
      </w:r>
      <w:r w:rsidR="00E90604">
        <w:rPr>
          <w:rFonts w:ascii="Arial" w:hAnsi="Arial" w:cs="Arial"/>
          <w:sz w:val="20"/>
          <w:szCs w:val="20"/>
        </w:rPr>
        <w:t>И</w:t>
      </w:r>
      <w:r w:rsidR="00E90604" w:rsidRPr="00AD12DE">
        <w:rPr>
          <w:rFonts w:ascii="Arial" w:hAnsi="Arial" w:cs="Arial"/>
          <w:sz w:val="20"/>
          <w:szCs w:val="20"/>
        </w:rPr>
        <w:t>ммунн</w:t>
      </w:r>
      <w:r w:rsidR="00E90604">
        <w:rPr>
          <w:rFonts w:ascii="Arial" w:hAnsi="Arial" w:cs="Arial"/>
          <w:sz w:val="20"/>
          <w:szCs w:val="20"/>
        </w:rPr>
        <w:t>ая</w:t>
      </w:r>
      <w:r w:rsidR="00E90604" w:rsidRPr="00AD12DE">
        <w:rPr>
          <w:rFonts w:ascii="Arial" w:hAnsi="Arial" w:cs="Arial"/>
          <w:sz w:val="20"/>
          <w:szCs w:val="20"/>
        </w:rPr>
        <w:t xml:space="preserve"> систем</w:t>
      </w:r>
      <w:r w:rsidR="00E90604">
        <w:rPr>
          <w:rFonts w:ascii="Arial" w:hAnsi="Arial" w:cs="Arial"/>
          <w:sz w:val="20"/>
          <w:szCs w:val="20"/>
        </w:rPr>
        <w:t>а</w:t>
      </w:r>
      <w:r w:rsidR="00E90604" w:rsidRPr="00AD12DE">
        <w:rPr>
          <w:rFonts w:ascii="Arial" w:hAnsi="Arial" w:cs="Arial"/>
          <w:sz w:val="20"/>
          <w:szCs w:val="20"/>
        </w:rPr>
        <w:t xml:space="preserve"> организма </w:t>
      </w:r>
      <w:r w:rsidRPr="00AD12DE">
        <w:rPr>
          <w:rFonts w:ascii="Arial" w:hAnsi="Arial" w:cs="Arial"/>
          <w:sz w:val="20"/>
          <w:szCs w:val="20"/>
        </w:rPr>
        <w:t>распозна</w:t>
      </w:r>
      <w:r w:rsidR="00E90604">
        <w:rPr>
          <w:rFonts w:ascii="Arial" w:hAnsi="Arial" w:cs="Arial"/>
          <w:sz w:val="20"/>
          <w:szCs w:val="20"/>
        </w:rPr>
        <w:t>ё</w:t>
      </w:r>
      <w:r w:rsidRPr="00AD12DE">
        <w:rPr>
          <w:rFonts w:ascii="Arial" w:hAnsi="Arial" w:cs="Arial"/>
          <w:sz w:val="20"/>
          <w:szCs w:val="20"/>
        </w:rPr>
        <w:t>т</w:t>
      </w:r>
      <w:r w:rsidR="00E90604">
        <w:rPr>
          <w:rFonts w:ascii="Arial" w:hAnsi="Arial" w:cs="Arial"/>
          <w:sz w:val="20"/>
          <w:szCs w:val="20"/>
        </w:rPr>
        <w:t xml:space="preserve"> их</w:t>
      </w:r>
      <w:r w:rsidRPr="00AD12DE">
        <w:rPr>
          <w:rFonts w:ascii="Arial" w:hAnsi="Arial" w:cs="Arial"/>
          <w:sz w:val="20"/>
          <w:szCs w:val="20"/>
        </w:rPr>
        <w:t xml:space="preserve"> как нечто чужеродное. Это запускает продукцию антител, которые специфически распознают антигены и нейтрализуют их.</w:t>
      </w:r>
    </w:p>
    <w:p w14:paraId="45530FA5" w14:textId="77777777" w:rsidR="008A1B65" w:rsidRPr="00AD12DE" w:rsidRDefault="008A1B65" w:rsidP="00116D17">
      <w:pPr>
        <w:pStyle w:val="ListParagraph"/>
        <w:rPr>
          <w:rFonts w:ascii="Arial" w:hAnsi="Arial" w:cs="Arial"/>
          <w:sz w:val="20"/>
          <w:szCs w:val="20"/>
        </w:rPr>
      </w:pPr>
    </w:p>
    <w:p w14:paraId="65FF46D7" w14:textId="77777777" w:rsidR="0046560E" w:rsidRPr="00AD12DE" w:rsidRDefault="0046560E" w:rsidP="00116D17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AD12DE">
        <w:rPr>
          <w:rFonts w:ascii="Arial" w:hAnsi="Arial" w:cs="Arial"/>
          <w:b/>
          <w:sz w:val="20"/>
          <w:szCs w:val="20"/>
        </w:rPr>
        <w:t>Как работает тест на антигены?</w:t>
      </w:r>
    </w:p>
    <w:p w14:paraId="0D4DA4F6" w14:textId="546E9413" w:rsidR="0046560E" w:rsidRPr="00AD12DE" w:rsidRDefault="0046560E" w:rsidP="00116D17">
      <w:pPr>
        <w:pStyle w:val="ListParagraph"/>
        <w:rPr>
          <w:rFonts w:ascii="Arial" w:hAnsi="Arial" w:cs="Arial"/>
          <w:sz w:val="20"/>
          <w:szCs w:val="20"/>
        </w:rPr>
      </w:pPr>
      <w:r w:rsidRPr="00AD12DE">
        <w:rPr>
          <w:rFonts w:ascii="Arial" w:hAnsi="Arial" w:cs="Arial"/>
          <w:sz w:val="20"/>
          <w:szCs w:val="20"/>
        </w:rPr>
        <w:t>Тест на антигены проверяет, есть ли в теле человека антигены конкретного патогена</w:t>
      </w:r>
      <w:r w:rsidR="00DA4119" w:rsidRPr="00AD12DE">
        <w:rPr>
          <w:rFonts w:ascii="Arial" w:hAnsi="Arial" w:cs="Arial"/>
          <w:sz w:val="20"/>
          <w:szCs w:val="20"/>
        </w:rPr>
        <w:t>,</w:t>
      </w:r>
      <w:r w:rsidRPr="00AD12DE">
        <w:rPr>
          <w:rFonts w:ascii="Arial" w:hAnsi="Arial" w:cs="Arial"/>
          <w:sz w:val="20"/>
          <w:szCs w:val="20"/>
        </w:rPr>
        <w:t xml:space="preserve"> для того чтобы выяснить, инфицирован ли человек искомым патогеном. Например, ДЭТ на антигены вируса SARS-CoV-2 </w:t>
      </w:r>
      <w:r w:rsidR="00DA4119" w:rsidRPr="00AD12DE">
        <w:rPr>
          <w:rFonts w:ascii="Arial" w:hAnsi="Arial" w:cs="Arial"/>
          <w:sz w:val="20"/>
          <w:szCs w:val="20"/>
        </w:rPr>
        <w:t>выявляет</w:t>
      </w:r>
      <w:r w:rsidRPr="00AD12DE">
        <w:rPr>
          <w:rFonts w:ascii="Arial" w:hAnsi="Arial" w:cs="Arial"/>
          <w:sz w:val="20"/>
          <w:szCs w:val="20"/>
        </w:rPr>
        <w:t xml:space="preserve"> нуклеокапсидн</w:t>
      </w:r>
      <w:r w:rsidR="00DA4119" w:rsidRPr="00AD12DE">
        <w:rPr>
          <w:rFonts w:ascii="Arial" w:hAnsi="Arial" w:cs="Arial"/>
          <w:sz w:val="20"/>
          <w:szCs w:val="20"/>
        </w:rPr>
        <w:t>ый</w:t>
      </w:r>
      <w:r w:rsidRPr="00AD12DE">
        <w:rPr>
          <w:rFonts w:ascii="Arial" w:hAnsi="Arial" w:cs="Arial"/>
          <w:sz w:val="20"/>
          <w:szCs w:val="20"/>
        </w:rPr>
        <w:t xml:space="preserve"> бел</w:t>
      </w:r>
      <w:r w:rsidR="00DA4119" w:rsidRPr="00AD12DE">
        <w:rPr>
          <w:rFonts w:ascii="Arial" w:hAnsi="Arial" w:cs="Arial"/>
          <w:sz w:val="20"/>
          <w:szCs w:val="20"/>
        </w:rPr>
        <w:t>ок</w:t>
      </w:r>
      <w:r w:rsidRPr="00AD12DE">
        <w:rPr>
          <w:rFonts w:ascii="Arial" w:hAnsi="Arial" w:cs="Arial"/>
          <w:sz w:val="20"/>
          <w:szCs w:val="20"/>
        </w:rPr>
        <w:t xml:space="preserve"> этого вируса.</w:t>
      </w:r>
    </w:p>
    <w:p w14:paraId="47419381" w14:textId="77777777" w:rsidR="008A1B65" w:rsidRPr="00AD12DE" w:rsidRDefault="008A1B65" w:rsidP="00116D17">
      <w:pPr>
        <w:pStyle w:val="ListParagraph"/>
        <w:rPr>
          <w:rFonts w:ascii="Arial" w:hAnsi="Arial" w:cs="Arial"/>
          <w:sz w:val="20"/>
          <w:szCs w:val="20"/>
        </w:rPr>
      </w:pPr>
    </w:p>
    <w:p w14:paraId="76BE38B2" w14:textId="2F9084B7" w:rsidR="0046560E" w:rsidRPr="00AD12DE" w:rsidRDefault="00141603" w:rsidP="00116D17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AD12DE">
        <w:rPr>
          <w:rFonts w:ascii="Arial" w:hAnsi="Arial" w:cs="Arial"/>
          <w:b/>
          <w:sz w:val="20"/>
          <w:szCs w:val="20"/>
        </w:rPr>
        <w:t>Чем тесты на антигены отличаются от тестов на антитела?</w:t>
      </w:r>
    </w:p>
    <w:p w14:paraId="7A9201DE" w14:textId="5818451F" w:rsidR="00141603" w:rsidRPr="00AD12DE" w:rsidRDefault="00141603" w:rsidP="00116D17">
      <w:pPr>
        <w:pStyle w:val="ListParagraph"/>
        <w:rPr>
          <w:rFonts w:ascii="Arial" w:hAnsi="Arial" w:cs="Arial"/>
          <w:sz w:val="20"/>
          <w:szCs w:val="20"/>
        </w:rPr>
      </w:pPr>
      <w:r w:rsidRPr="00AD12DE">
        <w:rPr>
          <w:rFonts w:ascii="Arial" w:hAnsi="Arial" w:cs="Arial"/>
          <w:sz w:val="20"/>
          <w:szCs w:val="20"/>
        </w:rPr>
        <w:t xml:space="preserve">Положительный результат теста на антиген означает, что идёт активная инфекция, тогда как положительный результат теста на антитела, скорее всего, отражает </w:t>
      </w:r>
      <w:r w:rsidR="00DA4119" w:rsidRPr="00AD12DE">
        <w:rPr>
          <w:rFonts w:ascii="Arial" w:hAnsi="Arial" w:cs="Arial"/>
          <w:sz w:val="20"/>
          <w:szCs w:val="20"/>
        </w:rPr>
        <w:t xml:space="preserve">инфекцию, </w:t>
      </w:r>
      <w:r w:rsidRPr="00AD12DE">
        <w:rPr>
          <w:rFonts w:ascii="Arial" w:hAnsi="Arial" w:cs="Arial"/>
          <w:sz w:val="20"/>
          <w:szCs w:val="20"/>
        </w:rPr>
        <w:t xml:space="preserve">перенесённую недавно или в </w:t>
      </w:r>
      <w:r w:rsidR="00E90604">
        <w:rPr>
          <w:rFonts w:ascii="Arial" w:hAnsi="Arial" w:cs="Arial"/>
          <w:sz w:val="20"/>
          <w:szCs w:val="20"/>
        </w:rPr>
        <w:t xml:space="preserve">более далёком </w:t>
      </w:r>
      <w:r w:rsidRPr="00AD12DE">
        <w:rPr>
          <w:rFonts w:ascii="Arial" w:hAnsi="Arial" w:cs="Arial"/>
          <w:sz w:val="20"/>
          <w:szCs w:val="20"/>
        </w:rPr>
        <w:t>прошлом.</w:t>
      </w:r>
    </w:p>
    <w:p w14:paraId="46A16133" w14:textId="77777777" w:rsidR="008A1B65" w:rsidRPr="00AD12DE" w:rsidRDefault="008A1B65" w:rsidP="00116D17">
      <w:pPr>
        <w:pStyle w:val="ListParagraph"/>
        <w:rPr>
          <w:rFonts w:ascii="Arial" w:hAnsi="Arial" w:cs="Arial"/>
          <w:sz w:val="20"/>
          <w:szCs w:val="20"/>
        </w:rPr>
      </w:pPr>
    </w:p>
    <w:p w14:paraId="4E5E8F91" w14:textId="77777777" w:rsidR="00141603" w:rsidRPr="00AD12DE" w:rsidRDefault="00141603" w:rsidP="00116D17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AD12DE">
        <w:rPr>
          <w:rFonts w:ascii="Arial" w:hAnsi="Arial" w:cs="Arial"/>
          <w:b/>
          <w:sz w:val="20"/>
          <w:szCs w:val="20"/>
        </w:rPr>
        <w:t>В чём заключается разница между тестом на антигены и ПЦР?</w:t>
      </w:r>
    </w:p>
    <w:p w14:paraId="1CB69980" w14:textId="36208F6D" w:rsidR="00141603" w:rsidRPr="00AD12DE" w:rsidRDefault="00141603" w:rsidP="00116D17">
      <w:pPr>
        <w:pStyle w:val="ListParagraph"/>
        <w:rPr>
          <w:rFonts w:ascii="Arial" w:hAnsi="Arial" w:cs="Arial"/>
          <w:sz w:val="20"/>
          <w:szCs w:val="20"/>
        </w:rPr>
      </w:pPr>
      <w:r w:rsidRPr="00AD12DE">
        <w:rPr>
          <w:rFonts w:ascii="Arial" w:hAnsi="Arial" w:cs="Arial"/>
          <w:sz w:val="20"/>
          <w:szCs w:val="20"/>
        </w:rPr>
        <w:t>ПЦР обнаруживает генетический материал вируса SARS-CoV-2 (РНК), в то время как тест на антигены выявляет в теле человека специфические для вируса SARS-CoV-2 антигены</w:t>
      </w:r>
      <w:r w:rsidR="00DA4119" w:rsidRPr="00AD12DE">
        <w:rPr>
          <w:rFonts w:ascii="Arial" w:hAnsi="Arial" w:cs="Arial"/>
          <w:sz w:val="20"/>
          <w:szCs w:val="20"/>
        </w:rPr>
        <w:t xml:space="preserve"> (</w:t>
      </w:r>
      <w:r w:rsidRPr="00AD12DE">
        <w:rPr>
          <w:rFonts w:ascii="Arial" w:hAnsi="Arial" w:cs="Arial"/>
          <w:sz w:val="20"/>
          <w:szCs w:val="20"/>
        </w:rPr>
        <w:t>белки</w:t>
      </w:r>
      <w:r w:rsidR="00DA4119" w:rsidRPr="00AD12DE">
        <w:rPr>
          <w:rFonts w:ascii="Arial" w:hAnsi="Arial" w:cs="Arial"/>
          <w:sz w:val="20"/>
          <w:szCs w:val="20"/>
        </w:rPr>
        <w:t>)</w:t>
      </w:r>
      <w:r w:rsidRPr="00AD12DE">
        <w:rPr>
          <w:rFonts w:ascii="Arial" w:hAnsi="Arial" w:cs="Arial"/>
          <w:sz w:val="20"/>
          <w:szCs w:val="20"/>
        </w:rPr>
        <w:t>. Оба теста используют для обнаружения активной инфекции вируса SARS-CoV-2.</w:t>
      </w:r>
    </w:p>
    <w:p w14:paraId="745F1925" w14:textId="77777777" w:rsidR="008A1B65" w:rsidRPr="00AD12DE" w:rsidRDefault="008A1B65" w:rsidP="00116D17">
      <w:pPr>
        <w:pStyle w:val="ListParagraph"/>
        <w:rPr>
          <w:rFonts w:ascii="Arial" w:hAnsi="Arial" w:cs="Arial"/>
          <w:sz w:val="20"/>
          <w:szCs w:val="20"/>
        </w:rPr>
      </w:pPr>
    </w:p>
    <w:p w14:paraId="242B8597" w14:textId="77777777" w:rsidR="00923437" w:rsidRPr="00AD12DE" w:rsidRDefault="00923437" w:rsidP="00116D17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AD12DE">
        <w:rPr>
          <w:rFonts w:ascii="Arial" w:hAnsi="Arial" w:cs="Arial"/>
          <w:b/>
          <w:sz w:val="20"/>
          <w:szCs w:val="20"/>
        </w:rPr>
        <w:t>Что означают отметки на тестовом устройстве ДЭТ?</w:t>
      </w:r>
    </w:p>
    <w:p w14:paraId="16EB3724" w14:textId="0941DF13" w:rsidR="00500247" w:rsidRPr="00AD12DE" w:rsidRDefault="00660273" w:rsidP="00116D17">
      <w:pPr>
        <w:pStyle w:val="ListParagraph"/>
        <w:rPr>
          <w:rFonts w:ascii="Arial" w:hAnsi="Arial" w:cs="Arial"/>
          <w:sz w:val="20"/>
          <w:szCs w:val="20"/>
        </w:rPr>
      </w:pPr>
      <w:r w:rsidRPr="00AD12DE">
        <w:rPr>
          <w:rFonts w:ascii="Arial" w:hAnsi="Arial" w:cs="Arial"/>
          <w:sz w:val="20"/>
          <w:szCs w:val="20"/>
        </w:rPr>
        <w:t>Если в тестовом окошке (прямоугольном отверстии) появляется полоска около отметки «C» (</w:t>
      </w:r>
      <w:r w:rsidR="00E90604" w:rsidRPr="00E90604">
        <w:rPr>
          <w:rFonts w:ascii="Arial" w:hAnsi="Arial" w:cs="Arial"/>
          <w:b/>
          <w:bCs/>
          <w:sz w:val="20"/>
          <w:szCs w:val="20"/>
          <w:lang w:val="en-US"/>
        </w:rPr>
        <w:t>C</w:t>
      </w:r>
      <w:r w:rsidR="00E90604">
        <w:rPr>
          <w:rFonts w:ascii="Arial" w:hAnsi="Arial" w:cs="Arial"/>
          <w:sz w:val="20"/>
          <w:szCs w:val="20"/>
          <w:lang w:val="en-US"/>
        </w:rPr>
        <w:t>ontrol</w:t>
      </w:r>
      <w:r w:rsidR="00E90604" w:rsidRPr="00E90604">
        <w:rPr>
          <w:rFonts w:ascii="Arial" w:hAnsi="Arial" w:cs="Arial"/>
          <w:sz w:val="20"/>
          <w:szCs w:val="20"/>
        </w:rPr>
        <w:t xml:space="preserve">, </w:t>
      </w:r>
      <w:r w:rsidRPr="00AD12DE">
        <w:rPr>
          <w:rFonts w:ascii="Arial" w:hAnsi="Arial" w:cs="Arial"/>
          <w:sz w:val="20"/>
          <w:szCs w:val="20"/>
        </w:rPr>
        <w:t>контроль) и полоска около отметки «T» (</w:t>
      </w:r>
      <w:r w:rsidR="00E90604" w:rsidRPr="00E90604">
        <w:rPr>
          <w:rFonts w:ascii="Arial" w:hAnsi="Arial" w:cs="Arial"/>
          <w:b/>
          <w:bCs/>
          <w:sz w:val="20"/>
          <w:szCs w:val="20"/>
          <w:lang w:val="en-US"/>
        </w:rPr>
        <w:t>T</w:t>
      </w:r>
      <w:r w:rsidR="00E90604">
        <w:rPr>
          <w:rFonts w:ascii="Arial" w:hAnsi="Arial" w:cs="Arial"/>
          <w:sz w:val="20"/>
          <w:szCs w:val="20"/>
          <w:lang w:val="en-US"/>
        </w:rPr>
        <w:t>est</w:t>
      </w:r>
      <w:r w:rsidR="00E90604" w:rsidRPr="00E90604">
        <w:rPr>
          <w:rFonts w:ascii="Arial" w:hAnsi="Arial" w:cs="Arial"/>
          <w:sz w:val="20"/>
          <w:szCs w:val="20"/>
        </w:rPr>
        <w:t xml:space="preserve">, </w:t>
      </w:r>
      <w:r w:rsidRPr="00AD12DE">
        <w:rPr>
          <w:rFonts w:ascii="Arial" w:hAnsi="Arial" w:cs="Arial"/>
          <w:sz w:val="20"/>
          <w:szCs w:val="20"/>
        </w:rPr>
        <w:t>тест), то это означают, что тест на вирус SARS-CoV-2 является положительным. Полоска «C» и отсутствие полоски «T» означает, что вирус SARS</w:t>
      </w:r>
      <w:r w:rsidRPr="00AD12DE">
        <w:rPr>
          <w:rFonts w:ascii="Cambria Math" w:hAnsi="Cambria Math" w:cs="Cambria Math"/>
          <w:sz w:val="20"/>
          <w:szCs w:val="20"/>
        </w:rPr>
        <w:t>‑</w:t>
      </w:r>
      <w:r w:rsidRPr="00AD12DE">
        <w:rPr>
          <w:rFonts w:ascii="Arial" w:hAnsi="Arial" w:cs="Arial"/>
          <w:sz w:val="20"/>
          <w:szCs w:val="20"/>
        </w:rPr>
        <w:t>CoV</w:t>
      </w:r>
      <w:r w:rsidRPr="00AD12DE">
        <w:rPr>
          <w:rFonts w:ascii="Cambria Math" w:hAnsi="Cambria Math" w:cs="Cambria Math"/>
          <w:sz w:val="20"/>
          <w:szCs w:val="20"/>
        </w:rPr>
        <w:t>‑</w:t>
      </w:r>
      <w:r w:rsidRPr="00AD12DE">
        <w:rPr>
          <w:rFonts w:ascii="Arial" w:hAnsi="Arial" w:cs="Arial"/>
          <w:sz w:val="20"/>
          <w:szCs w:val="20"/>
        </w:rPr>
        <w:t xml:space="preserve">2 не обнаружен. Полоска в «C» – это контрольная полоска; </w:t>
      </w:r>
      <w:r w:rsidR="007C6613" w:rsidRPr="00AD12DE">
        <w:rPr>
          <w:rFonts w:ascii="Arial" w:hAnsi="Arial" w:cs="Arial"/>
          <w:sz w:val="20"/>
          <w:szCs w:val="20"/>
        </w:rPr>
        <w:t xml:space="preserve">если она есть, это </w:t>
      </w:r>
      <w:r w:rsidR="00E90604">
        <w:rPr>
          <w:rFonts w:ascii="Arial" w:hAnsi="Arial" w:cs="Arial"/>
          <w:sz w:val="20"/>
          <w:szCs w:val="20"/>
        </w:rPr>
        <w:t>говорит</w:t>
      </w:r>
      <w:r w:rsidR="007C6613" w:rsidRPr="00AD12DE">
        <w:rPr>
          <w:rFonts w:ascii="Arial" w:hAnsi="Arial" w:cs="Arial"/>
          <w:sz w:val="20"/>
          <w:szCs w:val="20"/>
        </w:rPr>
        <w:t xml:space="preserve"> о том</w:t>
      </w:r>
      <w:r w:rsidRPr="00AD12DE">
        <w:rPr>
          <w:rFonts w:ascii="Arial" w:hAnsi="Arial" w:cs="Arial"/>
          <w:sz w:val="20"/>
          <w:szCs w:val="20"/>
        </w:rPr>
        <w:t>, что тест был проведён правильно. Если контрольная полоска не появляется, это означает, что тест является недостоверным, даже если в «T» появляется полоска. В этом случае пациента необходимо протестировать повторно</w:t>
      </w:r>
      <w:r w:rsidR="00925732" w:rsidRPr="00AD12DE">
        <w:rPr>
          <w:rFonts w:ascii="Arial" w:hAnsi="Arial" w:cs="Arial"/>
          <w:sz w:val="20"/>
          <w:szCs w:val="20"/>
        </w:rPr>
        <w:t>, используя</w:t>
      </w:r>
      <w:r w:rsidRPr="00AD12DE">
        <w:rPr>
          <w:rFonts w:ascii="Arial" w:hAnsi="Arial" w:cs="Arial"/>
          <w:sz w:val="20"/>
          <w:szCs w:val="20"/>
        </w:rPr>
        <w:t xml:space="preserve"> нов</w:t>
      </w:r>
      <w:r w:rsidR="00925732" w:rsidRPr="00AD12DE">
        <w:rPr>
          <w:rFonts w:ascii="Arial" w:hAnsi="Arial" w:cs="Arial"/>
          <w:sz w:val="20"/>
          <w:szCs w:val="20"/>
        </w:rPr>
        <w:t>ый</w:t>
      </w:r>
      <w:r w:rsidRPr="00AD12DE">
        <w:rPr>
          <w:rFonts w:ascii="Arial" w:hAnsi="Arial" w:cs="Arial"/>
          <w:sz w:val="20"/>
          <w:szCs w:val="20"/>
        </w:rPr>
        <w:t xml:space="preserve"> ДЭТ. Важно отметить, что все результаты, полученные в результате тестирования, следует рассматривать в сочетании с клинической картиной и другими применимыми данными.</w:t>
      </w:r>
    </w:p>
    <w:p w14:paraId="74D767B2" w14:textId="77777777" w:rsidR="000074F6" w:rsidRPr="00AD12DE" w:rsidRDefault="000074F6" w:rsidP="00116D17">
      <w:pPr>
        <w:pStyle w:val="ListParagraph"/>
        <w:rPr>
          <w:rFonts w:ascii="Arial" w:hAnsi="Arial" w:cs="Arial"/>
          <w:sz w:val="20"/>
          <w:szCs w:val="20"/>
        </w:rPr>
      </w:pPr>
    </w:p>
    <w:p w14:paraId="3F335C1C" w14:textId="3AAD7E7E" w:rsidR="000074F6" w:rsidRPr="00AD12DE" w:rsidRDefault="00500247" w:rsidP="00925732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AD12DE">
        <w:rPr>
          <w:rFonts w:ascii="Arial" w:hAnsi="Arial" w:cs="Arial"/>
          <w:b/>
          <w:sz w:val="20"/>
          <w:szCs w:val="20"/>
        </w:rPr>
        <w:t>Какова чувствительность и специфичность ДЭТ на антигены вируса SARS-CoV-2?</w:t>
      </w:r>
    </w:p>
    <w:p w14:paraId="7EB1088B" w14:textId="38C4A25A" w:rsidR="008A1B65" w:rsidRPr="00AD12DE" w:rsidRDefault="00AF5E42" w:rsidP="00116D17">
      <w:pPr>
        <w:pStyle w:val="ListParagraph"/>
        <w:rPr>
          <w:rFonts w:ascii="Arial" w:hAnsi="Arial" w:cs="Arial"/>
          <w:sz w:val="20"/>
          <w:szCs w:val="20"/>
        </w:rPr>
      </w:pPr>
      <w:r w:rsidRPr="00AD12DE">
        <w:rPr>
          <w:rFonts w:ascii="Arial" w:hAnsi="Arial" w:cs="Arial"/>
          <w:sz w:val="20"/>
          <w:szCs w:val="20"/>
        </w:rPr>
        <w:t xml:space="preserve">Публикуется всё больше отчётов о </w:t>
      </w:r>
      <w:r w:rsidR="00EF0FB6" w:rsidRPr="00AD12DE">
        <w:rPr>
          <w:rFonts w:ascii="Arial" w:hAnsi="Arial" w:cs="Arial"/>
          <w:sz w:val="20"/>
          <w:szCs w:val="20"/>
        </w:rPr>
        <w:t>рабочих характеристиках</w:t>
      </w:r>
      <w:r w:rsidRPr="00AD12DE">
        <w:rPr>
          <w:rFonts w:ascii="Arial" w:hAnsi="Arial" w:cs="Arial"/>
          <w:sz w:val="20"/>
          <w:szCs w:val="20"/>
        </w:rPr>
        <w:t xml:space="preserve"> ДЭТ на антигены вируса SARS</w:t>
      </w:r>
      <w:r w:rsidR="00515A89">
        <w:rPr>
          <w:rFonts w:ascii="Arial" w:hAnsi="Arial" w:cs="Arial"/>
          <w:sz w:val="20"/>
          <w:szCs w:val="20"/>
        </w:rPr>
        <w:noBreakHyphen/>
      </w:r>
      <w:r w:rsidRPr="00AD12DE">
        <w:rPr>
          <w:rFonts w:ascii="Arial" w:hAnsi="Arial" w:cs="Arial"/>
          <w:sz w:val="20"/>
          <w:szCs w:val="20"/>
        </w:rPr>
        <w:t xml:space="preserve">CoV-2. Систематический </w:t>
      </w:r>
      <w:r w:rsidR="00EF0FB6" w:rsidRPr="00AD12DE">
        <w:rPr>
          <w:rFonts w:ascii="Arial" w:hAnsi="Arial" w:cs="Arial"/>
          <w:sz w:val="20"/>
          <w:szCs w:val="20"/>
        </w:rPr>
        <w:t>анализ</w:t>
      </w:r>
      <w:r w:rsidRPr="00AD12DE">
        <w:rPr>
          <w:rFonts w:ascii="Arial" w:hAnsi="Arial" w:cs="Arial"/>
          <w:sz w:val="20"/>
          <w:szCs w:val="20"/>
        </w:rPr>
        <w:t xml:space="preserve"> нескольких отчётов (на англ.) можно найти здесь: </w:t>
      </w:r>
      <w:hyperlink r:id="rId11" w:history="1">
        <w:r w:rsidRPr="00AD12DE">
          <w:rPr>
            <w:rStyle w:val="Hyperlink"/>
            <w:rFonts w:cs="Arial"/>
            <w:color w:val="009AC9"/>
            <w:szCs w:val="20"/>
          </w:rPr>
          <w:t>https://www.cochranelibrary.com/cdsr/doi/10.1002/14651858.CD013705/full</w:t>
        </w:r>
      </w:hyperlink>
      <w:r w:rsidRPr="00AD12DE">
        <w:rPr>
          <w:rFonts w:ascii="Arial" w:hAnsi="Arial" w:cs="Arial"/>
          <w:sz w:val="20"/>
          <w:szCs w:val="20"/>
        </w:rPr>
        <w:t>.</w:t>
      </w:r>
      <w:r w:rsidR="00EF0FB6" w:rsidRPr="00AD12DE">
        <w:rPr>
          <w:rFonts w:ascii="Arial" w:hAnsi="Arial" w:cs="Arial"/>
          <w:sz w:val="20"/>
          <w:szCs w:val="20"/>
        </w:rPr>
        <w:br/>
      </w:r>
      <w:r w:rsidRPr="00AD12DE">
        <w:rPr>
          <w:rFonts w:ascii="Arial" w:hAnsi="Arial" w:cs="Arial"/>
          <w:sz w:val="20"/>
          <w:szCs w:val="20"/>
        </w:rPr>
        <w:t>FIND [Фонд инновационной новой диагностики] также опубликовал отчёты (на англ.):</w:t>
      </w:r>
      <w:hyperlink r:id="rId12" w:history="1">
        <w:r w:rsidRPr="00AD12DE">
          <w:rPr>
            <w:rStyle w:val="Hyperlink"/>
            <w:rFonts w:cs="Arial"/>
            <w:color w:val="009AC9"/>
            <w:szCs w:val="20"/>
          </w:rPr>
          <w:t xml:space="preserve"> https://www.finddx.org/covid-19/sarscov2-eval-antigen/</w:t>
        </w:r>
      </w:hyperlink>
      <w:r w:rsidRPr="00AD12DE">
        <w:rPr>
          <w:rFonts w:ascii="Arial" w:hAnsi="Arial" w:cs="Arial"/>
          <w:sz w:val="20"/>
          <w:szCs w:val="20"/>
        </w:rPr>
        <w:t>.</w:t>
      </w:r>
    </w:p>
    <w:p w14:paraId="19C1DA9F" w14:textId="1267BFD4" w:rsidR="000074F6" w:rsidRPr="00AD12DE" w:rsidRDefault="000E0CF2" w:rsidP="00116D17">
      <w:pPr>
        <w:pStyle w:val="ListParagraph"/>
        <w:rPr>
          <w:rFonts w:ascii="Arial" w:hAnsi="Arial" w:cs="Arial"/>
          <w:sz w:val="20"/>
          <w:szCs w:val="20"/>
        </w:rPr>
      </w:pPr>
      <w:r w:rsidRPr="00AD12DE">
        <w:rPr>
          <w:rFonts w:ascii="Arial" w:hAnsi="Arial" w:cs="Arial"/>
          <w:sz w:val="20"/>
          <w:szCs w:val="20"/>
        </w:rPr>
        <w:lastRenderedPageBreak/>
        <w:t xml:space="preserve">В целом, сообщают, что чувствительность тестов бывает разной (0–94%), но она всегда выше в первые пять дней после появления симптомов, когда у пациентов </w:t>
      </w:r>
      <w:r w:rsidR="001E348D" w:rsidRPr="00AD12DE">
        <w:rPr>
          <w:rFonts w:ascii="Arial" w:hAnsi="Arial" w:cs="Arial"/>
          <w:sz w:val="20"/>
          <w:szCs w:val="20"/>
        </w:rPr>
        <w:t>самая</w:t>
      </w:r>
      <w:r w:rsidRPr="00AD12DE">
        <w:rPr>
          <w:rFonts w:ascii="Arial" w:hAnsi="Arial" w:cs="Arial"/>
          <w:sz w:val="20"/>
          <w:szCs w:val="20"/>
        </w:rPr>
        <w:t xml:space="preserve"> высокая вирусная нагрузка. ВОЗ рекомендует использовать ДЭТ на антигены вируса с чувствительностью не ниже 80% и специфичностью не ниже 97%. Данные должны быть основаны на высококачественных независимых сравнениях с одобренными молекулярными тестами ТАНК</w:t>
      </w:r>
      <w:r w:rsidR="001E348D" w:rsidRPr="00AD12DE">
        <w:rPr>
          <w:rFonts w:ascii="Arial" w:hAnsi="Arial" w:cs="Arial"/>
          <w:sz w:val="20"/>
          <w:szCs w:val="20"/>
        </w:rPr>
        <w:t xml:space="preserve"> (тест амплификации нуклеиновых кислот)</w:t>
      </w:r>
      <w:r w:rsidRPr="00AD12DE">
        <w:rPr>
          <w:rFonts w:ascii="Arial" w:hAnsi="Arial" w:cs="Arial"/>
          <w:sz w:val="20"/>
          <w:szCs w:val="20"/>
        </w:rPr>
        <w:t xml:space="preserve">. В </w:t>
      </w:r>
      <w:r w:rsidR="001E348D" w:rsidRPr="00AD12DE">
        <w:rPr>
          <w:rFonts w:ascii="Arial" w:hAnsi="Arial" w:cs="Arial"/>
          <w:sz w:val="20"/>
          <w:szCs w:val="20"/>
        </w:rPr>
        <w:t>ряде</w:t>
      </w:r>
      <w:r w:rsidRPr="00AD12DE">
        <w:rPr>
          <w:rFonts w:ascii="Arial" w:hAnsi="Arial" w:cs="Arial"/>
          <w:sz w:val="20"/>
          <w:szCs w:val="20"/>
        </w:rPr>
        <w:t xml:space="preserve"> отчёт</w:t>
      </w:r>
      <w:r w:rsidR="001E348D" w:rsidRPr="00AD12DE">
        <w:rPr>
          <w:rFonts w:ascii="Arial" w:hAnsi="Arial" w:cs="Arial"/>
          <w:sz w:val="20"/>
          <w:szCs w:val="20"/>
        </w:rPr>
        <w:t>ов</w:t>
      </w:r>
      <w:r w:rsidRPr="00AD12DE">
        <w:rPr>
          <w:rFonts w:ascii="Arial" w:hAnsi="Arial" w:cs="Arial"/>
          <w:sz w:val="20"/>
          <w:szCs w:val="20"/>
        </w:rPr>
        <w:t xml:space="preserve"> показано, что </w:t>
      </w:r>
      <w:r w:rsidR="001E348D" w:rsidRPr="00AD12DE">
        <w:rPr>
          <w:rFonts w:ascii="Arial" w:hAnsi="Arial" w:cs="Arial"/>
          <w:sz w:val="20"/>
          <w:szCs w:val="20"/>
        </w:rPr>
        <w:t xml:space="preserve">в некоторых группах населения </w:t>
      </w:r>
      <w:r w:rsidRPr="00AD12DE">
        <w:rPr>
          <w:rFonts w:ascii="Arial" w:hAnsi="Arial" w:cs="Arial"/>
          <w:sz w:val="20"/>
          <w:szCs w:val="20"/>
        </w:rPr>
        <w:t>эти требования могут быть выполнены или даже превышены. На результатах теста могут сказ</w:t>
      </w:r>
      <w:r w:rsidR="00E90604">
        <w:rPr>
          <w:rFonts w:ascii="Arial" w:hAnsi="Arial" w:cs="Arial"/>
          <w:sz w:val="20"/>
          <w:szCs w:val="20"/>
        </w:rPr>
        <w:t>ыва</w:t>
      </w:r>
      <w:r w:rsidRPr="00AD12DE">
        <w:rPr>
          <w:rFonts w:ascii="Arial" w:hAnsi="Arial" w:cs="Arial"/>
          <w:sz w:val="20"/>
          <w:szCs w:val="20"/>
        </w:rPr>
        <w:t xml:space="preserve">ться многие факторы, такие как характеристики группы пациентов (например, число дней после появления симптомов или вирусная нагрузка), насколько качественно были взяты пробы и </w:t>
      </w:r>
      <w:r w:rsidR="00AF2BCA">
        <w:rPr>
          <w:rFonts w:ascii="Arial" w:hAnsi="Arial" w:cs="Arial"/>
          <w:sz w:val="20"/>
          <w:szCs w:val="20"/>
        </w:rPr>
        <w:t>качественный ли</w:t>
      </w:r>
      <w:r w:rsidRPr="00AD12DE">
        <w:rPr>
          <w:rFonts w:ascii="Arial" w:hAnsi="Arial" w:cs="Arial"/>
          <w:sz w:val="20"/>
          <w:szCs w:val="20"/>
        </w:rPr>
        <w:t xml:space="preserve"> сам тест.</w:t>
      </w:r>
    </w:p>
    <w:p w14:paraId="1529EF3B" w14:textId="77777777" w:rsidR="008A1B65" w:rsidRPr="00AD12DE" w:rsidRDefault="008A1B65" w:rsidP="00116D17">
      <w:pPr>
        <w:pStyle w:val="ListParagraph"/>
        <w:rPr>
          <w:rFonts w:ascii="Arial" w:hAnsi="Arial" w:cs="Arial"/>
          <w:sz w:val="20"/>
          <w:szCs w:val="20"/>
        </w:rPr>
      </w:pPr>
    </w:p>
    <w:p w14:paraId="3BB38ED2" w14:textId="72918C5A" w:rsidR="00F43E3E" w:rsidRPr="00AD12DE" w:rsidRDefault="00F43E3E" w:rsidP="00116D17">
      <w:pPr>
        <w:pStyle w:val="ListParagraph"/>
        <w:numPr>
          <w:ilvl w:val="0"/>
          <w:numId w:val="1"/>
        </w:numPr>
        <w:spacing w:after="0"/>
        <w:ind w:left="714" w:hanging="357"/>
        <w:rPr>
          <w:rFonts w:ascii="Arial" w:hAnsi="Arial" w:cs="Arial"/>
          <w:b/>
          <w:sz w:val="20"/>
          <w:szCs w:val="20"/>
        </w:rPr>
      </w:pPr>
      <w:r w:rsidRPr="00AD12DE">
        <w:rPr>
          <w:rFonts w:ascii="Arial" w:hAnsi="Arial" w:cs="Arial"/>
          <w:b/>
          <w:sz w:val="20"/>
          <w:szCs w:val="20"/>
        </w:rPr>
        <w:t>Как</w:t>
      </w:r>
      <w:r w:rsidR="00AF2BCA">
        <w:rPr>
          <w:rFonts w:ascii="Arial" w:hAnsi="Arial" w:cs="Arial"/>
          <w:b/>
          <w:sz w:val="20"/>
          <w:szCs w:val="20"/>
        </w:rPr>
        <w:t>ой метод</w:t>
      </w:r>
      <w:r w:rsidRPr="00AD12DE">
        <w:rPr>
          <w:rFonts w:ascii="Arial" w:hAnsi="Arial" w:cs="Arial"/>
          <w:b/>
          <w:sz w:val="20"/>
          <w:szCs w:val="20"/>
        </w:rPr>
        <w:t xml:space="preserve"> лежит в основе теста?</w:t>
      </w:r>
    </w:p>
    <w:p w14:paraId="727ADDDC" w14:textId="290C6504" w:rsidR="009D4DED" w:rsidRPr="00AD12DE" w:rsidRDefault="009D4DED" w:rsidP="00AD12DE">
      <w:pPr>
        <w:pStyle w:val="ListParagraph"/>
        <w:rPr>
          <w:rFonts w:ascii="Arial" w:hAnsi="Arial" w:cs="Arial"/>
          <w:sz w:val="20"/>
          <w:szCs w:val="20"/>
        </w:rPr>
      </w:pPr>
      <w:r w:rsidRPr="00AD12DE">
        <w:rPr>
          <w:rFonts w:ascii="Arial" w:hAnsi="Arial" w:cs="Arial"/>
          <w:sz w:val="20"/>
          <w:szCs w:val="20"/>
        </w:rPr>
        <w:t xml:space="preserve">В основе теста лежит </w:t>
      </w:r>
      <w:r w:rsidR="00057800" w:rsidRPr="00AD12DE">
        <w:rPr>
          <w:rFonts w:ascii="Arial" w:hAnsi="Arial" w:cs="Arial"/>
          <w:sz w:val="20"/>
          <w:szCs w:val="20"/>
        </w:rPr>
        <w:t>метод</w:t>
      </w:r>
      <w:r w:rsidRPr="00AD12DE">
        <w:rPr>
          <w:rFonts w:ascii="Arial" w:hAnsi="Arial" w:cs="Arial"/>
          <w:sz w:val="20"/>
          <w:szCs w:val="20"/>
        </w:rPr>
        <w:t xml:space="preserve"> латеральной проточной иммунохроматографии (для подробного объяснения см. </w:t>
      </w:r>
      <w:r w:rsidR="00057800" w:rsidRPr="00AD12DE">
        <w:rPr>
          <w:rFonts w:ascii="Arial" w:hAnsi="Arial" w:cs="Arial"/>
          <w:sz w:val="20"/>
          <w:szCs w:val="20"/>
        </w:rPr>
        <w:t xml:space="preserve">публикацию </w:t>
      </w:r>
      <w:r w:rsidRPr="00AD12DE">
        <w:rPr>
          <w:rFonts w:ascii="Arial" w:hAnsi="Arial" w:cs="Arial"/>
          <w:sz w:val="20"/>
          <w:szCs w:val="20"/>
        </w:rPr>
        <w:t>ВОЗ «Роль иммунохимических экспресс-тестов для определения антигенов в диагностике инфекции, вызванной вирусом SARS-CoV-2». Временные рекомендации. 11 сентября 2020 г.</w:t>
      </w:r>
      <w:r w:rsidR="00057800" w:rsidRPr="00AD12DE">
        <w:rPr>
          <w:rFonts w:ascii="Arial" w:hAnsi="Arial" w:cs="Arial"/>
          <w:sz w:val="20"/>
          <w:szCs w:val="20"/>
        </w:rPr>
        <w:t xml:space="preserve"> </w:t>
      </w:r>
      <w:hyperlink r:id="rId13" w:history="1">
        <w:r w:rsidR="00057800" w:rsidRPr="00AD12DE">
          <w:rPr>
            <w:rStyle w:val="Hyperlink"/>
          </w:rPr>
          <w:t>https://apps.who.int/iris/handle/10665/334253</w:t>
        </w:r>
      </w:hyperlink>
      <w:r w:rsidR="00DA74A0" w:rsidRPr="00AD12DE">
        <w:rPr>
          <w:rFonts w:ascii="Arial" w:hAnsi="Arial" w:cs="Arial"/>
          <w:sz w:val="20"/>
          <w:szCs w:val="20"/>
        </w:rPr>
        <w:t>).</w:t>
      </w:r>
    </w:p>
    <w:p w14:paraId="1CA04313" w14:textId="77777777" w:rsidR="008A1B65" w:rsidRPr="00AD12DE" w:rsidRDefault="008A1B65" w:rsidP="00116D17">
      <w:pPr>
        <w:pStyle w:val="ListParagraph"/>
        <w:rPr>
          <w:rFonts w:ascii="Arial" w:hAnsi="Arial" w:cs="Arial"/>
          <w:sz w:val="20"/>
          <w:szCs w:val="20"/>
        </w:rPr>
      </w:pPr>
    </w:p>
    <w:p w14:paraId="6E9E3D60" w14:textId="77777777" w:rsidR="00F43E3E" w:rsidRPr="00AD12DE" w:rsidRDefault="00F43E3E" w:rsidP="00116D17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AD12DE">
        <w:rPr>
          <w:rFonts w:ascii="Arial" w:hAnsi="Arial" w:cs="Arial"/>
          <w:b/>
          <w:sz w:val="20"/>
          <w:szCs w:val="20"/>
        </w:rPr>
        <w:t>Каковы ограничения у этого теста?</w:t>
      </w:r>
    </w:p>
    <w:p w14:paraId="47A580D7" w14:textId="60FE250F" w:rsidR="00397A70" w:rsidRPr="00AD12DE" w:rsidRDefault="00397A70" w:rsidP="00116D17">
      <w:pPr>
        <w:pStyle w:val="ListParagraph"/>
        <w:numPr>
          <w:ilvl w:val="0"/>
          <w:numId w:val="8"/>
        </w:numPr>
        <w:ind w:left="993" w:hanging="284"/>
        <w:rPr>
          <w:rFonts w:ascii="Arial" w:hAnsi="Arial" w:cs="Arial"/>
          <w:sz w:val="20"/>
          <w:szCs w:val="20"/>
        </w:rPr>
      </w:pPr>
      <w:r w:rsidRPr="00AD12DE">
        <w:rPr>
          <w:rFonts w:ascii="Arial" w:hAnsi="Arial" w:cs="Arial"/>
          <w:sz w:val="20"/>
          <w:szCs w:val="20"/>
        </w:rPr>
        <w:t>Необходимо строго выполнять процедуру теста, меры предосторожности и интерпретацию результатов теста. Неточное выполнение процедуры и интерпретации результатов могут неблагоприятно сказаться на качестве теста и привести к недостоверным результатам.</w:t>
      </w:r>
    </w:p>
    <w:p w14:paraId="334C806A" w14:textId="77777777" w:rsidR="00397A70" w:rsidRPr="00AD12DE" w:rsidRDefault="00397A70" w:rsidP="00116D17">
      <w:pPr>
        <w:pStyle w:val="ListParagraph"/>
        <w:numPr>
          <w:ilvl w:val="0"/>
          <w:numId w:val="8"/>
        </w:numPr>
        <w:ind w:left="993" w:hanging="284"/>
        <w:rPr>
          <w:rFonts w:ascii="Arial" w:hAnsi="Arial" w:cs="Arial"/>
          <w:sz w:val="20"/>
          <w:szCs w:val="20"/>
        </w:rPr>
      </w:pPr>
      <w:r w:rsidRPr="00AD12DE">
        <w:rPr>
          <w:rFonts w:ascii="Arial" w:hAnsi="Arial" w:cs="Arial"/>
          <w:sz w:val="20"/>
          <w:szCs w:val="20"/>
        </w:rPr>
        <w:t>Тест следует использовать для выявления антигенов вируса SARS-CoV-2 в образцах носоглоточных мазков человека.</w:t>
      </w:r>
    </w:p>
    <w:p w14:paraId="18E720DA" w14:textId="1CD7E20E" w:rsidR="00397A70" w:rsidRPr="00AD12DE" w:rsidRDefault="00057800" w:rsidP="00116D17">
      <w:pPr>
        <w:pStyle w:val="ListParagraph"/>
        <w:numPr>
          <w:ilvl w:val="0"/>
          <w:numId w:val="8"/>
        </w:numPr>
        <w:ind w:left="993" w:hanging="284"/>
        <w:rPr>
          <w:rFonts w:ascii="Arial" w:hAnsi="Arial" w:cs="Arial"/>
          <w:sz w:val="20"/>
          <w:szCs w:val="20"/>
        </w:rPr>
      </w:pPr>
      <w:r w:rsidRPr="00AD12DE">
        <w:rPr>
          <w:rFonts w:ascii="Arial" w:hAnsi="Arial" w:cs="Arial"/>
          <w:sz w:val="20"/>
          <w:szCs w:val="20"/>
        </w:rPr>
        <w:t>Это качественный тест, с его помощью нельзя определить</w:t>
      </w:r>
      <w:r w:rsidR="00397A70" w:rsidRPr="00AD12DE">
        <w:rPr>
          <w:rFonts w:ascii="Arial" w:hAnsi="Arial" w:cs="Arial"/>
          <w:sz w:val="20"/>
          <w:szCs w:val="20"/>
        </w:rPr>
        <w:t xml:space="preserve"> количественное значение</w:t>
      </w:r>
      <w:r w:rsidRPr="00AD12DE">
        <w:rPr>
          <w:rFonts w:ascii="Arial" w:hAnsi="Arial" w:cs="Arial"/>
          <w:sz w:val="20"/>
          <w:szCs w:val="20"/>
        </w:rPr>
        <w:t xml:space="preserve"> или</w:t>
      </w:r>
      <w:r w:rsidR="00397A70" w:rsidRPr="00AD12DE">
        <w:rPr>
          <w:rFonts w:ascii="Arial" w:hAnsi="Arial" w:cs="Arial"/>
          <w:sz w:val="20"/>
          <w:szCs w:val="20"/>
        </w:rPr>
        <w:t xml:space="preserve"> уровень концентрации антигенов вируса SARS-CoV-2.</w:t>
      </w:r>
    </w:p>
    <w:p w14:paraId="4765D5E1" w14:textId="39D84F06" w:rsidR="00397A70" w:rsidRPr="00AD12DE" w:rsidRDefault="00E936BE" w:rsidP="00116D17">
      <w:pPr>
        <w:pStyle w:val="ListParagraph"/>
        <w:numPr>
          <w:ilvl w:val="0"/>
          <w:numId w:val="8"/>
        </w:numPr>
        <w:ind w:left="993" w:hanging="284"/>
        <w:rPr>
          <w:rFonts w:ascii="Arial" w:hAnsi="Arial" w:cs="Arial"/>
          <w:sz w:val="20"/>
          <w:szCs w:val="20"/>
        </w:rPr>
      </w:pPr>
      <w:r w:rsidRPr="00AD12DE">
        <w:rPr>
          <w:rFonts w:ascii="Arial" w:hAnsi="Arial" w:cs="Arial"/>
          <w:sz w:val="20"/>
          <w:szCs w:val="20"/>
        </w:rPr>
        <w:t>Теста может показать отрицательный результат также в тех случаях</w:t>
      </w:r>
      <w:r w:rsidR="00397A70" w:rsidRPr="00AD12DE">
        <w:rPr>
          <w:rFonts w:ascii="Arial" w:hAnsi="Arial" w:cs="Arial"/>
          <w:sz w:val="20"/>
          <w:szCs w:val="20"/>
        </w:rPr>
        <w:t xml:space="preserve">, </w:t>
      </w:r>
      <w:r w:rsidR="008F42C9" w:rsidRPr="00AD12DE">
        <w:rPr>
          <w:rFonts w:ascii="Arial" w:hAnsi="Arial" w:cs="Arial"/>
          <w:sz w:val="20"/>
          <w:szCs w:val="20"/>
        </w:rPr>
        <w:t>если к</w:t>
      </w:r>
      <w:r w:rsidRPr="00AD12DE">
        <w:rPr>
          <w:rFonts w:ascii="Arial" w:hAnsi="Arial" w:cs="Arial"/>
          <w:sz w:val="20"/>
          <w:szCs w:val="20"/>
        </w:rPr>
        <w:t>оличество</w:t>
      </w:r>
      <w:r w:rsidR="00397A70" w:rsidRPr="00AD12DE">
        <w:rPr>
          <w:rFonts w:ascii="Arial" w:hAnsi="Arial" w:cs="Arial"/>
          <w:sz w:val="20"/>
          <w:szCs w:val="20"/>
        </w:rPr>
        <w:t xml:space="preserve"> </w:t>
      </w:r>
      <w:r w:rsidRPr="00AD12DE">
        <w:rPr>
          <w:rFonts w:ascii="Arial" w:hAnsi="Arial" w:cs="Arial"/>
          <w:sz w:val="20"/>
          <w:szCs w:val="20"/>
        </w:rPr>
        <w:t xml:space="preserve">антигена, </w:t>
      </w:r>
      <w:r w:rsidR="00397A70" w:rsidRPr="00AD12DE">
        <w:rPr>
          <w:rFonts w:ascii="Arial" w:hAnsi="Arial" w:cs="Arial"/>
          <w:sz w:val="20"/>
          <w:szCs w:val="20"/>
        </w:rPr>
        <w:t>экстрагированного из образца</w:t>
      </w:r>
      <w:r w:rsidRPr="00AD12DE">
        <w:rPr>
          <w:rFonts w:ascii="Arial" w:hAnsi="Arial" w:cs="Arial"/>
          <w:sz w:val="20"/>
          <w:szCs w:val="20"/>
        </w:rPr>
        <w:t>,</w:t>
      </w:r>
      <w:r w:rsidR="00397A70" w:rsidRPr="00AD12DE">
        <w:rPr>
          <w:rFonts w:ascii="Arial" w:hAnsi="Arial" w:cs="Arial"/>
          <w:sz w:val="20"/>
          <w:szCs w:val="20"/>
        </w:rPr>
        <w:t xml:space="preserve"> ниже, чем </w:t>
      </w:r>
      <w:r w:rsidRPr="00AD12DE">
        <w:rPr>
          <w:rFonts w:ascii="Arial" w:hAnsi="Arial" w:cs="Arial"/>
          <w:sz w:val="20"/>
          <w:szCs w:val="20"/>
        </w:rPr>
        <w:t xml:space="preserve">порог </w:t>
      </w:r>
      <w:r w:rsidR="00397A70" w:rsidRPr="00AD12DE">
        <w:rPr>
          <w:rFonts w:ascii="Arial" w:hAnsi="Arial" w:cs="Arial"/>
          <w:sz w:val="20"/>
          <w:szCs w:val="20"/>
        </w:rPr>
        <w:t>чувствительност</w:t>
      </w:r>
      <w:r w:rsidRPr="00AD12DE">
        <w:rPr>
          <w:rFonts w:ascii="Arial" w:hAnsi="Arial" w:cs="Arial"/>
          <w:sz w:val="20"/>
          <w:szCs w:val="20"/>
        </w:rPr>
        <w:t>и</w:t>
      </w:r>
      <w:r w:rsidR="00397A70" w:rsidRPr="00AD12DE">
        <w:rPr>
          <w:rFonts w:ascii="Arial" w:hAnsi="Arial" w:cs="Arial"/>
          <w:sz w:val="20"/>
          <w:szCs w:val="20"/>
        </w:rPr>
        <w:t xml:space="preserve"> теста, или когда взят образец плохого качества.</w:t>
      </w:r>
    </w:p>
    <w:p w14:paraId="28CAF713" w14:textId="244AA8DC" w:rsidR="00397A70" w:rsidRPr="00AD12DE" w:rsidRDefault="00397A70" w:rsidP="00116D17">
      <w:pPr>
        <w:pStyle w:val="ListParagraph"/>
        <w:numPr>
          <w:ilvl w:val="0"/>
          <w:numId w:val="8"/>
        </w:numPr>
        <w:ind w:left="993" w:hanging="284"/>
        <w:rPr>
          <w:rFonts w:ascii="Arial" w:hAnsi="Arial" w:cs="Arial"/>
          <w:sz w:val="20"/>
          <w:szCs w:val="20"/>
        </w:rPr>
      </w:pPr>
      <w:r w:rsidRPr="00AD12DE">
        <w:rPr>
          <w:rFonts w:ascii="Arial" w:hAnsi="Arial" w:cs="Arial"/>
          <w:sz w:val="20"/>
          <w:szCs w:val="20"/>
        </w:rPr>
        <w:t>Для более точной оценки иммунного статуса рекомендуется провести дополнительное тестирование с использованием других лабораторных методов.</w:t>
      </w:r>
    </w:p>
    <w:p w14:paraId="0D7561AE" w14:textId="62C458B0" w:rsidR="00397A70" w:rsidRPr="00AD12DE" w:rsidRDefault="00397A70" w:rsidP="00116D17">
      <w:pPr>
        <w:pStyle w:val="ListParagraph"/>
        <w:numPr>
          <w:ilvl w:val="0"/>
          <w:numId w:val="8"/>
        </w:numPr>
        <w:ind w:left="993" w:hanging="284"/>
        <w:rPr>
          <w:rFonts w:ascii="Arial" w:hAnsi="Arial" w:cs="Arial"/>
          <w:sz w:val="20"/>
          <w:szCs w:val="20"/>
        </w:rPr>
      </w:pPr>
      <w:r w:rsidRPr="00AD12DE">
        <w:rPr>
          <w:rFonts w:ascii="Arial" w:hAnsi="Arial" w:cs="Arial"/>
          <w:sz w:val="20"/>
          <w:szCs w:val="20"/>
        </w:rPr>
        <w:t>Результат теста всегда надлежит оценивать с учётом других сведений, имеющихся у врача.</w:t>
      </w:r>
    </w:p>
    <w:p w14:paraId="558664A8" w14:textId="02B4048F" w:rsidR="00397A70" w:rsidRPr="00AD12DE" w:rsidRDefault="00397A70" w:rsidP="00116D17">
      <w:pPr>
        <w:pStyle w:val="ListParagraph"/>
        <w:numPr>
          <w:ilvl w:val="0"/>
          <w:numId w:val="8"/>
        </w:numPr>
        <w:ind w:left="993" w:hanging="284"/>
        <w:rPr>
          <w:rFonts w:ascii="Arial" w:hAnsi="Arial" w:cs="Arial"/>
          <w:sz w:val="20"/>
          <w:szCs w:val="20"/>
        </w:rPr>
      </w:pPr>
      <w:r w:rsidRPr="00AD12DE">
        <w:rPr>
          <w:rFonts w:ascii="Arial" w:hAnsi="Arial" w:cs="Arial"/>
          <w:sz w:val="20"/>
          <w:szCs w:val="20"/>
        </w:rPr>
        <w:t>Положительные результаты теста не исключают сопутствующие инфекции другими патогенами.</w:t>
      </w:r>
    </w:p>
    <w:p w14:paraId="1FD05FAB" w14:textId="5EEECE17" w:rsidR="00397A70" w:rsidRDefault="00397A70" w:rsidP="00116D17">
      <w:pPr>
        <w:pStyle w:val="ListParagraph"/>
        <w:numPr>
          <w:ilvl w:val="0"/>
          <w:numId w:val="8"/>
        </w:numPr>
        <w:ind w:left="993" w:hanging="284"/>
        <w:rPr>
          <w:rFonts w:ascii="Arial" w:hAnsi="Arial" w:cs="Arial"/>
          <w:sz w:val="20"/>
          <w:szCs w:val="20"/>
        </w:rPr>
      </w:pPr>
      <w:r w:rsidRPr="00AD12DE">
        <w:rPr>
          <w:rFonts w:ascii="Arial" w:hAnsi="Arial" w:cs="Arial"/>
          <w:sz w:val="20"/>
          <w:szCs w:val="20"/>
        </w:rPr>
        <w:t>Отрицательные результаты теста позволяют исключить инфекцию вирусом SARS-CoV-2, но не другими коронавирусами.</w:t>
      </w:r>
    </w:p>
    <w:p w14:paraId="7D8C16B9" w14:textId="77777777" w:rsidR="0001344C" w:rsidRPr="0001344C" w:rsidRDefault="0001344C" w:rsidP="0001344C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ru-RU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  <w:lang w:val="ru-RU"/>
        </w:rPr>
        <w:t>Каким образом варианты вируса влияют на эффективность теста?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250A8CD" w14:textId="1CE44DC8" w:rsidR="0001344C" w:rsidRPr="007723DF" w:rsidRDefault="0001344C" w:rsidP="0001344C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rFonts w:ascii="Segoe UI" w:eastAsiaTheme="majorEastAsia" w:hAnsi="Segoe UI" w:cs="Segoe UI"/>
          <w:sz w:val="22"/>
          <w:szCs w:val="22"/>
          <w:lang w:val="ru-RU"/>
        </w:rPr>
      </w:pPr>
      <w:r>
        <w:rPr>
          <w:rStyle w:val="normaltextrun"/>
          <w:rFonts w:ascii="Segoe UI" w:eastAsiaTheme="majorEastAsia" w:hAnsi="Segoe UI" w:cs="Segoe UI"/>
          <w:sz w:val="22"/>
          <w:szCs w:val="22"/>
          <w:lang w:val="ru-RU"/>
        </w:rPr>
        <w:t>Вирус SARS-CoV-2 мутирует со временем, что приводит к возникновению генетических различий между циркулирующими штаммами вируса в ходе пандемии COVID-19. Характер влияния мутаций этих штаммов на эффективность теста на антигены зависит в том числе от того, выявляет ли тест нуклеокaпсидный белок (N) или спайк-белок (S) вируса. Работники системы здравоохранения и сотрудники лабораторий должны знать о том, что ложноотрицательные результаты возможны при выполнении **любого** молекулярного теста на определение SARS-CoV-2, особенно если мутация произошла в той части генома вируса, которая исследуется данным тестом. В тестах, успешно прошедших процедуру одобрения ВОЗ для использования в чрезвычайной ситуации (EUL), не зафиксировано пониженной эффективности выявления вариантов вируса SARS-CoV-2.</w:t>
      </w:r>
      <w:r>
        <w:rPr>
          <w:rStyle w:val="eop"/>
          <w:rFonts w:ascii="Segoe UI" w:eastAsiaTheme="majorEastAsia" w:hAnsi="Segoe UI" w:cs="Segoe UI"/>
          <w:sz w:val="22"/>
          <w:szCs w:val="22"/>
        </w:rPr>
        <w:t> </w:t>
      </w:r>
    </w:p>
    <w:p w14:paraId="7D88A308" w14:textId="22A6D4EC" w:rsidR="0001344C" w:rsidRDefault="0001344C" w:rsidP="0001344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6"/>
          <w:szCs w:val="26"/>
          <w:shd w:val="clear" w:color="auto" w:fill="FFFFFF"/>
        </w:rPr>
      </w:pPr>
      <w:r w:rsidRPr="0001344C">
        <w:rPr>
          <w:rStyle w:val="normaltextrun"/>
          <w:rFonts w:ascii="Arial" w:hAnsi="Arial" w:cs="Arial"/>
          <w:b/>
          <w:bCs/>
          <w:sz w:val="26"/>
          <w:szCs w:val="26"/>
          <w:shd w:val="clear" w:color="auto" w:fill="FFFFFF"/>
          <w:lang w:val="ru-RU"/>
        </w:rPr>
        <w:lastRenderedPageBreak/>
        <w:t>Самодиагностика</w:t>
      </w:r>
      <w:r w:rsidRPr="0001344C">
        <w:rPr>
          <w:rStyle w:val="eop"/>
          <w:rFonts w:ascii="Arial" w:hAnsi="Arial" w:cs="Arial"/>
          <w:sz w:val="26"/>
          <w:szCs w:val="26"/>
          <w:shd w:val="clear" w:color="auto" w:fill="FFFFFF"/>
        </w:rPr>
        <w:t> </w:t>
      </w:r>
    </w:p>
    <w:p w14:paraId="4846C473" w14:textId="77777777" w:rsidR="00610A7A" w:rsidRPr="00610A7A" w:rsidRDefault="00610A7A" w:rsidP="00677DA8">
      <w:pPr>
        <w:numPr>
          <w:ilvl w:val="0"/>
          <w:numId w:val="19"/>
        </w:numPr>
        <w:tabs>
          <w:tab w:val="clear" w:pos="720"/>
          <w:tab w:val="num" w:pos="197"/>
        </w:tabs>
        <w:spacing w:after="0" w:line="240" w:lineRule="auto"/>
        <w:ind w:left="851" w:hanging="425"/>
        <w:textAlignment w:val="baseline"/>
        <w:rPr>
          <w:rFonts w:ascii="Calibri" w:eastAsia="Times New Roman" w:hAnsi="Calibri" w:cs="Calibri"/>
          <w:sz w:val="22"/>
          <w:szCs w:val="22"/>
          <w:lang w:val="en-GB" w:eastAsia="en-GB"/>
        </w:rPr>
      </w:pPr>
      <w:r w:rsidRPr="00610A7A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В чем заключаются преимущества самодиагностики?</w:t>
      </w:r>
      <w:r w:rsidRPr="00610A7A">
        <w:rPr>
          <w:rFonts w:ascii="Calibri" w:eastAsia="Times New Roman" w:hAnsi="Calibri" w:cs="Calibri"/>
          <w:sz w:val="22"/>
          <w:szCs w:val="22"/>
          <w:lang w:val="en-GB" w:eastAsia="en-GB"/>
        </w:rPr>
        <w:t> </w:t>
      </w:r>
    </w:p>
    <w:p w14:paraId="5DEB39F4" w14:textId="77777777" w:rsidR="00610A7A" w:rsidRPr="00610A7A" w:rsidRDefault="00610A7A" w:rsidP="00677DA8">
      <w:pPr>
        <w:numPr>
          <w:ilvl w:val="0"/>
          <w:numId w:val="20"/>
        </w:numPr>
        <w:spacing w:after="0" w:line="240" w:lineRule="auto"/>
        <w:ind w:left="1134" w:firstLine="0"/>
        <w:textAlignment w:val="baseline"/>
        <w:rPr>
          <w:rFonts w:ascii="Calibri" w:eastAsia="Times New Roman" w:hAnsi="Calibri" w:cs="Calibri"/>
          <w:sz w:val="22"/>
          <w:szCs w:val="22"/>
          <w:lang w:val="en-GB" w:eastAsia="en-GB"/>
        </w:rPr>
      </w:pPr>
      <w:r w:rsidRPr="00610A7A">
        <w:rPr>
          <w:rFonts w:ascii="Calibri" w:eastAsia="Times New Roman" w:hAnsi="Calibri" w:cs="Calibri"/>
          <w:sz w:val="22"/>
          <w:szCs w:val="22"/>
          <w:lang w:eastAsia="en-GB"/>
        </w:rPr>
        <w:t>Самодиагностика COVID-19 удобна в практическом смысле, а пользователи ДЭТ на антигены вируса SARS-CoV-2 могут достоверно и точно выполнять тестирование наряду с подготовленными специалистами.</w:t>
      </w:r>
      <w:r w:rsidRPr="00610A7A">
        <w:rPr>
          <w:rFonts w:ascii="Calibri" w:eastAsia="Times New Roman" w:hAnsi="Calibri" w:cs="Calibri"/>
          <w:sz w:val="22"/>
          <w:szCs w:val="22"/>
          <w:lang w:val="en-GB" w:eastAsia="en-GB"/>
        </w:rPr>
        <w:t> </w:t>
      </w:r>
    </w:p>
    <w:p w14:paraId="241B3F1A" w14:textId="77777777" w:rsidR="00610A7A" w:rsidRPr="00610A7A" w:rsidRDefault="00610A7A" w:rsidP="00677DA8">
      <w:pPr>
        <w:numPr>
          <w:ilvl w:val="0"/>
          <w:numId w:val="20"/>
        </w:numPr>
        <w:spacing w:after="0" w:line="240" w:lineRule="auto"/>
        <w:ind w:left="1440" w:hanging="306"/>
        <w:textAlignment w:val="baseline"/>
        <w:rPr>
          <w:rFonts w:ascii="Calibri" w:eastAsia="Times New Roman" w:hAnsi="Calibri" w:cs="Calibri"/>
          <w:sz w:val="22"/>
          <w:szCs w:val="22"/>
          <w:lang w:val="en-GB" w:eastAsia="en-GB"/>
        </w:rPr>
      </w:pPr>
      <w:r w:rsidRPr="00610A7A">
        <w:rPr>
          <w:rFonts w:ascii="Calibri" w:eastAsia="Times New Roman" w:hAnsi="Calibri" w:cs="Calibri"/>
          <w:sz w:val="22"/>
          <w:szCs w:val="22"/>
          <w:lang w:eastAsia="en-GB"/>
        </w:rPr>
        <w:t>Внедрение самодиагностики COVID-19 приемлемо и может обеспечить высокий уровень охвата.</w:t>
      </w:r>
      <w:r w:rsidRPr="00610A7A">
        <w:rPr>
          <w:rFonts w:ascii="Calibri" w:eastAsia="Times New Roman" w:hAnsi="Calibri" w:cs="Calibri"/>
          <w:sz w:val="22"/>
          <w:szCs w:val="22"/>
          <w:lang w:val="en-GB" w:eastAsia="en-GB"/>
        </w:rPr>
        <w:t> </w:t>
      </w:r>
    </w:p>
    <w:p w14:paraId="44508CC8" w14:textId="77777777" w:rsidR="00610A7A" w:rsidRPr="00610A7A" w:rsidRDefault="00610A7A" w:rsidP="00677DA8">
      <w:pPr>
        <w:numPr>
          <w:ilvl w:val="0"/>
          <w:numId w:val="20"/>
        </w:numPr>
        <w:spacing w:after="0" w:line="240" w:lineRule="auto"/>
        <w:ind w:left="1440" w:hanging="306"/>
        <w:textAlignment w:val="baseline"/>
        <w:rPr>
          <w:rFonts w:ascii="Calibri" w:eastAsia="Times New Roman" w:hAnsi="Calibri" w:cs="Calibri"/>
          <w:sz w:val="22"/>
          <w:szCs w:val="22"/>
          <w:lang w:val="en-GB" w:eastAsia="en-GB"/>
        </w:rPr>
      </w:pPr>
      <w:r w:rsidRPr="00610A7A">
        <w:rPr>
          <w:rFonts w:ascii="Calibri" w:eastAsia="Times New Roman" w:hAnsi="Calibri" w:cs="Calibri"/>
          <w:sz w:val="22"/>
          <w:szCs w:val="22"/>
          <w:lang w:eastAsia="en-GB"/>
        </w:rPr>
        <w:t>Внедрение самодиагностики COVID-19 может обеспечить своевременную диагностику и оперативное принятие решений, основанных на оценке рисков, а также принятие мер по итогам тестирования, особенно в отдаленных регионах. </w:t>
      </w:r>
      <w:r w:rsidRPr="00610A7A">
        <w:rPr>
          <w:rFonts w:ascii="Calibri" w:eastAsia="Times New Roman" w:hAnsi="Calibri" w:cs="Calibri"/>
          <w:sz w:val="22"/>
          <w:szCs w:val="22"/>
          <w:lang w:val="en-GB" w:eastAsia="en-GB"/>
        </w:rPr>
        <w:t> </w:t>
      </w:r>
    </w:p>
    <w:p w14:paraId="6135A14E" w14:textId="77777777" w:rsidR="00610A7A" w:rsidRPr="00610A7A" w:rsidRDefault="00610A7A" w:rsidP="00677DA8">
      <w:pPr>
        <w:numPr>
          <w:ilvl w:val="0"/>
          <w:numId w:val="20"/>
        </w:numPr>
        <w:spacing w:after="0" w:line="240" w:lineRule="auto"/>
        <w:ind w:left="1440" w:hanging="306"/>
        <w:textAlignment w:val="baseline"/>
        <w:rPr>
          <w:rFonts w:ascii="Calibri" w:eastAsia="Times New Roman" w:hAnsi="Calibri" w:cs="Calibri"/>
          <w:sz w:val="22"/>
          <w:szCs w:val="22"/>
          <w:lang w:val="en-GB" w:eastAsia="en-GB"/>
        </w:rPr>
      </w:pPr>
      <w:r w:rsidRPr="00610A7A">
        <w:rPr>
          <w:rFonts w:ascii="Calibri" w:eastAsia="Times New Roman" w:hAnsi="Calibri" w:cs="Calibri"/>
          <w:sz w:val="22"/>
          <w:szCs w:val="22"/>
          <w:lang w:eastAsia="en-GB"/>
        </w:rPr>
        <w:t>Внедрение самодиагностики COVID-19 может обеспечить дополнительные преимущества для отдельных пользователей и населения в целом, такие как принятие пользователями более оперативных мер после выполнения анализа, включая решения, касающиеся собственного здоровья и здоровья их семей и общин.</w:t>
      </w:r>
      <w:r w:rsidRPr="00610A7A">
        <w:rPr>
          <w:rFonts w:ascii="Calibri" w:eastAsia="Times New Roman" w:hAnsi="Calibri" w:cs="Calibri"/>
          <w:sz w:val="22"/>
          <w:szCs w:val="22"/>
          <w:lang w:val="en-GB" w:eastAsia="en-GB"/>
        </w:rPr>
        <w:t> </w:t>
      </w:r>
    </w:p>
    <w:p w14:paraId="617A2691" w14:textId="77777777" w:rsidR="00610A7A" w:rsidRPr="00610A7A" w:rsidRDefault="00610A7A" w:rsidP="00610A7A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610A7A">
        <w:rPr>
          <w:rFonts w:ascii="Calibri" w:eastAsia="Times New Roman" w:hAnsi="Calibri" w:cs="Calibri"/>
          <w:sz w:val="22"/>
          <w:szCs w:val="22"/>
          <w:lang w:val="en-GB" w:eastAsia="en-GB"/>
        </w:rPr>
        <w:t> </w:t>
      </w:r>
    </w:p>
    <w:p w14:paraId="262684D5" w14:textId="77777777" w:rsidR="00610A7A" w:rsidRPr="00610A7A" w:rsidRDefault="00610A7A" w:rsidP="00677DA8">
      <w:pPr>
        <w:numPr>
          <w:ilvl w:val="0"/>
          <w:numId w:val="21"/>
        </w:numPr>
        <w:spacing w:after="0" w:line="240" w:lineRule="auto"/>
        <w:ind w:left="1080" w:hanging="654"/>
        <w:textAlignment w:val="baseline"/>
        <w:rPr>
          <w:rFonts w:ascii="Calibri" w:eastAsia="Times New Roman" w:hAnsi="Calibri" w:cs="Calibri"/>
          <w:sz w:val="22"/>
          <w:szCs w:val="22"/>
          <w:lang w:val="en-GB" w:eastAsia="en-GB"/>
        </w:rPr>
      </w:pPr>
      <w:r w:rsidRPr="00610A7A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Все ли ДЭТ на антигены можно использовать для самодиагностики?</w:t>
      </w:r>
      <w:r w:rsidRPr="00610A7A">
        <w:rPr>
          <w:rFonts w:ascii="Calibri" w:eastAsia="Times New Roman" w:hAnsi="Calibri" w:cs="Calibri"/>
          <w:sz w:val="22"/>
          <w:szCs w:val="22"/>
          <w:lang w:val="en-GB" w:eastAsia="en-GB"/>
        </w:rPr>
        <w:t> </w:t>
      </w:r>
    </w:p>
    <w:p w14:paraId="2EC2B865" w14:textId="77777777" w:rsidR="00610A7A" w:rsidRPr="00610A7A" w:rsidRDefault="00610A7A" w:rsidP="00610A7A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610A7A">
        <w:rPr>
          <w:rFonts w:ascii="Segoe UI" w:eastAsia="Times New Roman" w:hAnsi="Segoe UI" w:cs="Segoe UI"/>
          <w:sz w:val="22"/>
          <w:szCs w:val="22"/>
          <w:lang w:eastAsia="en-GB"/>
        </w:rPr>
        <w:t>Можно использовать все ДЭТ на антигены, которые были утверждены для самодиагностики. Как правило, такие тесты представлены в индивидуальной упаковке с приложением к каждому тесту инструкции производителя. Для самодиагностики не следует применять тесты для профессионального использования, которые не были утверждены для самодиагностики или были повторно упакованы для таких целей.    </w:t>
      </w:r>
      <w:r w:rsidRPr="00610A7A">
        <w:rPr>
          <w:rFonts w:ascii="Segoe UI" w:eastAsia="Times New Roman" w:hAnsi="Segoe UI" w:cs="Segoe UI"/>
          <w:sz w:val="22"/>
          <w:szCs w:val="22"/>
          <w:lang w:val="en-GB" w:eastAsia="en-GB"/>
        </w:rPr>
        <w:t> </w:t>
      </w:r>
    </w:p>
    <w:p w14:paraId="7F28CC6F" w14:textId="77777777" w:rsidR="00610A7A" w:rsidRPr="00610A7A" w:rsidRDefault="00610A7A" w:rsidP="00610A7A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610A7A">
        <w:rPr>
          <w:rFonts w:ascii="Calibri" w:eastAsia="Times New Roman" w:hAnsi="Calibri" w:cs="Calibri"/>
          <w:sz w:val="22"/>
          <w:szCs w:val="22"/>
          <w:lang w:val="en-GB" w:eastAsia="en-GB"/>
        </w:rPr>
        <w:t> </w:t>
      </w:r>
    </w:p>
    <w:p w14:paraId="5B37C50B" w14:textId="77777777" w:rsidR="00610A7A" w:rsidRPr="00610A7A" w:rsidRDefault="00610A7A" w:rsidP="00677DA8">
      <w:pPr>
        <w:numPr>
          <w:ilvl w:val="0"/>
          <w:numId w:val="22"/>
        </w:numPr>
        <w:spacing w:after="0" w:line="240" w:lineRule="auto"/>
        <w:ind w:left="1080" w:hanging="654"/>
        <w:textAlignment w:val="baseline"/>
        <w:rPr>
          <w:rFonts w:ascii="Calibri" w:eastAsia="Times New Roman" w:hAnsi="Calibri" w:cs="Calibri"/>
          <w:sz w:val="22"/>
          <w:szCs w:val="22"/>
          <w:lang w:eastAsia="en-GB"/>
        </w:rPr>
      </w:pPr>
      <w:r w:rsidRPr="00610A7A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Как следует использовать результаты теста для самодиагностики?</w:t>
      </w:r>
      <w:r w:rsidRPr="00610A7A">
        <w:rPr>
          <w:rFonts w:ascii="Calibri" w:eastAsia="Times New Roman" w:hAnsi="Calibri" w:cs="Calibri"/>
          <w:sz w:val="22"/>
          <w:szCs w:val="22"/>
          <w:lang w:val="en-GB" w:eastAsia="en-GB"/>
        </w:rPr>
        <w:t> </w:t>
      </w:r>
    </w:p>
    <w:p w14:paraId="058F279E" w14:textId="77777777" w:rsidR="00610A7A" w:rsidRPr="00610A7A" w:rsidRDefault="00610A7A" w:rsidP="00610A7A">
      <w:pPr>
        <w:spacing w:after="0" w:line="240" w:lineRule="auto"/>
        <w:ind w:left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610A7A">
        <w:rPr>
          <w:rFonts w:ascii="Segoe UI" w:eastAsia="Times New Roman" w:hAnsi="Segoe UI" w:cs="Segoe UI"/>
          <w:sz w:val="22"/>
          <w:szCs w:val="22"/>
          <w:lang w:eastAsia="en-GB"/>
        </w:rPr>
        <w:t>При получении положительного результата теста для самодиагностики данный случай может рассматриваться как вероятный случай инфекции, вызванной вирусом SARS-CoV-2, и необходимо принятие мер по итогам тестирования, в том числе мер инфекционного контроля, предусмотренных текущими национальными рекомендациями. Отрицательный результат теста для самодиагностики указывает на отсутствие активно протекающей инфекции, однако необходимо предупреждать людей о возможности ложноотрицательных результатов. Лицам, которые получили отрицательный результат теста для самодиагностики, особенно на фоне сохраняющихся или прогрессирующих симптомов, необходимо рассмотреть возможность повторного проведения тестирования, например через 24–48 часов, и/или тестирования на другие заболевания, в том числе другие респираторные инфекции. Повторный тест может быть выполнен самостоятельно или поставщиком профессиональных услуг. </w:t>
      </w:r>
    </w:p>
    <w:p w14:paraId="2327D618" w14:textId="77777777" w:rsidR="0001344C" w:rsidRPr="0001344C" w:rsidRDefault="0001344C" w:rsidP="0001344C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  <w:lang w:val="ru-RU"/>
        </w:rPr>
      </w:pPr>
    </w:p>
    <w:p w14:paraId="50DF43ED" w14:textId="77777777" w:rsidR="0050384A" w:rsidRPr="00AE42D7" w:rsidRDefault="0050384A" w:rsidP="00116D17">
      <w:pPr>
        <w:pStyle w:val="Heading2"/>
        <w:keepLines w:val="0"/>
        <w:spacing w:before="480" w:after="160" w:line="276" w:lineRule="auto"/>
        <w:rPr>
          <w:rFonts w:ascii="Arial" w:hAnsi="Arial" w:cs="Arial"/>
          <w:b/>
          <w:bCs/>
          <w:color w:val="auto"/>
          <w:sz w:val="26"/>
          <w:szCs w:val="26"/>
        </w:rPr>
      </w:pPr>
      <w:r w:rsidRPr="00AE42D7">
        <w:rPr>
          <w:rFonts w:ascii="Arial" w:hAnsi="Arial"/>
          <w:b/>
          <w:color w:val="auto"/>
          <w:sz w:val="26"/>
        </w:rPr>
        <w:t>Требования к образцам</w:t>
      </w:r>
    </w:p>
    <w:p w14:paraId="203DBF6E" w14:textId="77777777" w:rsidR="00F61D4F" w:rsidRPr="00E936BE" w:rsidRDefault="00F61D4F" w:rsidP="00E936BE">
      <w:pPr>
        <w:pStyle w:val="ListParagraph"/>
        <w:numPr>
          <w:ilvl w:val="0"/>
          <w:numId w:val="1"/>
        </w:numPr>
        <w:rPr>
          <w:rFonts w:ascii="Arial" w:hAnsi="Arial"/>
          <w:b/>
          <w:sz w:val="20"/>
        </w:rPr>
      </w:pPr>
      <w:r w:rsidRPr="00AE42D7">
        <w:rPr>
          <w:rFonts w:ascii="Arial" w:hAnsi="Arial"/>
          <w:b/>
          <w:sz w:val="20"/>
        </w:rPr>
        <w:t>Какие пробы можно протестировать с помощью тестов на антигены?</w:t>
      </w:r>
    </w:p>
    <w:p w14:paraId="7BE59AC0" w14:textId="21DF3C2F" w:rsidR="00F61D4F" w:rsidRDefault="00F61D4F" w:rsidP="00116D17">
      <w:pPr>
        <w:pStyle w:val="ListParagraph"/>
        <w:rPr>
          <w:rFonts w:ascii="Arial" w:hAnsi="Arial"/>
          <w:sz w:val="20"/>
        </w:rPr>
      </w:pPr>
      <w:r w:rsidRPr="00AE42D7">
        <w:rPr>
          <w:rFonts w:ascii="Arial" w:hAnsi="Arial"/>
          <w:sz w:val="20"/>
        </w:rPr>
        <w:t xml:space="preserve">ДЭТ на антигены в настоящее время одобрены для тестирования выделений из носоглотки. Всегда проверяйте инструкции производителя </w:t>
      </w:r>
      <w:r w:rsidR="00E936BE">
        <w:rPr>
          <w:rFonts w:ascii="Arial" w:hAnsi="Arial"/>
          <w:sz w:val="20"/>
        </w:rPr>
        <w:t>на предмет</w:t>
      </w:r>
      <w:r w:rsidRPr="00AE42D7">
        <w:rPr>
          <w:rFonts w:ascii="Arial" w:hAnsi="Arial"/>
          <w:sz w:val="20"/>
        </w:rPr>
        <w:t xml:space="preserve"> информации о том, какие типы проб годятся для данного теста.</w:t>
      </w:r>
    </w:p>
    <w:p w14:paraId="0C148FA6" w14:textId="0BD78C1B" w:rsidR="00610A7A" w:rsidRDefault="00610A7A" w:rsidP="00116D17">
      <w:pPr>
        <w:pStyle w:val="ListParagraph"/>
        <w:rPr>
          <w:rFonts w:ascii="Arial" w:hAnsi="Arial"/>
          <w:sz w:val="20"/>
        </w:rPr>
      </w:pPr>
    </w:p>
    <w:p w14:paraId="67268F25" w14:textId="77777777" w:rsidR="00610A7A" w:rsidRPr="00AE42D7" w:rsidRDefault="00610A7A" w:rsidP="00116D17">
      <w:pPr>
        <w:pStyle w:val="ListParagraph"/>
        <w:rPr>
          <w:rFonts w:ascii="Arial" w:hAnsi="Arial" w:cs="Arial"/>
          <w:sz w:val="20"/>
          <w:szCs w:val="20"/>
        </w:rPr>
      </w:pPr>
    </w:p>
    <w:p w14:paraId="606881A8" w14:textId="16DAFCC8" w:rsidR="008A1B65" w:rsidRDefault="008A1B65" w:rsidP="00116D17">
      <w:pPr>
        <w:pStyle w:val="ListParagraph"/>
        <w:rPr>
          <w:rFonts w:ascii="Arial" w:hAnsi="Arial" w:cs="Arial"/>
          <w:sz w:val="20"/>
          <w:szCs w:val="20"/>
        </w:rPr>
      </w:pPr>
    </w:p>
    <w:p w14:paraId="326EDB38" w14:textId="77777777" w:rsidR="00610A7A" w:rsidRPr="00610A7A" w:rsidRDefault="00610A7A" w:rsidP="00610A7A">
      <w:pPr>
        <w:pStyle w:val="ListParagraph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610A7A">
        <w:rPr>
          <w:rFonts w:ascii="Arial" w:hAnsi="Arial" w:cs="Arial"/>
          <w:b/>
          <w:bCs/>
          <w:sz w:val="20"/>
          <w:szCs w:val="20"/>
        </w:rPr>
        <w:lastRenderedPageBreak/>
        <w:t>Какие типы проб наиболее часто используются в рамках самодиагностики?</w:t>
      </w:r>
      <w:r w:rsidRPr="00610A7A">
        <w:rPr>
          <w:rFonts w:ascii="Arial" w:hAnsi="Arial" w:cs="Arial"/>
          <w:sz w:val="20"/>
          <w:szCs w:val="20"/>
          <w:lang w:val="en-GB"/>
        </w:rPr>
        <w:t> </w:t>
      </w:r>
    </w:p>
    <w:p w14:paraId="61DCCB9C" w14:textId="77777777" w:rsidR="00610A7A" w:rsidRPr="00610A7A" w:rsidRDefault="00610A7A" w:rsidP="00610A7A">
      <w:pPr>
        <w:pStyle w:val="ListParagraph"/>
        <w:rPr>
          <w:rFonts w:ascii="Arial" w:hAnsi="Arial" w:cs="Arial"/>
          <w:sz w:val="20"/>
          <w:szCs w:val="20"/>
        </w:rPr>
      </w:pPr>
      <w:r w:rsidRPr="00610A7A">
        <w:rPr>
          <w:rFonts w:ascii="Arial" w:hAnsi="Arial" w:cs="Arial"/>
          <w:sz w:val="20"/>
          <w:szCs w:val="20"/>
        </w:rPr>
        <w:t>Зачастую предпочтительным типом проб для самодиагностики с использованием ДЭТ на антигены вируса SARS-CoV-2 являются мазки из носа. По мере появления новых тестов также используются другие типы мазков, такие как мазки из горла или образцы слюны. Обязательно ознакомьтесь с инструкцией производителя по использованию теста – там указан конкретный тип проб, который необходимо использовать.</w:t>
      </w:r>
      <w:r w:rsidRPr="00610A7A">
        <w:rPr>
          <w:rFonts w:ascii="Arial" w:hAnsi="Arial" w:cs="Arial"/>
          <w:sz w:val="20"/>
          <w:szCs w:val="20"/>
          <w:lang w:val="en-GB"/>
        </w:rPr>
        <w:t> </w:t>
      </w:r>
    </w:p>
    <w:p w14:paraId="6A20470A" w14:textId="77777777" w:rsidR="00610A7A" w:rsidRPr="00AE42D7" w:rsidRDefault="00610A7A" w:rsidP="00116D17">
      <w:pPr>
        <w:pStyle w:val="ListParagraph"/>
        <w:rPr>
          <w:rFonts w:ascii="Arial" w:hAnsi="Arial" w:cs="Arial"/>
          <w:sz w:val="20"/>
          <w:szCs w:val="20"/>
        </w:rPr>
      </w:pPr>
    </w:p>
    <w:p w14:paraId="326EB601" w14:textId="77777777" w:rsidR="00F61D4F" w:rsidRPr="00AE42D7" w:rsidRDefault="00F61D4F" w:rsidP="00116D17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AE42D7">
        <w:rPr>
          <w:rFonts w:ascii="Arial" w:hAnsi="Arial"/>
          <w:b/>
          <w:sz w:val="20"/>
        </w:rPr>
        <w:t>Как долго можно хранить пробы от взятия до тестирования?</w:t>
      </w:r>
    </w:p>
    <w:p w14:paraId="5C4920C0" w14:textId="54C90967" w:rsidR="00F61D4F" w:rsidRPr="00AE42D7" w:rsidRDefault="000B79FB" w:rsidP="00116D17">
      <w:pPr>
        <w:pStyle w:val="ListParagraph"/>
        <w:rPr>
          <w:rFonts w:ascii="Arial" w:hAnsi="Arial" w:cs="Arial"/>
          <w:sz w:val="20"/>
          <w:szCs w:val="20"/>
        </w:rPr>
      </w:pPr>
      <w:r w:rsidRPr="00AE42D7">
        <w:rPr>
          <w:rFonts w:ascii="Arial" w:hAnsi="Arial"/>
          <w:sz w:val="20"/>
        </w:rPr>
        <w:t>Следуйте инструкциям по использованию от производителя. Некоторые пробы должны быть протестированы в течение четыр</w:t>
      </w:r>
      <w:r w:rsidR="00EE55D1">
        <w:rPr>
          <w:rFonts w:ascii="Arial" w:hAnsi="Arial"/>
          <w:sz w:val="20"/>
        </w:rPr>
        <w:t>ё</w:t>
      </w:r>
      <w:r w:rsidRPr="00AE42D7">
        <w:rPr>
          <w:rFonts w:ascii="Arial" w:hAnsi="Arial"/>
          <w:sz w:val="20"/>
        </w:rPr>
        <w:t>х часов после взятия, если они хранятся при комнатной температуре.</w:t>
      </w:r>
    </w:p>
    <w:p w14:paraId="37041E7A" w14:textId="77777777" w:rsidR="008A1B65" w:rsidRPr="00AE42D7" w:rsidRDefault="008A1B65" w:rsidP="00116D17">
      <w:pPr>
        <w:pStyle w:val="ListParagraph"/>
        <w:rPr>
          <w:rFonts w:ascii="Arial" w:hAnsi="Arial" w:cs="Arial"/>
          <w:sz w:val="20"/>
          <w:szCs w:val="20"/>
        </w:rPr>
      </w:pPr>
    </w:p>
    <w:p w14:paraId="7C7A3E29" w14:textId="76933041" w:rsidR="00F61D4F" w:rsidRPr="00AE42D7" w:rsidRDefault="00F61D4F" w:rsidP="00116D17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AE42D7">
        <w:rPr>
          <w:rFonts w:ascii="Arial" w:hAnsi="Arial"/>
          <w:b/>
          <w:sz w:val="20"/>
        </w:rPr>
        <w:t>Как должны храниться пробы до тестирования и во время транспортировки?</w:t>
      </w:r>
    </w:p>
    <w:p w14:paraId="78AFB7FB" w14:textId="2014826A" w:rsidR="00F61D4F" w:rsidRPr="00AE42D7" w:rsidRDefault="000B79FB" w:rsidP="00116D17">
      <w:pPr>
        <w:pStyle w:val="ListParagraph"/>
        <w:spacing w:after="0"/>
        <w:rPr>
          <w:rFonts w:ascii="Arial" w:hAnsi="Arial" w:cs="Arial"/>
          <w:sz w:val="20"/>
          <w:szCs w:val="20"/>
        </w:rPr>
      </w:pPr>
      <w:r w:rsidRPr="00AE42D7">
        <w:rPr>
          <w:rFonts w:ascii="Arial" w:hAnsi="Arial"/>
          <w:sz w:val="20"/>
        </w:rPr>
        <w:t xml:space="preserve">Следуйте инструкциям по использованию от производителя. В некоторых случаях пробы можно хранить до тестирования при температуре 4–30 °C. Если температура окружающей среды выше 30 °С, </w:t>
      </w:r>
      <w:r w:rsidR="00E936BE">
        <w:rPr>
          <w:rFonts w:ascii="Arial" w:hAnsi="Arial"/>
          <w:sz w:val="20"/>
        </w:rPr>
        <w:t xml:space="preserve">то </w:t>
      </w:r>
      <w:r w:rsidRPr="00AE42D7">
        <w:rPr>
          <w:rFonts w:ascii="Arial" w:hAnsi="Arial"/>
          <w:sz w:val="20"/>
        </w:rPr>
        <w:t xml:space="preserve">до тестирования или во время транспортировки пробы </w:t>
      </w:r>
      <w:r w:rsidR="00E936BE">
        <w:rPr>
          <w:rFonts w:ascii="Arial" w:hAnsi="Arial"/>
          <w:sz w:val="20"/>
        </w:rPr>
        <w:t xml:space="preserve">следует </w:t>
      </w:r>
      <w:r w:rsidRPr="00AE42D7">
        <w:rPr>
          <w:rFonts w:ascii="Arial" w:hAnsi="Arial"/>
          <w:sz w:val="20"/>
        </w:rPr>
        <w:t>хранить в холодильнике или с другим типом охлаждения.</w:t>
      </w:r>
    </w:p>
    <w:p w14:paraId="2F324836" w14:textId="77777777" w:rsidR="008A1B65" w:rsidRPr="00AE42D7" w:rsidRDefault="008A1B65" w:rsidP="00116D17">
      <w:pPr>
        <w:spacing w:after="0"/>
        <w:rPr>
          <w:rFonts w:ascii="Arial" w:hAnsi="Arial" w:cs="Arial"/>
          <w:sz w:val="20"/>
          <w:szCs w:val="20"/>
        </w:rPr>
      </w:pPr>
    </w:p>
    <w:p w14:paraId="08321997" w14:textId="0B9547EA" w:rsidR="00F61D4F" w:rsidRPr="00AE42D7" w:rsidRDefault="00F61D4F" w:rsidP="00116D17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AE42D7">
        <w:rPr>
          <w:rFonts w:ascii="Arial" w:hAnsi="Arial"/>
          <w:b/>
          <w:sz w:val="20"/>
        </w:rPr>
        <w:t xml:space="preserve">Можно ли для тестирования </w:t>
      </w:r>
      <w:r w:rsidR="00E936BE" w:rsidRPr="00AE42D7">
        <w:rPr>
          <w:rFonts w:ascii="Arial" w:hAnsi="Arial"/>
          <w:b/>
          <w:sz w:val="20"/>
        </w:rPr>
        <w:t xml:space="preserve">использовать </w:t>
      </w:r>
      <w:r w:rsidRPr="00AE42D7">
        <w:rPr>
          <w:rFonts w:ascii="Arial" w:hAnsi="Arial"/>
          <w:b/>
          <w:sz w:val="20"/>
        </w:rPr>
        <w:t>проб</w:t>
      </w:r>
      <w:r w:rsidR="00E936BE">
        <w:rPr>
          <w:rFonts w:ascii="Arial" w:hAnsi="Arial"/>
          <w:b/>
          <w:sz w:val="20"/>
        </w:rPr>
        <w:t>ы</w:t>
      </w:r>
      <w:r w:rsidRPr="00AE42D7">
        <w:rPr>
          <w:rFonts w:ascii="Arial" w:hAnsi="Arial"/>
          <w:b/>
          <w:sz w:val="20"/>
        </w:rPr>
        <w:t xml:space="preserve"> с примесью крови?</w:t>
      </w:r>
    </w:p>
    <w:p w14:paraId="050C5DA5" w14:textId="102B8752" w:rsidR="00F61D4F" w:rsidRPr="00AE42D7" w:rsidRDefault="00F61D4F" w:rsidP="00116D17">
      <w:pPr>
        <w:pStyle w:val="ListParagraph"/>
        <w:rPr>
          <w:rFonts w:ascii="Arial" w:hAnsi="Arial" w:cs="Arial"/>
          <w:sz w:val="20"/>
          <w:szCs w:val="20"/>
        </w:rPr>
      </w:pPr>
      <w:r w:rsidRPr="00AE42D7">
        <w:rPr>
          <w:rFonts w:ascii="Arial" w:hAnsi="Arial"/>
          <w:sz w:val="20"/>
        </w:rPr>
        <w:t>Да. Пробы, содержащие следы крови, мо</w:t>
      </w:r>
      <w:r w:rsidR="00664BB7">
        <w:rPr>
          <w:rFonts w:ascii="Arial" w:hAnsi="Arial"/>
          <w:sz w:val="20"/>
        </w:rPr>
        <w:t>жно</w:t>
      </w:r>
      <w:r w:rsidRPr="00AE42D7">
        <w:rPr>
          <w:rFonts w:ascii="Arial" w:hAnsi="Arial"/>
          <w:sz w:val="20"/>
        </w:rPr>
        <w:t xml:space="preserve"> использова</w:t>
      </w:r>
      <w:r w:rsidR="00664BB7">
        <w:rPr>
          <w:rFonts w:ascii="Arial" w:hAnsi="Arial"/>
          <w:sz w:val="20"/>
        </w:rPr>
        <w:t>ть</w:t>
      </w:r>
      <w:r w:rsidRPr="00AE42D7">
        <w:rPr>
          <w:rFonts w:ascii="Arial" w:hAnsi="Arial"/>
          <w:sz w:val="20"/>
        </w:rPr>
        <w:t xml:space="preserve"> </w:t>
      </w:r>
      <w:r w:rsidR="00DA0AFB">
        <w:rPr>
          <w:rFonts w:ascii="Arial" w:hAnsi="Arial"/>
          <w:sz w:val="20"/>
        </w:rPr>
        <w:t>в</w:t>
      </w:r>
      <w:r w:rsidRPr="00AE42D7">
        <w:rPr>
          <w:rFonts w:ascii="Arial" w:hAnsi="Arial"/>
          <w:sz w:val="20"/>
        </w:rPr>
        <w:t xml:space="preserve"> тест</w:t>
      </w:r>
      <w:r w:rsidR="00DA0AFB">
        <w:rPr>
          <w:rFonts w:ascii="Arial" w:hAnsi="Arial"/>
          <w:sz w:val="20"/>
        </w:rPr>
        <w:t>е</w:t>
      </w:r>
      <w:r w:rsidRPr="00AE42D7">
        <w:rPr>
          <w:rFonts w:ascii="Arial" w:hAnsi="Arial"/>
          <w:sz w:val="20"/>
        </w:rPr>
        <w:t xml:space="preserve"> на антигены.</w:t>
      </w:r>
    </w:p>
    <w:p w14:paraId="29FCDDF9" w14:textId="77777777" w:rsidR="00966F68" w:rsidRPr="00AE42D7" w:rsidRDefault="00966F68" w:rsidP="00116D17">
      <w:pPr>
        <w:pStyle w:val="ListParagraph"/>
        <w:rPr>
          <w:rFonts w:ascii="Arial" w:hAnsi="Arial" w:cs="Arial"/>
          <w:sz w:val="20"/>
          <w:szCs w:val="20"/>
        </w:rPr>
      </w:pPr>
    </w:p>
    <w:p w14:paraId="467147BA" w14:textId="77777777" w:rsidR="00F61D4F" w:rsidRPr="00AE42D7" w:rsidRDefault="00F61D4F" w:rsidP="00116D17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AE42D7">
        <w:rPr>
          <w:rFonts w:ascii="Arial" w:hAnsi="Arial"/>
          <w:b/>
          <w:sz w:val="20"/>
        </w:rPr>
        <w:t>Можно ли использовать ДЭТ на антигены для тестирования проб крови?</w:t>
      </w:r>
    </w:p>
    <w:p w14:paraId="02D97AAC" w14:textId="6C60B46F" w:rsidR="00F61D4F" w:rsidRPr="00AE42D7" w:rsidRDefault="00F61D4F" w:rsidP="00116D17">
      <w:pPr>
        <w:pStyle w:val="ListParagraph"/>
        <w:rPr>
          <w:rFonts w:ascii="Arial" w:hAnsi="Arial" w:cs="Arial"/>
          <w:sz w:val="20"/>
          <w:szCs w:val="20"/>
        </w:rPr>
      </w:pPr>
      <w:r w:rsidRPr="00AE42D7">
        <w:rPr>
          <w:rFonts w:ascii="Arial" w:hAnsi="Arial"/>
          <w:sz w:val="20"/>
        </w:rPr>
        <w:t>Нет. ДЭТ на антигены в настоящее время одобрены для тестирования выделений из носоглотки.</w:t>
      </w:r>
    </w:p>
    <w:p w14:paraId="62DA94ED" w14:textId="77777777" w:rsidR="008A1B65" w:rsidRPr="00AE42D7" w:rsidRDefault="008A1B65" w:rsidP="00116D17">
      <w:pPr>
        <w:pStyle w:val="ListParagraph"/>
        <w:rPr>
          <w:rFonts w:ascii="Arial" w:hAnsi="Arial" w:cs="Arial"/>
          <w:sz w:val="20"/>
          <w:szCs w:val="20"/>
        </w:rPr>
      </w:pPr>
    </w:p>
    <w:p w14:paraId="6C43D2A0" w14:textId="77777777" w:rsidR="00F61D4F" w:rsidRPr="00AE42D7" w:rsidRDefault="00F61D4F" w:rsidP="00116D17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AE42D7">
        <w:rPr>
          <w:rFonts w:ascii="Arial" w:hAnsi="Arial"/>
          <w:b/>
          <w:sz w:val="20"/>
        </w:rPr>
        <w:t>Можно ли использовать ДЭТ на антигены для тестирования проб слюны?</w:t>
      </w:r>
    </w:p>
    <w:p w14:paraId="00F44289" w14:textId="3B6EB393" w:rsidR="00F61D4F" w:rsidRPr="00AE42D7" w:rsidRDefault="00F61D4F" w:rsidP="00116D17">
      <w:pPr>
        <w:pStyle w:val="ListParagraph"/>
        <w:rPr>
          <w:rFonts w:ascii="Arial" w:hAnsi="Arial" w:cs="Arial"/>
          <w:sz w:val="20"/>
          <w:szCs w:val="20"/>
        </w:rPr>
      </w:pPr>
      <w:r w:rsidRPr="00AE42D7">
        <w:rPr>
          <w:rFonts w:ascii="Arial" w:hAnsi="Arial"/>
          <w:sz w:val="20"/>
        </w:rPr>
        <w:t xml:space="preserve">Нет. ДЭТ на антигены в настоящее время одобрены для тестирования выделений из носоглотки. В настоящее время проводится оценка </w:t>
      </w:r>
      <w:r w:rsidR="00DA0AFB">
        <w:rPr>
          <w:rFonts w:ascii="Arial" w:hAnsi="Arial"/>
          <w:sz w:val="20"/>
        </w:rPr>
        <w:t>применимости</w:t>
      </w:r>
      <w:r w:rsidRPr="00AE42D7">
        <w:rPr>
          <w:rFonts w:ascii="Arial" w:hAnsi="Arial"/>
          <w:sz w:val="20"/>
        </w:rPr>
        <w:t xml:space="preserve"> </w:t>
      </w:r>
      <w:r w:rsidR="00DA0AFB">
        <w:rPr>
          <w:rFonts w:ascii="Arial" w:hAnsi="Arial"/>
          <w:sz w:val="20"/>
        </w:rPr>
        <w:t xml:space="preserve">этих </w:t>
      </w:r>
      <w:r w:rsidRPr="00AE42D7">
        <w:rPr>
          <w:rFonts w:ascii="Arial" w:hAnsi="Arial"/>
          <w:sz w:val="20"/>
        </w:rPr>
        <w:t>тестов с другими типами образцов.</w:t>
      </w:r>
    </w:p>
    <w:p w14:paraId="35A9364C" w14:textId="2DF59E77" w:rsidR="007208E0" w:rsidRPr="00AE42D7" w:rsidRDefault="007208E0" w:rsidP="00116D17">
      <w:pPr>
        <w:pStyle w:val="Heading2"/>
        <w:keepNext w:val="0"/>
        <w:keepLines w:val="0"/>
        <w:spacing w:before="480" w:after="160" w:line="276" w:lineRule="auto"/>
        <w:rPr>
          <w:rFonts w:ascii="Arial" w:hAnsi="Arial" w:cs="Arial"/>
          <w:b/>
          <w:bCs/>
          <w:color w:val="auto"/>
          <w:sz w:val="26"/>
          <w:szCs w:val="26"/>
        </w:rPr>
      </w:pPr>
      <w:r w:rsidRPr="00AE42D7">
        <w:rPr>
          <w:rFonts w:ascii="Arial" w:hAnsi="Arial"/>
          <w:b/>
          <w:color w:val="auto"/>
          <w:sz w:val="26"/>
        </w:rPr>
        <w:t>Безопасность</w:t>
      </w:r>
    </w:p>
    <w:p w14:paraId="3794C1C0" w14:textId="77777777" w:rsidR="007208E0" w:rsidRPr="00AD12DE" w:rsidRDefault="007208E0" w:rsidP="00116D17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AD12DE">
        <w:rPr>
          <w:rFonts w:ascii="Arial" w:hAnsi="Arial" w:cs="Arial"/>
          <w:b/>
          <w:color w:val="000000" w:themeColor="text1"/>
          <w:sz w:val="20"/>
          <w:szCs w:val="20"/>
        </w:rPr>
        <w:t>Какие требования безопасности необходимо соблюдать при взятии проб?</w:t>
      </w:r>
    </w:p>
    <w:p w14:paraId="60D9B445" w14:textId="4B811A94" w:rsidR="007208E0" w:rsidRPr="00AD12DE" w:rsidRDefault="007208E0" w:rsidP="00116D17">
      <w:pPr>
        <w:pStyle w:val="ListParagrap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AD12DE">
        <w:rPr>
          <w:rFonts w:ascii="Arial" w:hAnsi="Arial" w:cs="Arial"/>
          <w:color w:val="000000" w:themeColor="text1"/>
          <w:sz w:val="20"/>
          <w:szCs w:val="20"/>
        </w:rPr>
        <w:t xml:space="preserve">При взятии проб </w:t>
      </w:r>
      <w:r w:rsidR="008665C0" w:rsidRPr="00AD12DE">
        <w:rPr>
          <w:rFonts w:ascii="Arial" w:hAnsi="Arial" w:cs="Arial"/>
          <w:color w:val="000000" w:themeColor="text1"/>
          <w:sz w:val="20"/>
          <w:szCs w:val="20"/>
        </w:rPr>
        <w:t xml:space="preserve">у людей </w:t>
      </w:r>
      <w:r w:rsidRPr="00AD12DE">
        <w:rPr>
          <w:rFonts w:ascii="Arial" w:hAnsi="Arial" w:cs="Arial"/>
          <w:color w:val="000000" w:themeColor="text1"/>
          <w:sz w:val="20"/>
          <w:szCs w:val="20"/>
        </w:rPr>
        <w:t xml:space="preserve">для выявления COVID-19 необходимо использовать </w:t>
      </w:r>
      <w:r w:rsidR="008665C0" w:rsidRPr="00AD12DE">
        <w:rPr>
          <w:rFonts w:ascii="Arial" w:hAnsi="Arial" w:cs="Arial"/>
          <w:color w:val="000000" w:themeColor="text1"/>
          <w:sz w:val="20"/>
          <w:szCs w:val="20"/>
        </w:rPr>
        <w:t xml:space="preserve">следующие </w:t>
      </w:r>
      <w:r w:rsidRPr="00AD12DE">
        <w:rPr>
          <w:rFonts w:ascii="Arial" w:hAnsi="Arial" w:cs="Arial"/>
          <w:color w:val="000000" w:themeColor="text1"/>
          <w:sz w:val="20"/>
          <w:szCs w:val="20"/>
        </w:rPr>
        <w:t>средства индивидуальной защиты (СИЗ</w:t>
      </w:r>
      <w:r w:rsidR="008665C0" w:rsidRPr="00AD12DE">
        <w:rPr>
          <w:rFonts w:ascii="Arial" w:hAnsi="Arial" w:cs="Arial"/>
          <w:color w:val="000000" w:themeColor="text1"/>
          <w:sz w:val="20"/>
          <w:szCs w:val="20"/>
        </w:rPr>
        <w:t>):</w:t>
      </w:r>
      <w:r w:rsidRPr="00AD12DE">
        <w:rPr>
          <w:rFonts w:ascii="Arial" w:hAnsi="Arial" w:cs="Arial"/>
          <w:color w:val="000000" w:themeColor="text1"/>
          <w:sz w:val="20"/>
          <w:szCs w:val="20"/>
        </w:rPr>
        <w:t xml:space="preserve"> перчатки, средства защиты глаз, респиратор и халат (см</w:t>
      </w:r>
      <w:r w:rsidR="00A95E48">
        <w:rPr>
          <w:rFonts w:ascii="Arial" w:hAnsi="Arial" w:cs="Arial"/>
          <w:color w:val="000000" w:themeColor="text1"/>
          <w:sz w:val="20"/>
          <w:szCs w:val="20"/>
        </w:rPr>
        <w:t>.</w:t>
      </w:r>
      <w:r w:rsidRPr="00AD12DE">
        <w:rPr>
          <w:rFonts w:ascii="Arial" w:hAnsi="Arial" w:cs="Arial"/>
          <w:color w:val="000000" w:themeColor="text1"/>
          <w:sz w:val="20"/>
          <w:szCs w:val="20"/>
        </w:rPr>
        <w:t xml:space="preserve"> веб-сайт ВОЗ «Personal protective equipment for COVID-19» [Средства индивидуальной защиты </w:t>
      </w:r>
      <w:r w:rsidR="008665C0" w:rsidRPr="00AD12DE">
        <w:rPr>
          <w:rFonts w:ascii="Arial" w:hAnsi="Arial" w:cs="Arial"/>
          <w:color w:val="000000" w:themeColor="text1"/>
          <w:sz w:val="20"/>
          <w:szCs w:val="20"/>
        </w:rPr>
        <w:t>при</w:t>
      </w:r>
      <w:r w:rsidRPr="00AD12DE">
        <w:rPr>
          <w:rFonts w:ascii="Arial" w:hAnsi="Arial" w:cs="Arial"/>
          <w:color w:val="000000" w:themeColor="text1"/>
          <w:sz w:val="20"/>
          <w:szCs w:val="20"/>
        </w:rPr>
        <w:t xml:space="preserve"> коронавирусной инфекции COVID-19]: </w:t>
      </w:r>
      <w:hyperlink r:id="rId14" w:history="1">
        <w:r w:rsidR="00496B11" w:rsidRPr="00AD12DE">
          <w:rPr>
            <w:rStyle w:val="Hyperlink"/>
          </w:rPr>
          <w:t>https://www.who.int/medical_devices/priority/COVID_19_PPE/en/</w:t>
        </w:r>
      </w:hyperlink>
      <w:r w:rsidR="00496B11" w:rsidRPr="00AD12DE">
        <w:rPr>
          <w:rFonts w:ascii="Arial" w:hAnsi="Arial" w:cs="Arial"/>
          <w:color w:val="000000" w:themeColor="text1"/>
          <w:sz w:val="20"/>
          <w:szCs w:val="20"/>
        </w:rPr>
        <w:t>).</w:t>
      </w:r>
    </w:p>
    <w:p w14:paraId="648D7C91" w14:textId="77777777" w:rsidR="008A1B65" w:rsidRPr="00AD12DE" w:rsidRDefault="008A1B65" w:rsidP="00116D17">
      <w:pPr>
        <w:pStyle w:val="ListParagraph"/>
        <w:rPr>
          <w:rFonts w:ascii="Arial" w:hAnsi="Arial" w:cs="Arial"/>
          <w:color w:val="000000" w:themeColor="text1"/>
          <w:sz w:val="20"/>
          <w:szCs w:val="20"/>
        </w:rPr>
      </w:pPr>
    </w:p>
    <w:p w14:paraId="1AE5ACE3" w14:textId="58A4FBB2" w:rsidR="007208E0" w:rsidRPr="00AD12DE" w:rsidRDefault="007208E0" w:rsidP="00116D17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AD12DE">
        <w:rPr>
          <w:rFonts w:ascii="Arial" w:hAnsi="Arial" w:cs="Arial"/>
          <w:b/>
          <w:color w:val="000000" w:themeColor="text1"/>
          <w:sz w:val="20"/>
          <w:szCs w:val="20"/>
        </w:rPr>
        <w:t>Какие требования безопасности необходимо соблюдать при проведении ДЭТ на антигены?</w:t>
      </w:r>
    </w:p>
    <w:p w14:paraId="78263091" w14:textId="1AE4EA82" w:rsidR="007208E0" w:rsidRPr="00AD12DE" w:rsidRDefault="007208E0" w:rsidP="00116D17">
      <w:pPr>
        <w:pStyle w:val="ListParagraph"/>
        <w:rPr>
          <w:rFonts w:ascii="Arial" w:hAnsi="Arial" w:cs="Arial"/>
          <w:color w:val="000000" w:themeColor="text1"/>
          <w:sz w:val="20"/>
          <w:szCs w:val="20"/>
        </w:rPr>
      </w:pPr>
      <w:r w:rsidRPr="00AD12DE">
        <w:rPr>
          <w:rFonts w:ascii="Arial" w:hAnsi="Arial" w:cs="Arial"/>
          <w:color w:val="000000" w:themeColor="text1"/>
          <w:sz w:val="20"/>
          <w:szCs w:val="20"/>
        </w:rPr>
        <w:t xml:space="preserve">При проведении ДЭТ необходимо использовать </w:t>
      </w:r>
      <w:r w:rsidR="008665C0" w:rsidRPr="00AD12DE">
        <w:rPr>
          <w:rFonts w:ascii="Arial" w:hAnsi="Arial" w:cs="Arial"/>
          <w:color w:val="000000" w:themeColor="text1"/>
          <w:sz w:val="20"/>
          <w:szCs w:val="20"/>
        </w:rPr>
        <w:t xml:space="preserve">следующие </w:t>
      </w:r>
      <w:r w:rsidRPr="00AD12DE">
        <w:rPr>
          <w:rFonts w:ascii="Arial" w:hAnsi="Arial" w:cs="Arial"/>
          <w:color w:val="000000" w:themeColor="text1"/>
          <w:sz w:val="20"/>
          <w:szCs w:val="20"/>
        </w:rPr>
        <w:t>средства индивидуальной защиты (СИЗ)</w:t>
      </w:r>
      <w:r w:rsidR="008665C0" w:rsidRPr="00AD12DE">
        <w:rPr>
          <w:rFonts w:ascii="Arial" w:hAnsi="Arial" w:cs="Arial"/>
          <w:color w:val="000000" w:themeColor="text1"/>
          <w:sz w:val="20"/>
          <w:szCs w:val="20"/>
        </w:rPr>
        <w:t>:</w:t>
      </w:r>
      <w:r w:rsidRPr="00AD12DE">
        <w:rPr>
          <w:rFonts w:ascii="Arial" w:hAnsi="Arial" w:cs="Arial"/>
          <w:color w:val="000000" w:themeColor="text1"/>
          <w:sz w:val="20"/>
          <w:szCs w:val="20"/>
        </w:rPr>
        <w:t xml:space="preserve"> перчатки, средства защиты глаз, медицинскую маску (или респиратор, если тест проводится сразу после взятия пробы) и халат.</w:t>
      </w:r>
    </w:p>
    <w:p w14:paraId="069DBEDC" w14:textId="77777777" w:rsidR="008A1B65" w:rsidRPr="00AD12DE" w:rsidRDefault="008A1B65" w:rsidP="00116D17">
      <w:pPr>
        <w:pStyle w:val="ListParagraph"/>
        <w:rPr>
          <w:rFonts w:ascii="Arial" w:hAnsi="Arial" w:cs="Arial"/>
          <w:color w:val="000000" w:themeColor="text1"/>
          <w:sz w:val="20"/>
          <w:szCs w:val="20"/>
        </w:rPr>
      </w:pPr>
    </w:p>
    <w:p w14:paraId="6C221C0A" w14:textId="77777777" w:rsidR="005E5491" w:rsidRPr="00AD12DE" w:rsidRDefault="005E5491" w:rsidP="00116D17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AD12DE">
        <w:rPr>
          <w:rFonts w:ascii="Arial" w:hAnsi="Arial" w:cs="Arial"/>
          <w:b/>
          <w:color w:val="000000" w:themeColor="text1"/>
          <w:sz w:val="20"/>
          <w:szCs w:val="20"/>
        </w:rPr>
        <w:t>Какие особые меры предосторожности следует соблюдать во время тестирования?</w:t>
      </w:r>
    </w:p>
    <w:p w14:paraId="739AA517" w14:textId="3B2E40FA" w:rsidR="009F0E03" w:rsidRPr="00AD12DE" w:rsidRDefault="009F0E03" w:rsidP="00116D17">
      <w:pPr>
        <w:pStyle w:val="ListParagrap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AD12DE">
        <w:rPr>
          <w:rFonts w:ascii="Arial" w:hAnsi="Arial" w:cs="Arial"/>
          <w:color w:val="000000" w:themeColor="text1"/>
          <w:sz w:val="20"/>
          <w:szCs w:val="20"/>
        </w:rPr>
        <w:t xml:space="preserve">Строго </w:t>
      </w:r>
      <w:r w:rsidR="008665C0" w:rsidRPr="00AD12DE">
        <w:rPr>
          <w:rFonts w:ascii="Arial" w:hAnsi="Arial" w:cs="Arial"/>
          <w:color w:val="000000" w:themeColor="text1"/>
          <w:sz w:val="20"/>
          <w:szCs w:val="20"/>
        </w:rPr>
        <w:t>выполняйте</w:t>
      </w:r>
      <w:r w:rsidRPr="00AD12DE">
        <w:rPr>
          <w:rFonts w:ascii="Arial" w:hAnsi="Arial" w:cs="Arial"/>
          <w:color w:val="000000" w:themeColor="text1"/>
          <w:sz w:val="20"/>
          <w:szCs w:val="20"/>
        </w:rPr>
        <w:t xml:space="preserve"> инструкции по использованию от производителя и стандартны</w:t>
      </w:r>
      <w:r w:rsidR="008665C0" w:rsidRPr="00AD12DE">
        <w:rPr>
          <w:rFonts w:ascii="Arial" w:hAnsi="Arial" w:cs="Arial"/>
          <w:color w:val="000000" w:themeColor="text1"/>
          <w:sz w:val="20"/>
          <w:szCs w:val="20"/>
        </w:rPr>
        <w:t>е</w:t>
      </w:r>
      <w:r w:rsidRPr="00AD12DE">
        <w:rPr>
          <w:rFonts w:ascii="Arial" w:hAnsi="Arial" w:cs="Arial"/>
          <w:color w:val="000000" w:themeColor="text1"/>
          <w:sz w:val="20"/>
          <w:szCs w:val="20"/>
        </w:rPr>
        <w:t xml:space="preserve"> операционны</w:t>
      </w:r>
      <w:r w:rsidR="008665C0" w:rsidRPr="00AD12DE">
        <w:rPr>
          <w:rFonts w:ascii="Arial" w:hAnsi="Arial" w:cs="Arial"/>
          <w:color w:val="000000" w:themeColor="text1"/>
          <w:sz w:val="20"/>
          <w:szCs w:val="20"/>
        </w:rPr>
        <w:t>е</w:t>
      </w:r>
      <w:r w:rsidRPr="00AD12DE">
        <w:rPr>
          <w:rFonts w:ascii="Arial" w:hAnsi="Arial" w:cs="Arial"/>
          <w:color w:val="000000" w:themeColor="text1"/>
          <w:sz w:val="20"/>
          <w:szCs w:val="20"/>
        </w:rPr>
        <w:t xml:space="preserve"> процедур</w:t>
      </w:r>
      <w:r w:rsidR="008665C0" w:rsidRPr="00AD12DE">
        <w:rPr>
          <w:rFonts w:ascii="Arial" w:hAnsi="Arial" w:cs="Arial"/>
          <w:color w:val="000000" w:themeColor="text1"/>
          <w:sz w:val="20"/>
          <w:szCs w:val="20"/>
        </w:rPr>
        <w:t>ы</w:t>
      </w:r>
      <w:r w:rsidRPr="00AD12DE">
        <w:rPr>
          <w:rFonts w:ascii="Arial" w:hAnsi="Arial" w:cs="Arial"/>
          <w:color w:val="000000" w:themeColor="text1"/>
          <w:sz w:val="20"/>
          <w:szCs w:val="20"/>
        </w:rPr>
        <w:t xml:space="preserve"> (СОП).</w:t>
      </w:r>
    </w:p>
    <w:p w14:paraId="35D3E50B" w14:textId="77777777" w:rsidR="008A1B65" w:rsidRPr="00AD12DE" w:rsidRDefault="008A1B65" w:rsidP="00116D17">
      <w:pPr>
        <w:pStyle w:val="ListParagraph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7AFC1229" w14:textId="77777777" w:rsidR="005E767E" w:rsidRPr="005E767E" w:rsidRDefault="005E767E" w:rsidP="005E767E">
      <w:pPr>
        <w:numPr>
          <w:ilvl w:val="0"/>
          <w:numId w:val="24"/>
        </w:numPr>
        <w:rPr>
          <w:rFonts w:ascii="Arial" w:hAnsi="Arial" w:cs="Arial"/>
          <w:b/>
          <w:color w:val="000000" w:themeColor="text1"/>
          <w:sz w:val="20"/>
          <w:szCs w:val="20"/>
        </w:rPr>
      </w:pPr>
      <w:r w:rsidRPr="005E767E">
        <w:rPr>
          <w:rFonts w:ascii="Arial" w:hAnsi="Arial" w:cs="Arial"/>
          <w:b/>
          <w:bCs/>
          <w:color w:val="000000" w:themeColor="text1"/>
          <w:sz w:val="20"/>
          <w:szCs w:val="20"/>
        </w:rPr>
        <w:t>Как следует утилизировать отходы (например, использованные наборы, контейнеры для проб и т. п.)?</w:t>
      </w:r>
      <w:r w:rsidRPr="005E767E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 </w:t>
      </w:r>
    </w:p>
    <w:p w14:paraId="3351AEA6" w14:textId="77777777" w:rsidR="005E767E" w:rsidRPr="005E767E" w:rsidRDefault="005E767E" w:rsidP="005E767E">
      <w:pPr>
        <w:rPr>
          <w:rFonts w:ascii="Arial" w:hAnsi="Arial" w:cs="Arial"/>
          <w:bCs/>
          <w:color w:val="000000" w:themeColor="text1"/>
          <w:sz w:val="20"/>
          <w:szCs w:val="20"/>
        </w:rPr>
      </w:pPr>
      <w:r w:rsidRPr="005E767E">
        <w:rPr>
          <w:rFonts w:ascii="Arial" w:hAnsi="Arial" w:cs="Arial"/>
          <w:bCs/>
          <w:color w:val="000000" w:themeColor="text1"/>
          <w:sz w:val="20"/>
          <w:szCs w:val="20"/>
        </w:rPr>
        <w:t>Если в инструкции по использованию теста не указано иное, все отходы, образующиеся при проведении тестирования образцов от подозреваемых или подтвержденных случаев COVID-19, должны рассматриваться как опасные биологические отходы, и с ними следует обращаться в соответствии с действующими местными правилами.</w:t>
      </w:r>
      <w:r w:rsidRPr="005E767E">
        <w:rPr>
          <w:rFonts w:ascii="Arial" w:hAnsi="Arial" w:cs="Arial"/>
          <w:bCs/>
          <w:color w:val="000000" w:themeColor="text1"/>
          <w:sz w:val="20"/>
          <w:szCs w:val="20"/>
          <w:lang w:val="en-GB"/>
        </w:rPr>
        <w:t> </w:t>
      </w:r>
    </w:p>
    <w:p w14:paraId="5FA5E49A" w14:textId="77777777" w:rsidR="005E767E" w:rsidRPr="005E767E" w:rsidRDefault="005E767E" w:rsidP="005E767E">
      <w:pPr>
        <w:rPr>
          <w:rFonts w:ascii="Arial" w:hAnsi="Arial" w:cs="Arial"/>
          <w:bCs/>
          <w:color w:val="000000" w:themeColor="text1"/>
          <w:sz w:val="20"/>
          <w:szCs w:val="20"/>
        </w:rPr>
      </w:pPr>
      <w:r w:rsidRPr="005E767E">
        <w:rPr>
          <w:rFonts w:ascii="Arial" w:hAnsi="Arial" w:cs="Arial"/>
          <w:bCs/>
          <w:color w:val="000000" w:themeColor="text1"/>
          <w:sz w:val="20"/>
          <w:szCs w:val="20"/>
        </w:rPr>
        <w:t>Необходимо учитывать, что экстракционные буферы в составе некоторых наборов ДЭТ при их использовании в соответствии с инструкцией производителя инактивируют вирус SARS-CoV-2 при контакте образца с буфером в экстракционной пробирке. Информацию о соответствующих процедурах по утилизации отходов можно найти в инструкции производителя.</w:t>
      </w:r>
      <w:r w:rsidRPr="005E767E">
        <w:rPr>
          <w:rFonts w:ascii="Arial" w:hAnsi="Arial" w:cs="Arial"/>
          <w:bCs/>
          <w:color w:val="000000" w:themeColor="text1"/>
          <w:sz w:val="20"/>
          <w:szCs w:val="20"/>
          <w:lang w:val="en-GB"/>
        </w:rPr>
        <w:t> </w:t>
      </w:r>
    </w:p>
    <w:p w14:paraId="106A7E73" w14:textId="77777777" w:rsidR="008665C0" w:rsidRPr="00AD12DE" w:rsidRDefault="008665C0" w:rsidP="008665C0">
      <w:pPr>
        <w:rPr>
          <w:rFonts w:ascii="Arial" w:hAnsi="Arial" w:cs="Arial"/>
          <w:sz w:val="20"/>
          <w:szCs w:val="20"/>
        </w:rPr>
      </w:pPr>
      <w:r w:rsidRPr="00AD12DE">
        <w:rPr>
          <w:rFonts w:ascii="Arial" w:hAnsi="Arial" w:cs="Arial"/>
          <w:sz w:val="20"/>
          <w:szCs w:val="20"/>
        </w:rPr>
        <w:br w:type="page"/>
      </w:r>
    </w:p>
    <w:p w14:paraId="5D48DE4A" w14:textId="1AECFB1E" w:rsidR="005E5491" w:rsidRPr="00AE42D7" w:rsidRDefault="005E5491" w:rsidP="00AE42D7">
      <w:pPr>
        <w:pStyle w:val="Heading2"/>
        <w:keepLines w:val="0"/>
        <w:spacing w:before="480" w:after="160" w:line="276" w:lineRule="auto"/>
        <w:rPr>
          <w:rFonts w:ascii="Arial" w:hAnsi="Arial" w:cs="Arial"/>
          <w:b/>
          <w:bCs/>
          <w:color w:val="auto"/>
          <w:sz w:val="26"/>
          <w:szCs w:val="26"/>
        </w:rPr>
      </w:pPr>
      <w:r w:rsidRPr="00AE42D7">
        <w:rPr>
          <w:rFonts w:ascii="Arial" w:hAnsi="Arial"/>
          <w:b/>
          <w:color w:val="auto"/>
          <w:sz w:val="26"/>
        </w:rPr>
        <w:lastRenderedPageBreak/>
        <w:t>До тестирования</w:t>
      </w:r>
    </w:p>
    <w:p w14:paraId="4F84B54B" w14:textId="77777777" w:rsidR="005E5491" w:rsidRPr="008665C0" w:rsidRDefault="00F53D28" w:rsidP="008665C0">
      <w:pPr>
        <w:pStyle w:val="ListParagraph"/>
        <w:numPr>
          <w:ilvl w:val="0"/>
          <w:numId w:val="1"/>
        </w:numPr>
        <w:rPr>
          <w:rFonts w:ascii="Arial" w:hAnsi="Arial"/>
          <w:b/>
          <w:sz w:val="20"/>
        </w:rPr>
      </w:pPr>
      <w:r w:rsidRPr="00AE42D7">
        <w:rPr>
          <w:rFonts w:ascii="Arial" w:hAnsi="Arial"/>
          <w:b/>
          <w:sz w:val="20"/>
        </w:rPr>
        <w:t>Как следует хранить набор реагентов?</w:t>
      </w:r>
    </w:p>
    <w:p w14:paraId="312BD41D" w14:textId="09C743F9" w:rsidR="00F53D28" w:rsidRPr="00AE42D7" w:rsidRDefault="00C75714" w:rsidP="00116D17">
      <w:pPr>
        <w:pStyle w:val="ListParagraph"/>
        <w:rPr>
          <w:rFonts w:ascii="Arial" w:hAnsi="Arial" w:cs="Arial"/>
          <w:bCs/>
          <w:sz w:val="20"/>
          <w:szCs w:val="20"/>
        </w:rPr>
      </w:pPr>
      <w:r w:rsidRPr="00AE42D7">
        <w:rPr>
          <w:rFonts w:ascii="Arial" w:hAnsi="Arial"/>
          <w:sz w:val="20"/>
        </w:rPr>
        <w:t xml:space="preserve">Следуйте инструкциям производителя, как правило, они </w:t>
      </w:r>
      <w:r w:rsidR="008665C0">
        <w:rPr>
          <w:rFonts w:ascii="Arial" w:hAnsi="Arial"/>
          <w:sz w:val="20"/>
        </w:rPr>
        <w:t>напечатаны</w:t>
      </w:r>
      <w:r w:rsidRPr="00AE42D7">
        <w:rPr>
          <w:rFonts w:ascii="Arial" w:hAnsi="Arial"/>
          <w:sz w:val="20"/>
        </w:rPr>
        <w:t xml:space="preserve"> на боковой стороне коробки с набор</w:t>
      </w:r>
      <w:r w:rsidR="008665C0">
        <w:rPr>
          <w:rFonts w:ascii="Arial" w:hAnsi="Arial"/>
          <w:sz w:val="20"/>
        </w:rPr>
        <w:t>ом</w:t>
      </w:r>
      <w:r w:rsidRPr="00AE42D7">
        <w:rPr>
          <w:rFonts w:ascii="Arial" w:hAnsi="Arial"/>
          <w:sz w:val="20"/>
        </w:rPr>
        <w:t xml:space="preserve">. Обычно набор реагентов следует хранить при температуре 2–30 °C </w:t>
      </w:r>
      <w:r w:rsidR="00664BB7">
        <w:rPr>
          <w:rFonts w:ascii="Arial" w:hAnsi="Arial"/>
          <w:sz w:val="20"/>
        </w:rPr>
        <w:br/>
        <w:t>(</w:t>
      </w:r>
      <w:r w:rsidRPr="00AE42D7">
        <w:rPr>
          <w:rFonts w:ascii="Arial" w:hAnsi="Arial"/>
          <w:sz w:val="20"/>
        </w:rPr>
        <w:t>36–86 °F</w:t>
      </w:r>
      <w:r w:rsidR="00664BB7">
        <w:rPr>
          <w:rFonts w:ascii="Arial" w:hAnsi="Arial"/>
          <w:sz w:val="20"/>
        </w:rPr>
        <w:t>)</w:t>
      </w:r>
      <w:r w:rsidRPr="00AE42D7">
        <w:rPr>
          <w:rFonts w:ascii="Arial" w:hAnsi="Arial"/>
          <w:sz w:val="20"/>
        </w:rPr>
        <w:t xml:space="preserve"> вне прямых солнечных лучей.</w:t>
      </w:r>
    </w:p>
    <w:p w14:paraId="161116E5" w14:textId="77777777" w:rsidR="008A1B65" w:rsidRPr="00AE42D7" w:rsidRDefault="008A1B65" w:rsidP="00116D17">
      <w:pPr>
        <w:pStyle w:val="ListParagraph"/>
        <w:rPr>
          <w:rFonts w:ascii="Arial" w:hAnsi="Arial" w:cs="Arial"/>
          <w:bCs/>
          <w:sz w:val="20"/>
          <w:szCs w:val="20"/>
        </w:rPr>
      </w:pPr>
    </w:p>
    <w:p w14:paraId="79753C84" w14:textId="617EC5DC" w:rsidR="005E5491" w:rsidRPr="00AE42D7" w:rsidRDefault="005E5491" w:rsidP="00116D17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0"/>
          <w:szCs w:val="20"/>
        </w:rPr>
      </w:pPr>
      <w:r w:rsidRPr="00AE42D7">
        <w:rPr>
          <w:rFonts w:ascii="Arial" w:hAnsi="Arial"/>
          <w:b/>
          <w:sz w:val="20"/>
        </w:rPr>
        <w:t>Каков срок хранения набора реагентов?</w:t>
      </w:r>
    </w:p>
    <w:p w14:paraId="4D9DBBAB" w14:textId="5A949496" w:rsidR="008A1B65" w:rsidRPr="00AE42D7" w:rsidRDefault="00F53D28" w:rsidP="00116D17">
      <w:pPr>
        <w:pStyle w:val="ListParagraph"/>
      </w:pPr>
      <w:r w:rsidRPr="00AE42D7">
        <w:rPr>
          <w:rFonts w:ascii="Arial" w:hAnsi="Arial"/>
          <w:sz w:val="20"/>
        </w:rPr>
        <w:t xml:space="preserve">Материалы набора хранят до даты истечения </w:t>
      </w:r>
      <w:r w:rsidR="008665C0">
        <w:rPr>
          <w:rFonts w:ascii="Arial" w:hAnsi="Arial"/>
          <w:sz w:val="20"/>
        </w:rPr>
        <w:t>с</w:t>
      </w:r>
      <w:r w:rsidRPr="00AE42D7">
        <w:rPr>
          <w:rFonts w:ascii="Arial" w:hAnsi="Arial"/>
          <w:sz w:val="20"/>
        </w:rPr>
        <w:t>рока годности, она напечатана на внешней коробке. Как правило, срок годности составляет 12 месяцев от даты изготовления.</w:t>
      </w:r>
    </w:p>
    <w:p w14:paraId="0D6B4F56" w14:textId="77777777" w:rsidR="005E5491" w:rsidRPr="00AE42D7" w:rsidRDefault="005E5491" w:rsidP="00116D17">
      <w:pPr>
        <w:pStyle w:val="Heading2"/>
        <w:keepNext w:val="0"/>
        <w:keepLines w:val="0"/>
        <w:spacing w:before="480" w:after="160" w:line="276" w:lineRule="auto"/>
        <w:rPr>
          <w:rFonts w:ascii="Arial" w:hAnsi="Arial" w:cs="Arial"/>
          <w:b/>
          <w:bCs/>
          <w:color w:val="auto"/>
          <w:sz w:val="26"/>
          <w:szCs w:val="26"/>
        </w:rPr>
      </w:pPr>
      <w:r w:rsidRPr="00AE42D7">
        <w:rPr>
          <w:rFonts w:ascii="Arial" w:hAnsi="Arial"/>
          <w:b/>
          <w:color w:val="auto"/>
          <w:sz w:val="26"/>
        </w:rPr>
        <w:t>Тестирование</w:t>
      </w:r>
    </w:p>
    <w:p w14:paraId="68CF4898" w14:textId="77777777" w:rsidR="00EE2C25" w:rsidRPr="00AE42D7" w:rsidRDefault="00EE2C25" w:rsidP="00116D17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0"/>
          <w:szCs w:val="20"/>
        </w:rPr>
      </w:pPr>
      <w:r w:rsidRPr="00AE42D7">
        <w:rPr>
          <w:rFonts w:ascii="Arial" w:hAnsi="Arial"/>
          <w:b/>
          <w:sz w:val="20"/>
        </w:rPr>
        <w:t>Какое количество пробы следует использовать?</w:t>
      </w:r>
    </w:p>
    <w:p w14:paraId="33B60AFC" w14:textId="049355EA" w:rsidR="005E7E1C" w:rsidRPr="00AE42D7" w:rsidRDefault="00C84E9E" w:rsidP="00116D17">
      <w:pPr>
        <w:pStyle w:val="ListParagraph"/>
        <w:spacing w:after="0"/>
        <w:rPr>
          <w:rFonts w:ascii="Arial" w:hAnsi="Arial" w:cs="Arial"/>
          <w:bCs/>
          <w:sz w:val="20"/>
          <w:szCs w:val="20"/>
        </w:rPr>
      </w:pPr>
      <w:r w:rsidRPr="00AE42D7">
        <w:rPr>
          <w:rFonts w:ascii="Arial" w:hAnsi="Arial"/>
          <w:sz w:val="20"/>
        </w:rPr>
        <w:t>Следуйте инструкциям по использованию от производителя.</w:t>
      </w:r>
    </w:p>
    <w:p w14:paraId="1689FCBB" w14:textId="77777777" w:rsidR="008A1B65" w:rsidRPr="00AE42D7" w:rsidRDefault="008A1B65" w:rsidP="00664BB7">
      <w:pPr>
        <w:pStyle w:val="ListParagraph"/>
        <w:rPr>
          <w:rFonts w:ascii="Arial" w:hAnsi="Arial" w:cs="Arial"/>
          <w:bCs/>
          <w:sz w:val="20"/>
          <w:szCs w:val="20"/>
        </w:rPr>
      </w:pPr>
    </w:p>
    <w:p w14:paraId="4C2A11FB" w14:textId="13A65FD3" w:rsidR="00EE2C25" w:rsidRPr="00AE42D7" w:rsidRDefault="00EE2C25" w:rsidP="00116D17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0"/>
          <w:szCs w:val="20"/>
        </w:rPr>
      </w:pPr>
      <w:r w:rsidRPr="00AE42D7">
        <w:rPr>
          <w:rFonts w:ascii="Arial" w:hAnsi="Arial"/>
          <w:b/>
          <w:sz w:val="20"/>
        </w:rPr>
        <w:t>Что делать, если я добавил</w:t>
      </w:r>
      <w:r w:rsidR="00ED6E95" w:rsidRPr="006B621C">
        <w:rPr>
          <w:rFonts w:ascii="Arial" w:hAnsi="Arial"/>
          <w:b/>
          <w:sz w:val="20"/>
        </w:rPr>
        <w:t>/</w:t>
      </w:r>
      <w:r w:rsidR="008665C0">
        <w:rPr>
          <w:rFonts w:ascii="Arial" w:hAnsi="Arial"/>
          <w:b/>
          <w:sz w:val="20"/>
        </w:rPr>
        <w:t>а</w:t>
      </w:r>
      <w:r w:rsidRPr="00AE42D7">
        <w:rPr>
          <w:rFonts w:ascii="Arial" w:hAnsi="Arial"/>
          <w:b/>
          <w:sz w:val="20"/>
        </w:rPr>
        <w:t xml:space="preserve"> слишком много или слишком мало пробы?</w:t>
      </w:r>
    </w:p>
    <w:p w14:paraId="07D1A720" w14:textId="60DFBE9E" w:rsidR="00EE2C25" w:rsidRPr="00AE42D7" w:rsidRDefault="00E71108" w:rsidP="00116D17">
      <w:pPr>
        <w:pStyle w:val="ListParagraph"/>
        <w:rPr>
          <w:rFonts w:ascii="Arial" w:hAnsi="Arial" w:cs="Arial"/>
          <w:bCs/>
          <w:sz w:val="20"/>
          <w:szCs w:val="20"/>
        </w:rPr>
      </w:pPr>
      <w:r w:rsidRPr="00AE42D7">
        <w:rPr>
          <w:rFonts w:ascii="Arial" w:hAnsi="Arial"/>
          <w:sz w:val="20"/>
        </w:rPr>
        <w:t>Если вы добавили слишком много или слишком мало пробы, то это может помешать правильной работе устройства</w:t>
      </w:r>
      <w:r w:rsidR="008665C0">
        <w:rPr>
          <w:rFonts w:ascii="Arial" w:hAnsi="Arial"/>
          <w:sz w:val="20"/>
        </w:rPr>
        <w:t xml:space="preserve"> и привести</w:t>
      </w:r>
      <w:r w:rsidRPr="00AE42D7">
        <w:rPr>
          <w:rFonts w:ascii="Arial" w:hAnsi="Arial"/>
          <w:sz w:val="20"/>
        </w:rPr>
        <w:t xml:space="preserve"> к недостоверному результату или результату, который трудно считать.</w:t>
      </w:r>
    </w:p>
    <w:p w14:paraId="1DDCAF7C" w14:textId="77777777" w:rsidR="008A1B65" w:rsidRPr="00AE42D7" w:rsidRDefault="008A1B65" w:rsidP="00116D17">
      <w:pPr>
        <w:pStyle w:val="ListParagraph"/>
        <w:rPr>
          <w:rFonts w:ascii="Arial" w:hAnsi="Arial" w:cs="Arial"/>
          <w:bCs/>
          <w:sz w:val="20"/>
          <w:szCs w:val="20"/>
        </w:rPr>
      </w:pPr>
    </w:p>
    <w:p w14:paraId="11053C89" w14:textId="19A442D4" w:rsidR="00F43E3E" w:rsidRPr="00AE42D7" w:rsidRDefault="00F43E3E" w:rsidP="00116D17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b/>
          <w:bCs/>
          <w:sz w:val="20"/>
          <w:szCs w:val="20"/>
        </w:rPr>
      </w:pPr>
      <w:r w:rsidRPr="00AE42D7">
        <w:rPr>
          <w:rFonts w:ascii="Arial" w:hAnsi="Arial"/>
          <w:b/>
          <w:sz w:val="20"/>
        </w:rPr>
        <w:t>Какие факторы могут повлиять на качество теста?</w:t>
      </w:r>
    </w:p>
    <w:p w14:paraId="10F0194E" w14:textId="230E7153" w:rsidR="00962C24" w:rsidRPr="00AE42D7" w:rsidRDefault="00F41641" w:rsidP="00116D17">
      <w:pPr>
        <w:pStyle w:val="ListParagraph"/>
        <w:numPr>
          <w:ilvl w:val="0"/>
          <w:numId w:val="8"/>
        </w:numPr>
        <w:ind w:left="1134" w:hanging="283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hAnsi="Arial"/>
          <w:sz w:val="20"/>
        </w:rPr>
        <w:t>К</w:t>
      </w:r>
      <w:r w:rsidR="00962C24" w:rsidRPr="00AE42D7">
        <w:rPr>
          <w:rFonts w:ascii="Arial" w:hAnsi="Arial"/>
          <w:sz w:val="20"/>
        </w:rPr>
        <w:t>ачество пробы</w:t>
      </w:r>
    </w:p>
    <w:p w14:paraId="66078E64" w14:textId="316F71CB" w:rsidR="00962C24" w:rsidRPr="00AE42D7" w:rsidRDefault="00F41641" w:rsidP="00116D17">
      <w:pPr>
        <w:pStyle w:val="ListParagraph"/>
        <w:numPr>
          <w:ilvl w:val="0"/>
          <w:numId w:val="8"/>
        </w:numPr>
        <w:ind w:left="1134" w:hanging="283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hAnsi="Arial"/>
          <w:sz w:val="20"/>
        </w:rPr>
        <w:t>И</w:t>
      </w:r>
      <w:r w:rsidR="00962C24" w:rsidRPr="00AE42D7">
        <w:rPr>
          <w:rFonts w:ascii="Arial" w:hAnsi="Arial"/>
          <w:sz w:val="20"/>
        </w:rPr>
        <w:t>спользование</w:t>
      </w:r>
      <w:r w:rsidR="003F0846">
        <w:rPr>
          <w:rFonts w:ascii="Arial" w:hAnsi="Arial"/>
          <w:sz w:val="20"/>
        </w:rPr>
        <w:t xml:space="preserve"> просроченных</w:t>
      </w:r>
      <w:r w:rsidR="00962C24" w:rsidRPr="00AE42D7">
        <w:rPr>
          <w:rFonts w:ascii="Arial" w:hAnsi="Arial"/>
          <w:sz w:val="20"/>
        </w:rPr>
        <w:t xml:space="preserve"> наборов для тестирования</w:t>
      </w:r>
    </w:p>
    <w:p w14:paraId="4AEE6FFD" w14:textId="4AF22294" w:rsidR="00962C24" w:rsidRPr="00AE42D7" w:rsidRDefault="00F41641" w:rsidP="00116D17">
      <w:pPr>
        <w:pStyle w:val="ListParagraph"/>
        <w:numPr>
          <w:ilvl w:val="0"/>
          <w:numId w:val="8"/>
        </w:numPr>
        <w:ind w:left="1134" w:hanging="283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hAnsi="Arial"/>
          <w:sz w:val="20"/>
        </w:rPr>
        <w:t>Н</w:t>
      </w:r>
      <w:r w:rsidR="003F0846">
        <w:rPr>
          <w:rFonts w:ascii="Arial" w:hAnsi="Arial"/>
          <w:sz w:val="20"/>
        </w:rPr>
        <w:t>евыполнение</w:t>
      </w:r>
      <w:r w:rsidR="00962C24" w:rsidRPr="00AE42D7">
        <w:rPr>
          <w:rFonts w:ascii="Arial" w:hAnsi="Arial"/>
          <w:sz w:val="20"/>
        </w:rPr>
        <w:t xml:space="preserve"> рекомендованных условий хранения наборов </w:t>
      </w:r>
    </w:p>
    <w:p w14:paraId="4C76A3A0" w14:textId="24D8F511" w:rsidR="00F87EEA" w:rsidRPr="00AE42D7" w:rsidRDefault="00F41641" w:rsidP="00116D17">
      <w:pPr>
        <w:pStyle w:val="ListParagraph"/>
        <w:numPr>
          <w:ilvl w:val="0"/>
          <w:numId w:val="8"/>
        </w:numPr>
        <w:ind w:left="1134" w:hanging="283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hAnsi="Arial"/>
          <w:sz w:val="20"/>
        </w:rPr>
        <w:t>Н</w:t>
      </w:r>
      <w:r w:rsidR="00F87EEA" w:rsidRPr="00AE42D7">
        <w:rPr>
          <w:rFonts w:ascii="Arial" w:hAnsi="Arial"/>
          <w:sz w:val="20"/>
        </w:rPr>
        <w:t xml:space="preserve">екачественная упаковка </w:t>
      </w:r>
      <w:r w:rsidR="003F0846" w:rsidRPr="003F0846">
        <w:rPr>
          <w:rFonts w:ascii="Arial" w:hAnsi="Arial"/>
          <w:sz w:val="20"/>
        </w:rPr>
        <w:t>при транспортировке</w:t>
      </w:r>
    </w:p>
    <w:p w14:paraId="384B18B3" w14:textId="1BD27ADB" w:rsidR="00962C24" w:rsidRPr="00AE42D7" w:rsidRDefault="00F41641" w:rsidP="00116D17">
      <w:pPr>
        <w:pStyle w:val="ListParagraph"/>
        <w:numPr>
          <w:ilvl w:val="0"/>
          <w:numId w:val="8"/>
        </w:numPr>
        <w:ind w:left="1134" w:hanging="283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hAnsi="Arial"/>
          <w:sz w:val="20"/>
        </w:rPr>
        <w:t>Н</w:t>
      </w:r>
      <w:r w:rsidR="00962C24" w:rsidRPr="00AE42D7">
        <w:rPr>
          <w:rFonts w:ascii="Arial" w:hAnsi="Arial"/>
          <w:sz w:val="20"/>
        </w:rPr>
        <w:t>есоблюдение инструкций по использованию</w:t>
      </w:r>
    </w:p>
    <w:p w14:paraId="0E8348DE" w14:textId="77777777" w:rsidR="008A1B65" w:rsidRPr="00AE42D7" w:rsidRDefault="008A1B65" w:rsidP="00116D17">
      <w:pPr>
        <w:pStyle w:val="ListParagraph"/>
        <w:ind w:left="1134"/>
        <w:rPr>
          <w:rFonts w:ascii="Arial" w:eastAsia="Times New Roman" w:hAnsi="Arial" w:cs="Arial"/>
          <w:bCs/>
          <w:sz w:val="20"/>
          <w:szCs w:val="20"/>
        </w:rPr>
      </w:pPr>
    </w:p>
    <w:p w14:paraId="33FF520F" w14:textId="77777777" w:rsidR="00EE2C25" w:rsidRPr="00AE42D7" w:rsidRDefault="00EE2C25" w:rsidP="00116D17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0"/>
          <w:szCs w:val="20"/>
        </w:rPr>
      </w:pPr>
      <w:r w:rsidRPr="00AE42D7">
        <w:rPr>
          <w:rFonts w:ascii="Arial" w:hAnsi="Arial"/>
          <w:b/>
          <w:sz w:val="20"/>
        </w:rPr>
        <w:t>Как долго следует инкубировать тест перед считыванием результата?</w:t>
      </w:r>
    </w:p>
    <w:p w14:paraId="64FBEAC7" w14:textId="33B2E618" w:rsidR="00B20782" w:rsidRPr="00AE42D7" w:rsidRDefault="00E253CF" w:rsidP="00116D17">
      <w:pPr>
        <w:pStyle w:val="ListParagraph"/>
        <w:rPr>
          <w:rFonts w:ascii="Arial" w:hAnsi="Arial" w:cs="Arial"/>
          <w:bCs/>
          <w:sz w:val="20"/>
          <w:szCs w:val="20"/>
        </w:rPr>
      </w:pPr>
      <w:r w:rsidRPr="00AE42D7">
        <w:rPr>
          <w:rFonts w:ascii="Arial" w:hAnsi="Arial"/>
          <w:sz w:val="20"/>
        </w:rPr>
        <w:t>Следуйте инструкциям по использованию от производителя. Как правило, результаты считывают через 10–30 минут. Не считывайте результаты после истечения максимального периода времени, у</w:t>
      </w:r>
      <w:r w:rsidR="003F0846">
        <w:rPr>
          <w:rFonts w:ascii="Arial" w:hAnsi="Arial"/>
          <w:sz w:val="20"/>
        </w:rPr>
        <w:t>казан</w:t>
      </w:r>
      <w:r w:rsidRPr="00AE42D7">
        <w:rPr>
          <w:rFonts w:ascii="Arial" w:hAnsi="Arial"/>
          <w:sz w:val="20"/>
        </w:rPr>
        <w:t>ного производителем, так как результаты тест</w:t>
      </w:r>
      <w:r w:rsidR="003F0846">
        <w:rPr>
          <w:rFonts w:ascii="Arial" w:hAnsi="Arial"/>
          <w:sz w:val="20"/>
        </w:rPr>
        <w:t>а</w:t>
      </w:r>
      <w:r w:rsidRPr="00AE42D7">
        <w:rPr>
          <w:rFonts w:ascii="Arial" w:hAnsi="Arial"/>
          <w:sz w:val="20"/>
        </w:rPr>
        <w:t xml:space="preserve"> в таких ситуациях будут ненадёжными, они могут быть ложноположительными или ложноотрицательными. При любых сомнениях тестирование следует повторить.</w:t>
      </w:r>
    </w:p>
    <w:p w14:paraId="2F6AD2A0" w14:textId="77777777" w:rsidR="00325BD9" w:rsidRPr="00AE42D7" w:rsidRDefault="00325BD9" w:rsidP="00116D17">
      <w:pPr>
        <w:pStyle w:val="Heading2"/>
        <w:keepLines w:val="0"/>
        <w:spacing w:before="480" w:after="160" w:line="276" w:lineRule="auto"/>
        <w:rPr>
          <w:rFonts w:ascii="Arial" w:hAnsi="Arial" w:cs="Arial"/>
          <w:b/>
          <w:bCs/>
          <w:color w:val="auto"/>
          <w:sz w:val="26"/>
          <w:szCs w:val="26"/>
        </w:rPr>
      </w:pPr>
      <w:r w:rsidRPr="00AE42D7">
        <w:rPr>
          <w:rFonts w:ascii="Arial" w:hAnsi="Arial"/>
          <w:b/>
          <w:color w:val="auto"/>
          <w:sz w:val="26"/>
        </w:rPr>
        <w:t>Интерпретация результатов</w:t>
      </w:r>
    </w:p>
    <w:p w14:paraId="301F010B" w14:textId="63FB1272" w:rsidR="00584997" w:rsidRPr="008665C0" w:rsidRDefault="00584997" w:rsidP="008665C0">
      <w:pPr>
        <w:pStyle w:val="ListParagraph"/>
        <w:numPr>
          <w:ilvl w:val="0"/>
          <w:numId w:val="1"/>
        </w:numPr>
        <w:rPr>
          <w:rFonts w:ascii="Arial" w:hAnsi="Arial"/>
          <w:b/>
          <w:sz w:val="20"/>
        </w:rPr>
      </w:pPr>
      <w:r w:rsidRPr="00AE42D7">
        <w:rPr>
          <w:rFonts w:ascii="Arial" w:hAnsi="Arial"/>
          <w:b/>
          <w:sz w:val="20"/>
        </w:rPr>
        <w:t>Что означает недостоверный или неудачный результат ДЭТ на антигены?</w:t>
      </w:r>
    </w:p>
    <w:p w14:paraId="3077D053" w14:textId="61752DA7" w:rsidR="00584997" w:rsidRPr="00AE42D7" w:rsidRDefault="00584997" w:rsidP="00116D17">
      <w:pPr>
        <w:pStyle w:val="ListParagraph"/>
        <w:rPr>
          <w:rFonts w:ascii="Arial" w:hAnsi="Arial" w:cs="Arial"/>
          <w:sz w:val="20"/>
          <w:szCs w:val="20"/>
        </w:rPr>
      </w:pPr>
      <w:r w:rsidRPr="00AE42D7">
        <w:rPr>
          <w:rFonts w:ascii="Arial" w:hAnsi="Arial"/>
          <w:sz w:val="20"/>
        </w:rPr>
        <w:t xml:space="preserve">В некоторых случаях недостоверный или неудовлетворительный результат теста может быть следствием избыточного количества слизи в пробе, так как слизь мешает тестированию, или других проблем со взятием образца. В </w:t>
      </w:r>
      <w:r w:rsidR="003F0846">
        <w:rPr>
          <w:rFonts w:ascii="Arial" w:hAnsi="Arial"/>
          <w:sz w:val="20"/>
        </w:rPr>
        <w:t>таком</w:t>
      </w:r>
      <w:r w:rsidRPr="00AE42D7">
        <w:rPr>
          <w:rFonts w:ascii="Arial" w:hAnsi="Arial"/>
          <w:sz w:val="20"/>
        </w:rPr>
        <w:t xml:space="preserve"> случае следует повторно взять мазок и отправить его на тестирование на вирус SARS-CoV-2.</w:t>
      </w:r>
    </w:p>
    <w:p w14:paraId="2364E6F3" w14:textId="01836519" w:rsidR="00F41641" w:rsidRDefault="00F41641" w:rsidP="00116D17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F7FC502" w14:textId="4D09A75A" w:rsidR="00584997" w:rsidRPr="00AE42D7" w:rsidRDefault="00584997" w:rsidP="00116D17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0"/>
          <w:szCs w:val="20"/>
        </w:rPr>
      </w:pPr>
      <w:r w:rsidRPr="00AE42D7">
        <w:rPr>
          <w:rFonts w:ascii="Arial" w:hAnsi="Arial"/>
          <w:b/>
          <w:sz w:val="20"/>
        </w:rPr>
        <w:lastRenderedPageBreak/>
        <w:t>Может ли пациент с отрицательным результатом ДЭТ на антигены иметь заболевание COVID-19?</w:t>
      </w:r>
    </w:p>
    <w:p w14:paraId="76EE2499" w14:textId="6412D07A" w:rsidR="008A1B65" w:rsidRPr="00AE42D7" w:rsidRDefault="00584997" w:rsidP="00116D17">
      <w:pPr>
        <w:pStyle w:val="ListParagraph"/>
        <w:rPr>
          <w:rFonts w:ascii="Arial" w:hAnsi="Arial" w:cs="Arial"/>
          <w:sz w:val="20"/>
          <w:szCs w:val="20"/>
        </w:rPr>
      </w:pPr>
      <w:r w:rsidRPr="00AE42D7">
        <w:rPr>
          <w:rFonts w:ascii="Arial" w:hAnsi="Arial"/>
          <w:sz w:val="20"/>
        </w:rPr>
        <w:t>Да. Лица с заболеванием COVID-19 могут иметь отрицательный результат теста. В настоящее время данные свидетельствуют о том, что 15–20% пациентов могут быть пропущены при использовании тестов на антигены.</w:t>
      </w:r>
    </w:p>
    <w:p w14:paraId="5746E394" w14:textId="77777777" w:rsidR="005325FA" w:rsidRPr="00AE42D7" w:rsidRDefault="005325FA" w:rsidP="00116D17">
      <w:pPr>
        <w:pStyle w:val="ListParagraph"/>
        <w:rPr>
          <w:rFonts w:ascii="Arial" w:hAnsi="Arial" w:cs="Arial"/>
          <w:sz w:val="20"/>
          <w:szCs w:val="20"/>
        </w:rPr>
      </w:pPr>
    </w:p>
    <w:p w14:paraId="53CBBD87" w14:textId="1399EBF9" w:rsidR="00584997" w:rsidRPr="00AE42D7" w:rsidRDefault="00584997" w:rsidP="00116D17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0"/>
          <w:szCs w:val="20"/>
        </w:rPr>
      </w:pPr>
      <w:r w:rsidRPr="00AE42D7">
        <w:rPr>
          <w:rFonts w:ascii="Arial" w:hAnsi="Arial"/>
          <w:b/>
          <w:sz w:val="20"/>
        </w:rPr>
        <w:t>Следует ли повторно тестировать пациентов с отрицательным результатом ДЭТ на антигены, используя другой ДЭТ?</w:t>
      </w:r>
    </w:p>
    <w:p w14:paraId="56F7B02A" w14:textId="6EBB91B7" w:rsidR="008A1B65" w:rsidRPr="00AE42D7" w:rsidRDefault="002C24D4" w:rsidP="00116D17">
      <w:pPr>
        <w:pStyle w:val="ListParagraph"/>
        <w:rPr>
          <w:rFonts w:ascii="Arial" w:hAnsi="Arial" w:cs="Arial"/>
          <w:sz w:val="20"/>
          <w:szCs w:val="20"/>
        </w:rPr>
      </w:pPr>
      <w:r w:rsidRPr="00AE42D7">
        <w:rPr>
          <w:rFonts w:ascii="Arial" w:hAnsi="Arial"/>
          <w:sz w:val="20"/>
        </w:rPr>
        <w:t>Повторное тестирование пациентов с отрицательным результатом ДЭТ на антигены предпочтительно проводить с помощью более чувствительного теста, такого как ОТ-ПЦР. Однако, если молекулярное тестирование недоступно, в течение 48 часов после первого теста ДЭТ на антигены можно повторить этот же тест, особенно если симптомы сохраняются или усиливаются.</w:t>
      </w:r>
    </w:p>
    <w:p w14:paraId="19666FA5" w14:textId="77777777" w:rsidR="000D504F" w:rsidRPr="00AE42D7" w:rsidRDefault="000D504F" w:rsidP="00116D17">
      <w:pPr>
        <w:pStyle w:val="ListParagraph"/>
        <w:rPr>
          <w:rFonts w:ascii="Arial" w:hAnsi="Arial" w:cs="Arial"/>
          <w:sz w:val="20"/>
          <w:szCs w:val="20"/>
        </w:rPr>
      </w:pPr>
    </w:p>
    <w:p w14:paraId="17F3358B" w14:textId="799ED71C" w:rsidR="00584997" w:rsidRPr="00AE42D7" w:rsidRDefault="00584997" w:rsidP="00116D17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0"/>
          <w:szCs w:val="20"/>
        </w:rPr>
      </w:pPr>
      <w:r w:rsidRPr="00AE42D7">
        <w:rPr>
          <w:rFonts w:ascii="Arial" w:hAnsi="Arial"/>
          <w:b/>
          <w:sz w:val="20"/>
        </w:rPr>
        <w:t>Следует ли подтверждать положительный результат ДЭТ на антигены с помощью ПЦР?</w:t>
      </w:r>
    </w:p>
    <w:p w14:paraId="6859D495" w14:textId="63CADAF1" w:rsidR="00584997" w:rsidRPr="00AE42D7" w:rsidRDefault="00FF606C" w:rsidP="00116D17">
      <w:pPr>
        <w:pStyle w:val="ListParagraph"/>
        <w:rPr>
          <w:rFonts w:ascii="Arial" w:hAnsi="Arial" w:cs="Arial"/>
          <w:sz w:val="20"/>
          <w:szCs w:val="20"/>
        </w:rPr>
      </w:pPr>
      <w:r w:rsidRPr="00AE42D7">
        <w:rPr>
          <w:rFonts w:ascii="Arial" w:hAnsi="Arial"/>
          <w:sz w:val="20"/>
        </w:rPr>
        <w:t xml:space="preserve">Если ДЭТ используют для тестирования пациентов с симптомами или бессимптомных контактов подтверждённых случаев в районах широкой циркуляции вируса, положительный результат ДЭТ на антигены является достаточным для подтверждения случая, и подтверждающий тест не нужен. Однако, если ДЭТ на антигены используют в условиях </w:t>
      </w:r>
      <w:r w:rsidR="003F0846">
        <w:rPr>
          <w:rFonts w:ascii="Arial" w:hAnsi="Arial"/>
          <w:sz w:val="20"/>
        </w:rPr>
        <w:t>низкой</w:t>
      </w:r>
      <w:r w:rsidRPr="00AE42D7">
        <w:rPr>
          <w:rFonts w:ascii="Arial" w:hAnsi="Arial"/>
          <w:sz w:val="20"/>
        </w:rPr>
        <w:t xml:space="preserve"> циркуляции вируса, положительные результаты c большей вероятностью могут быть ложноположительными, и в этом случае настоятельно рекомендуется </w:t>
      </w:r>
      <w:r w:rsidR="003F0846">
        <w:rPr>
          <w:rFonts w:ascii="Arial" w:hAnsi="Arial"/>
          <w:sz w:val="20"/>
        </w:rPr>
        <w:t>делать</w:t>
      </w:r>
      <w:r w:rsidRPr="00AE42D7">
        <w:rPr>
          <w:rFonts w:ascii="Arial" w:hAnsi="Arial"/>
          <w:sz w:val="20"/>
        </w:rPr>
        <w:t xml:space="preserve"> подтверждающее тестирование </w:t>
      </w:r>
      <w:r w:rsidR="003F0846">
        <w:rPr>
          <w:rFonts w:ascii="Arial" w:hAnsi="Arial"/>
          <w:sz w:val="20"/>
        </w:rPr>
        <w:t xml:space="preserve">для </w:t>
      </w:r>
      <w:r w:rsidRPr="00AE42D7">
        <w:rPr>
          <w:rFonts w:ascii="Arial" w:hAnsi="Arial"/>
          <w:sz w:val="20"/>
        </w:rPr>
        <w:t>пациентов с положительным результатом ДЭТ.</w:t>
      </w:r>
    </w:p>
    <w:p w14:paraId="4233607B" w14:textId="77777777" w:rsidR="008A1B65" w:rsidRPr="00AE42D7" w:rsidRDefault="008A1B65" w:rsidP="00116D17">
      <w:pPr>
        <w:pStyle w:val="ListParagraph"/>
        <w:rPr>
          <w:rFonts w:ascii="Arial" w:hAnsi="Arial" w:cs="Arial"/>
          <w:sz w:val="20"/>
          <w:szCs w:val="20"/>
        </w:rPr>
      </w:pPr>
    </w:p>
    <w:p w14:paraId="593D5615" w14:textId="77777777" w:rsidR="00584997" w:rsidRPr="00AE42D7" w:rsidRDefault="00584997" w:rsidP="00116D17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0"/>
          <w:szCs w:val="20"/>
        </w:rPr>
      </w:pPr>
      <w:r w:rsidRPr="00AE42D7">
        <w:rPr>
          <w:rFonts w:ascii="Arial" w:hAnsi="Arial"/>
          <w:b/>
          <w:sz w:val="20"/>
        </w:rPr>
        <w:t>Контрольная полоска не появляется на тестовом устройстве после инкубации в течение требуемого времени. Что следует делать?</w:t>
      </w:r>
    </w:p>
    <w:p w14:paraId="211C4A6F" w14:textId="0045D2D4" w:rsidR="00584997" w:rsidRPr="00AE42D7" w:rsidRDefault="00DB61D8" w:rsidP="00116D17">
      <w:pPr>
        <w:pStyle w:val="ListParagraph"/>
        <w:rPr>
          <w:rFonts w:ascii="Arial" w:hAnsi="Arial" w:cs="Arial"/>
          <w:sz w:val="20"/>
          <w:szCs w:val="20"/>
        </w:rPr>
      </w:pPr>
      <w:r w:rsidRPr="00AE42D7">
        <w:rPr>
          <w:rFonts w:ascii="Arial" w:hAnsi="Arial"/>
          <w:sz w:val="20"/>
        </w:rPr>
        <w:t>Возьмите новую пробу и повторите тест.</w:t>
      </w:r>
    </w:p>
    <w:p w14:paraId="223D7EE7" w14:textId="77777777" w:rsidR="008A1B65" w:rsidRPr="00AE42D7" w:rsidRDefault="008A1B65" w:rsidP="00116D17">
      <w:pPr>
        <w:pStyle w:val="ListParagraph"/>
        <w:rPr>
          <w:rFonts w:ascii="Arial" w:hAnsi="Arial" w:cs="Arial"/>
          <w:sz w:val="20"/>
          <w:szCs w:val="20"/>
        </w:rPr>
      </w:pPr>
    </w:p>
    <w:p w14:paraId="55603FE4" w14:textId="77777777" w:rsidR="00584997" w:rsidRPr="00AE42D7" w:rsidRDefault="00584997" w:rsidP="00116D17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0"/>
          <w:szCs w:val="20"/>
        </w:rPr>
      </w:pPr>
      <w:r w:rsidRPr="00AE42D7">
        <w:rPr>
          <w:rFonts w:ascii="Arial" w:hAnsi="Arial"/>
          <w:b/>
          <w:sz w:val="20"/>
        </w:rPr>
        <w:t>Что может быть причиной ложноотрицательного результата теста?</w:t>
      </w:r>
    </w:p>
    <w:p w14:paraId="687FF72D" w14:textId="0887031D" w:rsidR="00584997" w:rsidRPr="00AE42D7" w:rsidRDefault="00584997" w:rsidP="00116D17">
      <w:pPr>
        <w:pStyle w:val="ListParagraph"/>
        <w:rPr>
          <w:rFonts w:ascii="Arial" w:hAnsi="Arial" w:cs="Arial"/>
          <w:sz w:val="20"/>
          <w:szCs w:val="20"/>
        </w:rPr>
      </w:pPr>
      <w:r w:rsidRPr="00AE42D7">
        <w:rPr>
          <w:rFonts w:ascii="Arial" w:hAnsi="Arial"/>
          <w:sz w:val="20"/>
        </w:rPr>
        <w:t>Ложноотрицательные результаты (отрицательный результат теста у пациента с COVID-19) могут встречаться, когда количество вирусного антигена в пробе ниже предела обнаружения данного теста. Это может произойти, если проба была взята неправильно или в то время, когда в носоглотке низкая вирусная нагрузка – в самом начале заболевания или на поздних стадиях, например позже чем через семь дней после появления симптомов. Тесты работают лучше всего, когда тестирование провод</w:t>
      </w:r>
      <w:r w:rsidR="00E72084">
        <w:rPr>
          <w:rFonts w:ascii="Arial" w:hAnsi="Arial"/>
          <w:sz w:val="20"/>
        </w:rPr>
        <w:t>я</w:t>
      </w:r>
      <w:r w:rsidRPr="00AE42D7">
        <w:rPr>
          <w:rFonts w:ascii="Arial" w:hAnsi="Arial"/>
          <w:sz w:val="20"/>
        </w:rPr>
        <w:t>т в течение первых 5–7 дней после появления симптомов.</w:t>
      </w:r>
    </w:p>
    <w:p w14:paraId="4E916D7B" w14:textId="77777777" w:rsidR="008A1B65" w:rsidRPr="00AE42D7" w:rsidRDefault="008A1B65" w:rsidP="00116D17">
      <w:pPr>
        <w:pStyle w:val="ListParagraph"/>
        <w:rPr>
          <w:rFonts w:ascii="Arial" w:hAnsi="Arial" w:cs="Arial"/>
          <w:sz w:val="20"/>
          <w:szCs w:val="20"/>
        </w:rPr>
      </w:pPr>
    </w:p>
    <w:p w14:paraId="103A6207" w14:textId="77777777" w:rsidR="003B748D" w:rsidRPr="00AE42D7" w:rsidRDefault="003B748D" w:rsidP="00116D17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0"/>
          <w:szCs w:val="20"/>
        </w:rPr>
      </w:pPr>
      <w:r w:rsidRPr="00AE42D7">
        <w:rPr>
          <w:rFonts w:ascii="Arial" w:hAnsi="Arial"/>
          <w:b/>
          <w:sz w:val="20"/>
        </w:rPr>
        <w:t>Видны обе полоски – контрольная (С) и полоска теста (Т). Что это означает?</w:t>
      </w:r>
    </w:p>
    <w:p w14:paraId="2ACF5081" w14:textId="6062CE0C" w:rsidR="00083AB8" w:rsidRPr="00AE42D7" w:rsidRDefault="00083AB8" w:rsidP="00116D17">
      <w:pPr>
        <w:pStyle w:val="ListParagraph"/>
        <w:rPr>
          <w:rFonts w:ascii="Arial" w:hAnsi="Arial" w:cs="Arial"/>
          <w:bCs/>
          <w:sz w:val="20"/>
          <w:szCs w:val="20"/>
        </w:rPr>
      </w:pPr>
      <w:r w:rsidRPr="00AE42D7">
        <w:rPr>
          <w:rFonts w:ascii="Arial" w:hAnsi="Arial"/>
          <w:sz w:val="20"/>
        </w:rPr>
        <w:t>Когда видны обе полоски (полоска контроля и полоска теста), это означает, что результат теста положительный.</w:t>
      </w:r>
    </w:p>
    <w:p w14:paraId="79EFADB2" w14:textId="77777777" w:rsidR="008A1B65" w:rsidRPr="00AE42D7" w:rsidRDefault="008A1B65" w:rsidP="00116D17">
      <w:pPr>
        <w:pStyle w:val="ListParagraph"/>
        <w:rPr>
          <w:rFonts w:ascii="Arial" w:hAnsi="Arial" w:cs="Arial"/>
          <w:bCs/>
          <w:sz w:val="20"/>
          <w:szCs w:val="20"/>
        </w:rPr>
      </w:pPr>
    </w:p>
    <w:p w14:paraId="6E5033E9" w14:textId="35FB562D" w:rsidR="003B748D" w:rsidRPr="00AE42D7" w:rsidRDefault="003B748D" w:rsidP="00116D17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0"/>
          <w:szCs w:val="20"/>
        </w:rPr>
      </w:pPr>
      <w:r w:rsidRPr="00AE42D7">
        <w:rPr>
          <w:rFonts w:ascii="Arial" w:hAnsi="Arial"/>
          <w:b/>
          <w:sz w:val="20"/>
        </w:rPr>
        <w:t>Видна контрольная полоска (С), полоска теста (Т) отсутствует. Что это означает?</w:t>
      </w:r>
    </w:p>
    <w:p w14:paraId="40A686A8" w14:textId="77777777" w:rsidR="00155430" w:rsidRDefault="00083AB8" w:rsidP="00116D17">
      <w:pPr>
        <w:pStyle w:val="ListParagraph"/>
        <w:rPr>
          <w:rFonts w:ascii="Arial" w:hAnsi="Arial"/>
          <w:sz w:val="20"/>
        </w:rPr>
      </w:pPr>
      <w:r w:rsidRPr="00AE42D7">
        <w:rPr>
          <w:rFonts w:ascii="Arial" w:hAnsi="Arial"/>
          <w:sz w:val="20"/>
        </w:rPr>
        <w:t>Когда видна контрольная полоска, а полоска теста отсутствует, это означает, что тест отрицательный.</w:t>
      </w:r>
    </w:p>
    <w:p w14:paraId="75D11C18" w14:textId="11ECB348" w:rsidR="00155430" w:rsidRDefault="00155430" w:rsidP="00116D17">
      <w:pPr>
        <w:pStyle w:val="ListParagraph"/>
        <w:rPr>
          <w:rFonts w:ascii="Arial" w:hAnsi="Arial"/>
          <w:sz w:val="20"/>
        </w:rPr>
      </w:pPr>
      <w:r>
        <w:rPr>
          <w:rFonts w:ascii="Arial" w:hAnsi="Arial"/>
          <w:sz w:val="20"/>
        </w:rPr>
        <w:br w:type="page"/>
      </w:r>
    </w:p>
    <w:p w14:paraId="4981232B" w14:textId="2E812463" w:rsidR="00500247" w:rsidRPr="00AE42D7" w:rsidRDefault="00500247" w:rsidP="00116D17">
      <w:pPr>
        <w:pStyle w:val="Heading2"/>
        <w:keepNext w:val="0"/>
        <w:keepLines w:val="0"/>
        <w:spacing w:before="480" w:after="160" w:line="276" w:lineRule="auto"/>
        <w:rPr>
          <w:rFonts w:ascii="Arial" w:hAnsi="Arial" w:cs="Arial"/>
          <w:b/>
          <w:bCs/>
          <w:color w:val="auto"/>
          <w:sz w:val="26"/>
          <w:szCs w:val="26"/>
        </w:rPr>
      </w:pPr>
      <w:r w:rsidRPr="00AE42D7">
        <w:rPr>
          <w:rFonts w:ascii="Arial" w:hAnsi="Arial"/>
          <w:b/>
          <w:color w:val="auto"/>
          <w:sz w:val="26"/>
        </w:rPr>
        <w:lastRenderedPageBreak/>
        <w:t>Где можно найти дополнительную информацию о диагностике инфекции вируса SARS-CoV-2?</w:t>
      </w:r>
    </w:p>
    <w:p w14:paraId="331524A4" w14:textId="575EE478" w:rsidR="0040628F" w:rsidRPr="00AD12DE" w:rsidRDefault="0040628F" w:rsidP="00155430">
      <w:pPr>
        <w:pStyle w:val="ListParagraph"/>
        <w:numPr>
          <w:ilvl w:val="0"/>
          <w:numId w:val="11"/>
        </w:numPr>
        <w:spacing w:before="60" w:after="60" w:line="240" w:lineRule="auto"/>
        <w:ind w:left="714" w:hanging="357"/>
        <w:contextualSpacing w:val="0"/>
        <w:rPr>
          <w:rFonts w:ascii="Arial" w:hAnsi="Arial" w:cs="Arial"/>
          <w:bCs/>
          <w:color w:val="000000" w:themeColor="text1"/>
          <w:sz w:val="20"/>
          <w:szCs w:val="20"/>
          <w:u w:val="single"/>
        </w:rPr>
      </w:pPr>
      <w:r w:rsidRPr="00AD12DE">
        <w:rPr>
          <w:rFonts w:ascii="Arial" w:hAnsi="Arial" w:cs="Arial"/>
          <w:color w:val="000000" w:themeColor="text1"/>
          <w:sz w:val="20"/>
          <w:szCs w:val="20"/>
        </w:rPr>
        <w:t xml:space="preserve">Всемирная организация здравоохранения. Роль иммунохимических экспресс-тестов для определения антигенов в диагностике инфекции, вызванной вирусом SARS-CoV-2. Временные рекомендации. 11 сентября 2020 г.: </w:t>
      </w:r>
      <w:hyperlink r:id="rId15" w:history="1">
        <w:r w:rsidRPr="00AD12DE">
          <w:rPr>
            <w:rStyle w:val="Hyperlink"/>
          </w:rPr>
          <w:t>https://apps.who.int/iris/handle/10665/334253</w:t>
        </w:r>
      </w:hyperlink>
      <w:r w:rsidR="00AD12DE">
        <w:rPr>
          <w:rStyle w:val="Hyperlink"/>
          <w:rFonts w:cs="Arial"/>
          <w:color w:val="000000" w:themeColor="text1"/>
          <w:szCs w:val="20"/>
          <w:u w:val="none"/>
        </w:rPr>
        <w:t>.</w:t>
      </w:r>
    </w:p>
    <w:p w14:paraId="71AE5555" w14:textId="66194606" w:rsidR="0040628F" w:rsidRPr="00AD12DE" w:rsidRDefault="000074F6" w:rsidP="00155430">
      <w:pPr>
        <w:pStyle w:val="ListParagraph"/>
        <w:numPr>
          <w:ilvl w:val="0"/>
          <w:numId w:val="11"/>
        </w:numPr>
        <w:spacing w:before="60" w:after="60" w:line="240" w:lineRule="auto"/>
        <w:ind w:left="714" w:hanging="357"/>
        <w:contextualSpacing w:val="0"/>
        <w:rPr>
          <w:rFonts w:ascii="Arial" w:hAnsi="Arial" w:cs="Arial"/>
          <w:bCs/>
          <w:color w:val="000000" w:themeColor="text1"/>
          <w:sz w:val="20"/>
          <w:szCs w:val="20"/>
          <w:u w:val="single"/>
        </w:rPr>
      </w:pPr>
      <w:r w:rsidRPr="00AD12DE">
        <w:rPr>
          <w:rFonts w:ascii="Arial" w:hAnsi="Arial" w:cs="Arial"/>
          <w:color w:val="000000" w:themeColor="text1"/>
          <w:sz w:val="20"/>
          <w:szCs w:val="20"/>
        </w:rPr>
        <w:t>World Health Organization. Country &amp; technical guidance – Coronavirus disease (COVID-19) [Национальные и технические рекомендации по коронавирусному заболеванию COVID-19] [веб-сайт]</w:t>
      </w:r>
      <w:r w:rsidR="00AD12DE">
        <w:rPr>
          <w:rFonts w:ascii="Arial" w:hAnsi="Arial" w:cs="Arial"/>
          <w:color w:val="000000" w:themeColor="text1"/>
          <w:sz w:val="20"/>
          <w:szCs w:val="20"/>
        </w:rPr>
        <w:t>:</w:t>
      </w:r>
      <w:r w:rsidRPr="00AD12D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hyperlink r:id="rId16" w:history="1">
        <w:r w:rsidRPr="00AD12DE">
          <w:rPr>
            <w:rStyle w:val="Hyperlink"/>
          </w:rPr>
          <w:t>https://www.who.int/ru/emergencies/diseases/novel-coronavirus-2019/technical-guidance</w:t>
        </w:r>
      </w:hyperlink>
      <w:r w:rsidR="00AD12DE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FB2541D" w14:textId="5503F813" w:rsidR="000074F6" w:rsidRPr="00AD12DE" w:rsidRDefault="000074F6" w:rsidP="00155430">
      <w:pPr>
        <w:pStyle w:val="ListParagraph"/>
        <w:numPr>
          <w:ilvl w:val="0"/>
          <w:numId w:val="11"/>
        </w:numPr>
        <w:spacing w:before="60" w:after="60" w:line="240" w:lineRule="auto"/>
        <w:ind w:left="714" w:hanging="357"/>
        <w:contextualSpacing w:val="0"/>
        <w:rPr>
          <w:rFonts w:ascii="Arial" w:hAnsi="Arial" w:cs="Arial"/>
          <w:bCs/>
          <w:color w:val="000000" w:themeColor="text1"/>
          <w:sz w:val="20"/>
          <w:szCs w:val="20"/>
          <w:u w:val="single"/>
        </w:rPr>
      </w:pPr>
      <w:r w:rsidRPr="00AD12DE">
        <w:rPr>
          <w:rFonts w:ascii="Arial" w:hAnsi="Arial" w:cs="Arial"/>
          <w:color w:val="000000" w:themeColor="text1"/>
          <w:sz w:val="20"/>
          <w:szCs w:val="20"/>
        </w:rPr>
        <w:t xml:space="preserve">Всемирная организация здравоохранения. Диагностическое тестирование для определения вируса SARS-CoV-2. Временные рекомендации. 11 сентября 2020 г.: </w:t>
      </w:r>
      <w:hyperlink r:id="rId17" w:history="1">
        <w:r w:rsidRPr="00AD12DE">
          <w:rPr>
            <w:rStyle w:val="Hyperlink"/>
          </w:rPr>
          <w:t>https://apps.who.int/iris/bitstream/handle/10665/334254/WHO-2019-nCoV-laboratory-2020.6-rus.pdf</w:t>
        </w:r>
      </w:hyperlink>
      <w:r w:rsidR="00AD12DE" w:rsidRPr="00AD12DE">
        <w:t>.</w:t>
      </w:r>
    </w:p>
    <w:p w14:paraId="5DFDF865" w14:textId="640BD7A9" w:rsidR="000074F6" w:rsidRPr="00AD12DE" w:rsidRDefault="000074F6" w:rsidP="00155430">
      <w:pPr>
        <w:pStyle w:val="ListParagraph"/>
        <w:numPr>
          <w:ilvl w:val="0"/>
          <w:numId w:val="11"/>
        </w:numPr>
        <w:spacing w:before="60" w:after="60" w:line="240" w:lineRule="auto"/>
        <w:ind w:left="714" w:hanging="357"/>
        <w:contextualSpacing w:val="0"/>
        <w:rPr>
          <w:rFonts w:ascii="Arial" w:hAnsi="Arial" w:cs="Arial"/>
          <w:bCs/>
          <w:color w:val="000000" w:themeColor="text1"/>
          <w:sz w:val="20"/>
          <w:szCs w:val="20"/>
          <w:u w:val="single"/>
        </w:rPr>
      </w:pPr>
      <w:r w:rsidRPr="00AD12DE">
        <w:rPr>
          <w:rFonts w:ascii="Arial" w:hAnsi="Arial" w:cs="Arial"/>
          <w:color w:val="000000" w:themeColor="text1"/>
          <w:sz w:val="20"/>
          <w:szCs w:val="20"/>
        </w:rPr>
        <w:t xml:space="preserve">World Health Organization. Coronavirus disease (COVID-19) pandemic – Emergency Use Listing Procedure (EUL) open for </w:t>
      </w:r>
      <w:r w:rsidRPr="00155430">
        <w:rPr>
          <w:rFonts w:ascii="Arial" w:hAnsi="Arial" w:cs="Arial"/>
          <w:i/>
          <w:iCs/>
          <w:color w:val="000000" w:themeColor="text1"/>
          <w:sz w:val="20"/>
          <w:szCs w:val="20"/>
        </w:rPr>
        <w:t>in vitro</w:t>
      </w:r>
      <w:r w:rsidRPr="00AD12DE">
        <w:rPr>
          <w:rFonts w:ascii="Arial" w:hAnsi="Arial" w:cs="Arial"/>
          <w:color w:val="000000" w:themeColor="text1"/>
          <w:sz w:val="20"/>
          <w:szCs w:val="20"/>
        </w:rPr>
        <w:t xml:space="preserve"> diagnostics [Пандемия коронавирусного заболевания COVID-19 – процедура для включения медицинских изделий для диагностики</w:t>
      </w:r>
      <w:r w:rsidRPr="00155430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in vitro</w:t>
      </w:r>
      <w:r w:rsidRPr="00AD12DE">
        <w:rPr>
          <w:rFonts w:ascii="Arial" w:hAnsi="Arial" w:cs="Arial"/>
          <w:color w:val="000000" w:themeColor="text1"/>
          <w:sz w:val="20"/>
          <w:szCs w:val="20"/>
        </w:rPr>
        <w:t xml:space="preserve"> в список для использования в чрезвычайных ситуациях] [веб-сайт]</w:t>
      </w:r>
      <w:r w:rsidR="00AD12DE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hyperlink r:id="rId18" w:history="1">
        <w:r w:rsidRPr="00AD12DE">
          <w:rPr>
            <w:rStyle w:val="Hyperlink"/>
          </w:rPr>
          <w:t>https://www.who.int/diagnostics_laboratory/EUL/en/</w:t>
        </w:r>
      </w:hyperlink>
      <w:r w:rsidR="00AD12DE" w:rsidRPr="00AD12DE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2098A0A" w14:textId="078A0E35" w:rsidR="000074F6" w:rsidRPr="00AD12DE" w:rsidRDefault="000074F6" w:rsidP="00155430">
      <w:pPr>
        <w:pStyle w:val="ListParagraph"/>
        <w:numPr>
          <w:ilvl w:val="0"/>
          <w:numId w:val="11"/>
        </w:numPr>
        <w:spacing w:before="60" w:after="60" w:line="240" w:lineRule="auto"/>
        <w:ind w:left="714" w:hanging="357"/>
        <w:contextualSpacing w:val="0"/>
        <w:rPr>
          <w:rStyle w:val="Hyperlink"/>
          <w:rFonts w:cs="Arial"/>
          <w:bCs/>
          <w:color w:val="000000" w:themeColor="text1"/>
          <w:szCs w:val="20"/>
        </w:rPr>
      </w:pPr>
      <w:r w:rsidRPr="00AD12DE">
        <w:rPr>
          <w:rFonts w:ascii="Arial" w:hAnsi="Arial" w:cs="Arial"/>
          <w:color w:val="000000" w:themeColor="text1"/>
          <w:sz w:val="20"/>
          <w:szCs w:val="20"/>
        </w:rPr>
        <w:t>World Health Organization. Post-market surveillance for</w:t>
      </w:r>
      <w:r w:rsidRPr="00155430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in vitro</w:t>
      </w:r>
      <w:r w:rsidRPr="00AD12DE">
        <w:rPr>
          <w:rFonts w:ascii="Arial" w:hAnsi="Arial" w:cs="Arial"/>
          <w:color w:val="000000" w:themeColor="text1"/>
          <w:sz w:val="20"/>
          <w:szCs w:val="20"/>
        </w:rPr>
        <w:t xml:space="preserve"> diagnostics (IVDs) [Пострегистрационный надзор за медицинскими изделиями для диагностики </w:t>
      </w:r>
      <w:r w:rsidRPr="00155430">
        <w:rPr>
          <w:rFonts w:ascii="Arial" w:hAnsi="Arial" w:cs="Arial"/>
          <w:i/>
          <w:iCs/>
          <w:color w:val="000000" w:themeColor="text1"/>
          <w:sz w:val="20"/>
          <w:szCs w:val="20"/>
        </w:rPr>
        <w:t>in vitro</w:t>
      </w:r>
      <w:r w:rsidRPr="00AD12DE">
        <w:rPr>
          <w:rFonts w:ascii="Arial" w:hAnsi="Arial" w:cs="Arial"/>
          <w:color w:val="000000" w:themeColor="text1"/>
          <w:sz w:val="20"/>
          <w:szCs w:val="20"/>
        </w:rPr>
        <w:t xml:space="preserve">] [веб-сайт]: </w:t>
      </w:r>
      <w:hyperlink r:id="rId19" w:history="1">
        <w:r w:rsidRPr="00AD12DE">
          <w:rPr>
            <w:rStyle w:val="Hyperlink"/>
          </w:rPr>
          <w:t>https://www.who.int/diagnostics_laboratory/postmarket/en/</w:t>
        </w:r>
      </w:hyperlink>
      <w:r w:rsidR="00AD12DE">
        <w:t>.</w:t>
      </w:r>
    </w:p>
    <w:p w14:paraId="5029777F" w14:textId="131E4084" w:rsidR="00DE11BB" w:rsidRPr="00AD12DE" w:rsidRDefault="00DE11BB" w:rsidP="00155430">
      <w:pPr>
        <w:pStyle w:val="ListParagraph"/>
        <w:numPr>
          <w:ilvl w:val="0"/>
          <w:numId w:val="11"/>
        </w:numPr>
        <w:spacing w:before="60" w:after="60" w:line="240" w:lineRule="auto"/>
        <w:ind w:left="714" w:hanging="357"/>
        <w:contextualSpacing w:val="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AD12DE">
        <w:rPr>
          <w:rFonts w:ascii="Arial" w:hAnsi="Arial" w:cs="Arial"/>
          <w:color w:val="000000" w:themeColor="text1"/>
          <w:sz w:val="20"/>
          <w:szCs w:val="20"/>
        </w:rPr>
        <w:t xml:space="preserve">World Health Organization. «Personal protective equipment for COVID-19» [Средства индивидуальной защиты </w:t>
      </w:r>
      <w:r w:rsidR="00E72084" w:rsidRPr="00AD12DE">
        <w:rPr>
          <w:rFonts w:ascii="Arial" w:hAnsi="Arial" w:cs="Arial"/>
          <w:color w:val="000000" w:themeColor="text1"/>
          <w:sz w:val="20"/>
          <w:szCs w:val="20"/>
        </w:rPr>
        <w:t>при</w:t>
      </w:r>
      <w:r w:rsidRPr="00AD12DE">
        <w:rPr>
          <w:rFonts w:ascii="Arial" w:hAnsi="Arial" w:cs="Arial"/>
          <w:color w:val="000000" w:themeColor="text1"/>
          <w:sz w:val="20"/>
          <w:szCs w:val="20"/>
        </w:rPr>
        <w:t xml:space="preserve"> коронавирусной инфекции COVID-19] [веб-сайт]:</w:t>
      </w:r>
      <w:r w:rsidR="00E72084" w:rsidRPr="00AD12D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hyperlink r:id="rId20" w:history="1">
        <w:r w:rsidR="00AD12DE" w:rsidRPr="00AD12DE">
          <w:rPr>
            <w:rStyle w:val="Hyperlink"/>
          </w:rPr>
          <w:t>https://www.who.int/medical_devices/priority/COVID_19_PPE/en/</w:t>
        </w:r>
      </w:hyperlink>
      <w:r w:rsidR="00AD12DE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0816B63" w14:textId="63C13360" w:rsidR="000074F6" w:rsidRPr="00AD12DE" w:rsidRDefault="00A65045" w:rsidP="00155430">
      <w:pPr>
        <w:pStyle w:val="ListParagraph"/>
        <w:numPr>
          <w:ilvl w:val="0"/>
          <w:numId w:val="11"/>
        </w:numPr>
        <w:spacing w:before="60" w:after="60" w:line="240" w:lineRule="auto"/>
        <w:ind w:left="714" w:hanging="357"/>
        <w:contextualSpacing w:val="0"/>
        <w:rPr>
          <w:rFonts w:ascii="Arial" w:hAnsi="Arial" w:cs="Arial"/>
          <w:bCs/>
          <w:color w:val="000000" w:themeColor="text1"/>
          <w:sz w:val="20"/>
          <w:szCs w:val="20"/>
          <w:u w:val="single"/>
        </w:rPr>
      </w:pPr>
      <w:r w:rsidRPr="00AD12DE">
        <w:rPr>
          <w:rFonts w:ascii="Arial" w:hAnsi="Arial" w:cs="Arial"/>
          <w:color w:val="000000" w:themeColor="text1"/>
          <w:sz w:val="20"/>
          <w:szCs w:val="20"/>
        </w:rPr>
        <w:t xml:space="preserve">Centers for Disease Control and Prevention [Центры по контролю и профилактике заболеваний США]. Coronavirus disease 2019 (COVID-19) – Guidance documents. [Коронавирусное заболевание 2019 (COVID-19). Основные руководства.] [веб-сайт]: </w:t>
      </w:r>
      <w:hyperlink r:id="rId21" w:history="1">
        <w:r w:rsidRPr="00AD12DE">
          <w:rPr>
            <w:rStyle w:val="Hyperlink"/>
          </w:rPr>
          <w:t>https://www.cdc.gov/coronavirus/2019-ncov/communication/guidance-list.html?Sort=Date%3A%3Adesc</w:t>
        </w:r>
      </w:hyperlink>
      <w:r w:rsidR="00AD12DE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F10818C" w14:textId="2CF03706" w:rsidR="00BB23D0" w:rsidRPr="00155430" w:rsidRDefault="007A2999" w:rsidP="00155430">
      <w:pPr>
        <w:pStyle w:val="ListParagraph"/>
        <w:numPr>
          <w:ilvl w:val="0"/>
          <w:numId w:val="11"/>
        </w:numPr>
        <w:spacing w:before="60" w:after="60" w:line="240" w:lineRule="auto"/>
        <w:ind w:left="714" w:hanging="357"/>
        <w:contextualSpacing w:val="0"/>
        <w:rPr>
          <w:rFonts w:ascii="Arial" w:hAnsi="Arial" w:cs="Arial"/>
          <w:bCs/>
          <w:color w:val="000000" w:themeColor="text1"/>
          <w:sz w:val="20"/>
          <w:szCs w:val="20"/>
          <w:u w:val="single"/>
        </w:rPr>
      </w:pPr>
      <w:r w:rsidRPr="00AD12DE">
        <w:rPr>
          <w:rFonts w:ascii="Arial" w:hAnsi="Arial" w:cs="Arial"/>
          <w:color w:val="000000" w:themeColor="text1"/>
          <w:sz w:val="20"/>
          <w:szCs w:val="20"/>
        </w:rPr>
        <w:t>Africa Center for Disease Control and Prevention [Африканский центр по контролю и профилактике заболеваний]. COVID-19 guidance on use of personal protective equipment for different clinical settings and activities [Руководство по использованию средств индивидуальной защиты для различных клинических ситуаций и мероприятий при COVID-19, май 2020 г.] [веб-сайт]:</w:t>
      </w:r>
      <w:r w:rsidR="00E72084" w:rsidRPr="00AD12D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hyperlink r:id="rId22" w:history="1">
        <w:r w:rsidR="00496B11" w:rsidRPr="00AD12DE">
          <w:rPr>
            <w:rStyle w:val="Hyperlink"/>
          </w:rPr>
          <w:t>https://africacdc.org/download/covid-19-guidance-on-use-of-personal-protective-equipment-for-different-clinical-settings-and-activities/</w:t>
        </w:r>
      </w:hyperlink>
      <w:r w:rsidR="00AD12DE" w:rsidRPr="00AD12DE">
        <w:t>.</w:t>
      </w:r>
    </w:p>
    <w:p w14:paraId="167BB4F4" w14:textId="77777777" w:rsidR="00155430" w:rsidRPr="00AD12DE" w:rsidRDefault="00155430" w:rsidP="00155430">
      <w:pPr>
        <w:pStyle w:val="ListParagraph"/>
        <w:spacing w:before="60" w:after="60" w:line="240" w:lineRule="auto"/>
        <w:ind w:left="714"/>
        <w:contextualSpacing w:val="0"/>
        <w:rPr>
          <w:rFonts w:ascii="Arial" w:hAnsi="Arial" w:cs="Arial"/>
          <w:bCs/>
          <w:color w:val="000000" w:themeColor="text1"/>
          <w:sz w:val="20"/>
          <w:szCs w:val="20"/>
          <w:u w:val="single"/>
        </w:rPr>
      </w:pPr>
    </w:p>
    <w:tbl>
      <w:tblPr>
        <w:tblStyle w:val="TableGrid"/>
        <w:tblW w:w="9769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69"/>
      </w:tblGrid>
      <w:tr w:rsidR="00302A43" w:rsidRPr="00AE42D7" w14:paraId="6ABA40B8" w14:textId="77777777" w:rsidTr="00155430">
        <w:tc>
          <w:tcPr>
            <w:tcW w:w="9769" w:type="dxa"/>
          </w:tcPr>
          <w:p w14:paraId="41746FA4" w14:textId="77777777" w:rsidR="00302A43" w:rsidRPr="00155430" w:rsidRDefault="00302A43" w:rsidP="00155430">
            <w:pPr>
              <w:keepNext/>
              <w:spacing w:before="60" w:after="120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155430">
              <w:rPr>
                <w:rFonts w:ascii="Arial" w:hAnsi="Arial" w:cs="Arial"/>
                <w:b/>
                <w:color w:val="0070C0"/>
                <w:sz w:val="18"/>
                <w:szCs w:val="18"/>
              </w:rPr>
              <w:t>Ограничение ответственности</w:t>
            </w:r>
          </w:p>
          <w:p w14:paraId="312D7B73" w14:textId="77777777" w:rsidR="00302A43" w:rsidRPr="00155430" w:rsidRDefault="00302A43" w:rsidP="00155430">
            <w:pPr>
              <w:keepNext/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5430">
              <w:rPr>
                <w:rFonts w:ascii="Arial" w:hAnsi="Arial" w:cs="Arial"/>
                <w:b/>
                <w:sz w:val="18"/>
                <w:szCs w:val="18"/>
              </w:rPr>
              <w:t>Учебная платформа ВОЗ по вопросам обеспечения здоровья населения – учебные материалы</w:t>
            </w:r>
          </w:p>
          <w:p w14:paraId="60366445" w14:textId="1B1651D9" w:rsidR="00302A43" w:rsidRPr="00155430" w:rsidRDefault="00302A43" w:rsidP="00155430">
            <w:pPr>
              <w:keepNext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155430">
              <w:rPr>
                <w:rFonts w:ascii="Arial" w:hAnsi="Arial" w:cs="Arial"/>
                <w:sz w:val="18"/>
                <w:szCs w:val="18"/>
              </w:rPr>
              <w:t>Авторское право на эти учебные материалы принадлежит Всемирной организации здравоохранения (ВОЗ) – © World Health Organization (WHO) 202</w:t>
            </w:r>
            <w:r w:rsidR="00D47C32" w:rsidRPr="00D47C32">
              <w:rPr>
                <w:rFonts w:ascii="Arial" w:hAnsi="Arial" w:cs="Arial"/>
                <w:sz w:val="18"/>
                <w:szCs w:val="18"/>
              </w:rPr>
              <w:t>2</w:t>
            </w:r>
            <w:r w:rsidRPr="00155430">
              <w:rPr>
                <w:rFonts w:ascii="Arial" w:hAnsi="Arial" w:cs="Arial"/>
                <w:sz w:val="18"/>
                <w:szCs w:val="18"/>
              </w:rPr>
              <w:t>. Все права защищены.</w:t>
            </w:r>
          </w:p>
          <w:p w14:paraId="21B18F79" w14:textId="77777777" w:rsidR="00302A43" w:rsidRPr="00155430" w:rsidRDefault="00302A43" w:rsidP="00155430">
            <w:pPr>
              <w:keepNext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155430">
              <w:rPr>
                <w:rFonts w:ascii="Arial" w:hAnsi="Arial" w:cs="Arial"/>
                <w:sz w:val="18"/>
                <w:szCs w:val="18"/>
              </w:rPr>
              <w:t>Вы можете использовать эти материалы в соответствии с правилами «</w:t>
            </w:r>
            <w:hyperlink r:id="rId23" w:history="1">
              <w:r w:rsidRPr="00155430">
                <w:rPr>
                  <w:rStyle w:val="Hyperlink"/>
                  <w:rFonts w:cs="Arial"/>
                  <w:sz w:val="18"/>
                  <w:szCs w:val="18"/>
                </w:rPr>
                <w:t>WHO Health Security Learning Platform, Training Materials – Terms of Use</w:t>
              </w:r>
            </w:hyperlink>
            <w:r w:rsidRPr="00155430">
              <w:rPr>
                <w:rFonts w:ascii="Arial" w:hAnsi="Arial" w:cs="Arial"/>
                <w:sz w:val="18"/>
                <w:szCs w:val="18"/>
              </w:rPr>
              <w:t>». Эти правила находятся на сайте «Учебной платформы ВОЗ по вопросам обеспечения здоровья населения» (</w:t>
            </w:r>
            <w:hyperlink r:id="rId24" w:history="1">
              <w:r w:rsidRPr="00155430">
                <w:rPr>
                  <w:rStyle w:val="Hyperlink"/>
                  <w:rFonts w:cs="Arial"/>
                  <w:sz w:val="18"/>
                  <w:szCs w:val="18"/>
                </w:rPr>
                <w:t>https://extranet.who.int/hslp</w:t>
              </w:r>
            </w:hyperlink>
            <w:r w:rsidRPr="00155430">
              <w:rPr>
                <w:rFonts w:ascii="Arial" w:hAnsi="Arial" w:cs="Arial"/>
                <w:sz w:val="18"/>
                <w:szCs w:val="18"/>
              </w:rPr>
              <w:t xml:space="preserve">), вы приняли эти правила, когда сгружали материалы с сайта.  </w:t>
            </w:r>
          </w:p>
          <w:p w14:paraId="33D9D7B8" w14:textId="77777777" w:rsidR="00302A43" w:rsidRPr="00155430" w:rsidRDefault="00302A43" w:rsidP="00155430">
            <w:pPr>
              <w:keepNext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155430">
              <w:rPr>
                <w:rFonts w:ascii="Arial" w:hAnsi="Arial" w:cs="Arial"/>
                <w:sz w:val="18"/>
                <w:szCs w:val="18"/>
              </w:rPr>
              <w:t xml:space="preserve">Если вы адаптировали, модифицировали, перевели на другой язык или каким-либо иным образом переработали содержание этих материалов, внесённые изменения никак не должны быть связаны с ВОЗ, и в изменённых материалах не должны быть использованы название или эмблема ВОЗ.  </w:t>
            </w:r>
          </w:p>
          <w:p w14:paraId="4735819D" w14:textId="77777777" w:rsidR="00302A43" w:rsidRPr="00AE42D7" w:rsidRDefault="00302A43" w:rsidP="00155430">
            <w:pPr>
              <w:keepNext/>
              <w:spacing w:after="120"/>
            </w:pPr>
            <w:r w:rsidRPr="00155430">
              <w:rPr>
                <w:rFonts w:ascii="Arial" w:hAnsi="Arial" w:cs="Arial"/>
                <w:sz w:val="18"/>
                <w:szCs w:val="18"/>
              </w:rPr>
              <w:t xml:space="preserve">Кроме того, если вы внесли в эти материалы изменения и в таком виде используете их публично, просьба для учёта и дальнейшего развития информировать ВОЗ о таких модификациях по электронной почте </w:t>
            </w:r>
            <w:hyperlink r:id="rId25" w:history="1">
              <w:r w:rsidRPr="00155430">
                <w:rPr>
                  <w:rStyle w:val="Hyperlink"/>
                  <w:rFonts w:cs="Arial"/>
                  <w:sz w:val="18"/>
                  <w:szCs w:val="18"/>
                </w:rPr>
                <w:t>ihrhrt@who.int</w:t>
              </w:r>
            </w:hyperlink>
            <w:r w:rsidRPr="00155430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13E85F95" w14:textId="50575569" w:rsidR="00116D17" w:rsidRPr="00155430" w:rsidRDefault="00116D17" w:rsidP="00155430">
      <w:pPr>
        <w:spacing w:after="0"/>
        <w:rPr>
          <w:rFonts w:ascii="Arial" w:hAnsi="Arial" w:cs="Arial"/>
          <w:color w:val="000000" w:themeColor="text1"/>
          <w:sz w:val="10"/>
          <w:szCs w:val="10"/>
        </w:rPr>
      </w:pPr>
    </w:p>
    <w:sectPr w:rsidR="00116D17" w:rsidRPr="00155430" w:rsidSect="003F2F29">
      <w:headerReference w:type="default" r:id="rId26"/>
      <w:footerReference w:type="default" r:id="rId27"/>
      <w:pgSz w:w="12240" w:h="15840"/>
      <w:pgMar w:top="1418" w:right="1134" w:bottom="1418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BF904" w14:textId="77777777" w:rsidR="00383B21" w:rsidRDefault="00383B21" w:rsidP="00993E35">
      <w:pPr>
        <w:spacing w:after="0" w:line="240" w:lineRule="auto"/>
      </w:pPr>
      <w:r>
        <w:separator/>
      </w:r>
    </w:p>
  </w:endnote>
  <w:endnote w:type="continuationSeparator" w:id="0">
    <w:p w14:paraId="66678384" w14:textId="77777777" w:rsidR="00383B21" w:rsidRDefault="00383B21" w:rsidP="00993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64735724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20CC31A7" w14:textId="5BD80986" w:rsidR="008E5C3B" w:rsidRPr="003F2F29" w:rsidRDefault="0039026B" w:rsidP="003F2F29">
            <w:pPr>
              <w:pStyle w:val="Footer"/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3F2F29">
              <w:rPr>
                <w:rFonts w:ascii="Arial" w:hAnsi="Arial" w:cs="Arial"/>
                <w:b/>
                <w:sz w:val="18"/>
                <w:szCs w:val="18"/>
              </w:rPr>
              <w:t>Курс «Диагностический экспресс-тест на антигены вируса SARS-CoV-2» v</w:t>
            </w:r>
            <w:r w:rsidR="007723DF">
              <w:rPr>
                <w:rFonts w:ascii="Arial" w:hAnsi="Arial" w:cs="Arial"/>
                <w:b/>
                <w:sz w:val="18"/>
                <w:szCs w:val="18"/>
                <w:lang w:val="en-GB"/>
              </w:rPr>
              <w:t>3</w:t>
            </w:r>
            <w:r w:rsidRPr="003F2F29">
              <w:rPr>
                <w:rFonts w:ascii="Arial" w:hAnsi="Arial" w:cs="Arial"/>
                <w:b/>
                <w:sz w:val="18"/>
                <w:szCs w:val="18"/>
              </w:rPr>
              <w:t>.0</w:t>
            </w:r>
            <w:r w:rsidRPr="003F2F29">
              <w:rPr>
                <w:rFonts w:ascii="Arial" w:hAnsi="Arial" w:cs="Arial"/>
              </w:rPr>
              <w:tab/>
            </w:r>
            <w:r w:rsidRPr="003F2F29">
              <w:rPr>
                <w:rFonts w:ascii="Arial" w:hAnsi="Arial" w:cs="Arial"/>
                <w:sz w:val="20"/>
                <w:szCs w:val="20"/>
              </w:rPr>
              <w:t xml:space="preserve">Стр. </w:t>
            </w:r>
            <w:r w:rsidR="008E5C3B" w:rsidRPr="003F2F29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8E5C3B" w:rsidRPr="003F2F29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="008E5C3B" w:rsidRPr="003F2F2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C5961" w:rsidRPr="003F2F29">
              <w:rPr>
                <w:rFonts w:ascii="Arial" w:hAnsi="Arial" w:cs="Arial"/>
                <w:sz w:val="20"/>
                <w:szCs w:val="20"/>
              </w:rPr>
              <w:t>1</w:t>
            </w:r>
            <w:r w:rsidR="008E5C3B" w:rsidRPr="003F2F2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F2F29">
              <w:rPr>
                <w:rFonts w:ascii="Arial" w:hAnsi="Arial" w:cs="Arial"/>
                <w:sz w:val="20"/>
                <w:szCs w:val="20"/>
              </w:rPr>
              <w:t xml:space="preserve"> из </w:t>
            </w:r>
            <w:r w:rsidR="008E5C3B" w:rsidRPr="003F2F29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8E5C3B" w:rsidRPr="003F2F29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="008E5C3B" w:rsidRPr="003F2F2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C5961" w:rsidRPr="003F2F29">
              <w:rPr>
                <w:rFonts w:ascii="Arial" w:hAnsi="Arial" w:cs="Arial"/>
                <w:sz w:val="20"/>
                <w:szCs w:val="20"/>
              </w:rPr>
              <w:t>1</w:t>
            </w:r>
            <w:r w:rsidR="008E5C3B" w:rsidRPr="003F2F2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458AB" w14:textId="77777777" w:rsidR="00383B21" w:rsidRDefault="00383B21" w:rsidP="00993E35">
      <w:pPr>
        <w:spacing w:after="0" w:line="240" w:lineRule="auto"/>
      </w:pPr>
      <w:r>
        <w:separator/>
      </w:r>
    </w:p>
  </w:footnote>
  <w:footnote w:type="continuationSeparator" w:id="0">
    <w:p w14:paraId="3696D6E2" w14:textId="77777777" w:rsidR="00383B21" w:rsidRDefault="00383B21" w:rsidP="00993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1DFB6" w14:textId="0E874E6E" w:rsidR="008E5C3B" w:rsidRDefault="008E5C3B" w:rsidP="008A1B65">
    <w:pPr>
      <w:pStyle w:val="Header"/>
      <w:spacing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76DEB"/>
    <w:multiLevelType w:val="hybridMultilevel"/>
    <w:tmpl w:val="7EBC6A5C"/>
    <w:lvl w:ilvl="0" w:tplc="7598EB88">
      <w:start w:val="16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740906"/>
    <w:multiLevelType w:val="hybridMultilevel"/>
    <w:tmpl w:val="DBF27E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87479"/>
    <w:multiLevelType w:val="hybridMultilevel"/>
    <w:tmpl w:val="2B7A3C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566DC"/>
    <w:multiLevelType w:val="multilevel"/>
    <w:tmpl w:val="9E70C1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232837"/>
    <w:multiLevelType w:val="multilevel"/>
    <w:tmpl w:val="1040CF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42739A"/>
    <w:multiLevelType w:val="multilevel"/>
    <w:tmpl w:val="46E640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6372C6"/>
    <w:multiLevelType w:val="multilevel"/>
    <w:tmpl w:val="AB405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3E7826"/>
    <w:multiLevelType w:val="hybridMultilevel"/>
    <w:tmpl w:val="414A340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2EA28E6"/>
    <w:multiLevelType w:val="hybridMultilevel"/>
    <w:tmpl w:val="7A44E884"/>
    <w:lvl w:ilvl="0" w:tplc="BA18B0E8">
      <w:start w:val="16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E309A2"/>
    <w:multiLevelType w:val="hybridMultilevel"/>
    <w:tmpl w:val="3AB224F4"/>
    <w:lvl w:ilvl="0" w:tplc="BA18B0E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42C35"/>
    <w:multiLevelType w:val="hybridMultilevel"/>
    <w:tmpl w:val="47F627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D755C3"/>
    <w:multiLevelType w:val="multilevel"/>
    <w:tmpl w:val="AE6AAE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B45B2B"/>
    <w:multiLevelType w:val="multilevel"/>
    <w:tmpl w:val="779AF1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A41F64"/>
    <w:multiLevelType w:val="hybridMultilevel"/>
    <w:tmpl w:val="EE061A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91F1E"/>
    <w:multiLevelType w:val="hybridMultilevel"/>
    <w:tmpl w:val="F1A052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F1884"/>
    <w:multiLevelType w:val="multilevel"/>
    <w:tmpl w:val="4CDE72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EF6A7F"/>
    <w:multiLevelType w:val="hybridMultilevel"/>
    <w:tmpl w:val="480C5D5E"/>
    <w:lvl w:ilvl="0" w:tplc="38E880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045835"/>
    <w:multiLevelType w:val="multilevel"/>
    <w:tmpl w:val="75E203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63631520"/>
    <w:multiLevelType w:val="multilevel"/>
    <w:tmpl w:val="55B808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A4732C"/>
    <w:multiLevelType w:val="hybridMultilevel"/>
    <w:tmpl w:val="C3A4F5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1F389E"/>
    <w:multiLevelType w:val="hybridMultilevel"/>
    <w:tmpl w:val="B2C4801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0B1517"/>
    <w:multiLevelType w:val="multilevel"/>
    <w:tmpl w:val="9D149D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18677F"/>
    <w:multiLevelType w:val="hybridMultilevel"/>
    <w:tmpl w:val="615459B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57A0A48"/>
    <w:multiLevelType w:val="multilevel"/>
    <w:tmpl w:val="16D680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927037351">
    <w:abstractNumId w:val="19"/>
  </w:num>
  <w:num w:numId="2" w16cid:durableId="789519695">
    <w:abstractNumId w:val="14"/>
  </w:num>
  <w:num w:numId="3" w16cid:durableId="789082083">
    <w:abstractNumId w:val="22"/>
  </w:num>
  <w:num w:numId="4" w16cid:durableId="1402679825">
    <w:abstractNumId w:val="1"/>
  </w:num>
  <w:num w:numId="5" w16cid:durableId="1681810768">
    <w:abstractNumId w:val="13"/>
  </w:num>
  <w:num w:numId="6" w16cid:durableId="1835608609">
    <w:abstractNumId w:val="10"/>
  </w:num>
  <w:num w:numId="7" w16cid:durableId="1889414932">
    <w:abstractNumId w:val="0"/>
  </w:num>
  <w:num w:numId="8" w16cid:durableId="106387155">
    <w:abstractNumId w:val="9"/>
  </w:num>
  <w:num w:numId="9" w16cid:durableId="159009414">
    <w:abstractNumId w:val="2"/>
  </w:num>
  <w:num w:numId="10" w16cid:durableId="1673874097">
    <w:abstractNumId w:val="7"/>
  </w:num>
  <w:num w:numId="11" w16cid:durableId="137848753">
    <w:abstractNumId w:val="16"/>
  </w:num>
  <w:num w:numId="12" w16cid:durableId="1311640726">
    <w:abstractNumId w:val="8"/>
  </w:num>
  <w:num w:numId="13" w16cid:durableId="1887177024">
    <w:abstractNumId w:val="5"/>
  </w:num>
  <w:num w:numId="14" w16cid:durableId="1016228896">
    <w:abstractNumId w:val="20"/>
  </w:num>
  <w:num w:numId="15" w16cid:durableId="1543708917">
    <w:abstractNumId w:val="11"/>
  </w:num>
  <w:num w:numId="16" w16cid:durableId="304941036">
    <w:abstractNumId w:val="23"/>
  </w:num>
  <w:num w:numId="17" w16cid:durableId="536552205">
    <w:abstractNumId w:val="15"/>
  </w:num>
  <w:num w:numId="18" w16cid:durableId="1773013063">
    <w:abstractNumId w:val="3"/>
  </w:num>
  <w:num w:numId="19" w16cid:durableId="291792789">
    <w:abstractNumId w:val="21"/>
  </w:num>
  <w:num w:numId="20" w16cid:durableId="146556493">
    <w:abstractNumId w:val="17"/>
  </w:num>
  <w:num w:numId="21" w16cid:durableId="1312060811">
    <w:abstractNumId w:val="4"/>
  </w:num>
  <w:num w:numId="22" w16cid:durableId="588393819">
    <w:abstractNumId w:val="6"/>
  </w:num>
  <w:num w:numId="23" w16cid:durableId="1996835374">
    <w:abstractNumId w:val="12"/>
  </w:num>
  <w:num w:numId="24" w16cid:durableId="19210161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E35"/>
    <w:rsid w:val="00005B82"/>
    <w:rsid w:val="000074F6"/>
    <w:rsid w:val="0001344C"/>
    <w:rsid w:val="00037DB4"/>
    <w:rsid w:val="00054DD7"/>
    <w:rsid w:val="00057800"/>
    <w:rsid w:val="00083AB8"/>
    <w:rsid w:val="0009402F"/>
    <w:rsid w:val="00097A6A"/>
    <w:rsid w:val="000A2446"/>
    <w:rsid w:val="000B79FB"/>
    <w:rsid w:val="000B7EF7"/>
    <w:rsid w:val="000C7583"/>
    <w:rsid w:val="000D504F"/>
    <w:rsid w:val="000D6ECC"/>
    <w:rsid w:val="000E0CF2"/>
    <w:rsid w:val="000E50AB"/>
    <w:rsid w:val="000E6176"/>
    <w:rsid w:val="000F1541"/>
    <w:rsid w:val="00103D56"/>
    <w:rsid w:val="00103FA2"/>
    <w:rsid w:val="00112F79"/>
    <w:rsid w:val="00116D17"/>
    <w:rsid w:val="00121DD0"/>
    <w:rsid w:val="00121EC0"/>
    <w:rsid w:val="00141603"/>
    <w:rsid w:val="00151707"/>
    <w:rsid w:val="00155430"/>
    <w:rsid w:val="00160175"/>
    <w:rsid w:val="001873CF"/>
    <w:rsid w:val="001A4870"/>
    <w:rsid w:val="001C7C9B"/>
    <w:rsid w:val="001E1251"/>
    <w:rsid w:val="001E348D"/>
    <w:rsid w:val="00210853"/>
    <w:rsid w:val="00227032"/>
    <w:rsid w:val="002362FF"/>
    <w:rsid w:val="00240D81"/>
    <w:rsid w:val="00250F5F"/>
    <w:rsid w:val="002562F1"/>
    <w:rsid w:val="002875C0"/>
    <w:rsid w:val="00293F68"/>
    <w:rsid w:val="002C24D4"/>
    <w:rsid w:val="002C3C68"/>
    <w:rsid w:val="002C7139"/>
    <w:rsid w:val="00302A43"/>
    <w:rsid w:val="003035E9"/>
    <w:rsid w:val="0030549D"/>
    <w:rsid w:val="003240CD"/>
    <w:rsid w:val="00325BD9"/>
    <w:rsid w:val="0033252B"/>
    <w:rsid w:val="00334129"/>
    <w:rsid w:val="00361571"/>
    <w:rsid w:val="00383B21"/>
    <w:rsid w:val="0039026B"/>
    <w:rsid w:val="00393BCA"/>
    <w:rsid w:val="00397A70"/>
    <w:rsid w:val="003B03F8"/>
    <w:rsid w:val="003B748D"/>
    <w:rsid w:val="003C5434"/>
    <w:rsid w:val="003E6C27"/>
    <w:rsid w:val="003F0846"/>
    <w:rsid w:val="003F2F29"/>
    <w:rsid w:val="0040628F"/>
    <w:rsid w:val="00416E89"/>
    <w:rsid w:val="004222CD"/>
    <w:rsid w:val="00440952"/>
    <w:rsid w:val="00441A8C"/>
    <w:rsid w:val="00445522"/>
    <w:rsid w:val="0046560E"/>
    <w:rsid w:val="0048183E"/>
    <w:rsid w:val="004911D6"/>
    <w:rsid w:val="00496B11"/>
    <w:rsid w:val="004D08E0"/>
    <w:rsid w:val="004D296B"/>
    <w:rsid w:val="004D420A"/>
    <w:rsid w:val="00500247"/>
    <w:rsid w:val="0050384A"/>
    <w:rsid w:val="00515A89"/>
    <w:rsid w:val="00517EF1"/>
    <w:rsid w:val="005222EE"/>
    <w:rsid w:val="005325FA"/>
    <w:rsid w:val="0054184B"/>
    <w:rsid w:val="00547BC5"/>
    <w:rsid w:val="00550404"/>
    <w:rsid w:val="00556709"/>
    <w:rsid w:val="00573431"/>
    <w:rsid w:val="00584997"/>
    <w:rsid w:val="00590A27"/>
    <w:rsid w:val="005A0A72"/>
    <w:rsid w:val="005B3ACD"/>
    <w:rsid w:val="005D2F0A"/>
    <w:rsid w:val="005E5491"/>
    <w:rsid w:val="005E767E"/>
    <w:rsid w:val="005E7E1C"/>
    <w:rsid w:val="00610A7A"/>
    <w:rsid w:val="00617B34"/>
    <w:rsid w:val="00650FBB"/>
    <w:rsid w:val="00655E0A"/>
    <w:rsid w:val="00660273"/>
    <w:rsid w:val="0066297F"/>
    <w:rsid w:val="00664BB7"/>
    <w:rsid w:val="0067561F"/>
    <w:rsid w:val="00677DA8"/>
    <w:rsid w:val="00690322"/>
    <w:rsid w:val="006B621C"/>
    <w:rsid w:val="006C5355"/>
    <w:rsid w:val="006C7E06"/>
    <w:rsid w:val="006D0C0C"/>
    <w:rsid w:val="006D637E"/>
    <w:rsid w:val="006F0D7B"/>
    <w:rsid w:val="0070624E"/>
    <w:rsid w:val="00713EFA"/>
    <w:rsid w:val="007208E0"/>
    <w:rsid w:val="00725361"/>
    <w:rsid w:val="00736AB5"/>
    <w:rsid w:val="00743DAA"/>
    <w:rsid w:val="00751B60"/>
    <w:rsid w:val="0076227C"/>
    <w:rsid w:val="007723DF"/>
    <w:rsid w:val="0077757A"/>
    <w:rsid w:val="00784E2F"/>
    <w:rsid w:val="007A2999"/>
    <w:rsid w:val="007A5DE2"/>
    <w:rsid w:val="007B4A2B"/>
    <w:rsid w:val="007C5467"/>
    <w:rsid w:val="007C6613"/>
    <w:rsid w:val="007C7C09"/>
    <w:rsid w:val="007D7E1F"/>
    <w:rsid w:val="00801AFD"/>
    <w:rsid w:val="0086089D"/>
    <w:rsid w:val="008665C0"/>
    <w:rsid w:val="008876B8"/>
    <w:rsid w:val="008A1B65"/>
    <w:rsid w:val="008B5503"/>
    <w:rsid w:val="008B7EFC"/>
    <w:rsid w:val="008C0DA0"/>
    <w:rsid w:val="008E3543"/>
    <w:rsid w:val="008E5C3B"/>
    <w:rsid w:val="008F161E"/>
    <w:rsid w:val="008F42C9"/>
    <w:rsid w:val="00910422"/>
    <w:rsid w:val="00923437"/>
    <w:rsid w:val="00925732"/>
    <w:rsid w:val="00943281"/>
    <w:rsid w:val="00943AD2"/>
    <w:rsid w:val="00962C24"/>
    <w:rsid w:val="00966F68"/>
    <w:rsid w:val="009773EE"/>
    <w:rsid w:val="00993E35"/>
    <w:rsid w:val="00995821"/>
    <w:rsid w:val="00997917"/>
    <w:rsid w:val="00997D4E"/>
    <w:rsid w:val="009A371B"/>
    <w:rsid w:val="009A5430"/>
    <w:rsid w:val="009B52D2"/>
    <w:rsid w:val="009B585A"/>
    <w:rsid w:val="009C7FEC"/>
    <w:rsid w:val="009D4DED"/>
    <w:rsid w:val="009F0E03"/>
    <w:rsid w:val="00A1023D"/>
    <w:rsid w:val="00A143D4"/>
    <w:rsid w:val="00A41204"/>
    <w:rsid w:val="00A44719"/>
    <w:rsid w:val="00A45C86"/>
    <w:rsid w:val="00A65045"/>
    <w:rsid w:val="00A8565C"/>
    <w:rsid w:val="00A95E48"/>
    <w:rsid w:val="00AA2E25"/>
    <w:rsid w:val="00AA3ED4"/>
    <w:rsid w:val="00AB4BFE"/>
    <w:rsid w:val="00AD1285"/>
    <w:rsid w:val="00AD12DE"/>
    <w:rsid w:val="00AE42D7"/>
    <w:rsid w:val="00AF2BCA"/>
    <w:rsid w:val="00AF2C8F"/>
    <w:rsid w:val="00AF5E42"/>
    <w:rsid w:val="00B05AC4"/>
    <w:rsid w:val="00B17922"/>
    <w:rsid w:val="00B20782"/>
    <w:rsid w:val="00B43DB8"/>
    <w:rsid w:val="00B447AB"/>
    <w:rsid w:val="00B635FE"/>
    <w:rsid w:val="00BB23D0"/>
    <w:rsid w:val="00BB42C3"/>
    <w:rsid w:val="00BC245C"/>
    <w:rsid w:val="00BD37E8"/>
    <w:rsid w:val="00C04387"/>
    <w:rsid w:val="00C16EAB"/>
    <w:rsid w:val="00C23842"/>
    <w:rsid w:val="00C5650B"/>
    <w:rsid w:val="00C75714"/>
    <w:rsid w:val="00C84E9E"/>
    <w:rsid w:val="00C92B06"/>
    <w:rsid w:val="00C95AFC"/>
    <w:rsid w:val="00C969DA"/>
    <w:rsid w:val="00C97468"/>
    <w:rsid w:val="00CB1306"/>
    <w:rsid w:val="00CB2AA4"/>
    <w:rsid w:val="00D01811"/>
    <w:rsid w:val="00D11DD2"/>
    <w:rsid w:val="00D257CD"/>
    <w:rsid w:val="00D263E2"/>
    <w:rsid w:val="00D404A4"/>
    <w:rsid w:val="00D430F8"/>
    <w:rsid w:val="00D47C32"/>
    <w:rsid w:val="00D5254D"/>
    <w:rsid w:val="00D5662F"/>
    <w:rsid w:val="00D66B50"/>
    <w:rsid w:val="00D703F3"/>
    <w:rsid w:val="00DA0AFB"/>
    <w:rsid w:val="00DA4119"/>
    <w:rsid w:val="00DA74A0"/>
    <w:rsid w:val="00DB61D8"/>
    <w:rsid w:val="00DD26E8"/>
    <w:rsid w:val="00DD7DA1"/>
    <w:rsid w:val="00DE11BB"/>
    <w:rsid w:val="00DE1A0E"/>
    <w:rsid w:val="00DE4DD0"/>
    <w:rsid w:val="00E062C5"/>
    <w:rsid w:val="00E10E66"/>
    <w:rsid w:val="00E15A17"/>
    <w:rsid w:val="00E20754"/>
    <w:rsid w:val="00E253CF"/>
    <w:rsid w:val="00E45FD9"/>
    <w:rsid w:val="00E47080"/>
    <w:rsid w:val="00E55C78"/>
    <w:rsid w:val="00E71108"/>
    <w:rsid w:val="00E72084"/>
    <w:rsid w:val="00E8286E"/>
    <w:rsid w:val="00E86608"/>
    <w:rsid w:val="00E90604"/>
    <w:rsid w:val="00E936BE"/>
    <w:rsid w:val="00E9585C"/>
    <w:rsid w:val="00EB066A"/>
    <w:rsid w:val="00ED258E"/>
    <w:rsid w:val="00ED6E95"/>
    <w:rsid w:val="00EE2C25"/>
    <w:rsid w:val="00EE4AF7"/>
    <w:rsid w:val="00EE55D1"/>
    <w:rsid w:val="00EF0FB6"/>
    <w:rsid w:val="00EF1F77"/>
    <w:rsid w:val="00EF724E"/>
    <w:rsid w:val="00F41641"/>
    <w:rsid w:val="00F43E3E"/>
    <w:rsid w:val="00F53D28"/>
    <w:rsid w:val="00F614A3"/>
    <w:rsid w:val="00F61D4F"/>
    <w:rsid w:val="00F72E7E"/>
    <w:rsid w:val="00F7741C"/>
    <w:rsid w:val="00F85B06"/>
    <w:rsid w:val="00F87EEA"/>
    <w:rsid w:val="00FC5961"/>
    <w:rsid w:val="00FD5DC5"/>
    <w:rsid w:val="00FD6A69"/>
    <w:rsid w:val="00FE6AA0"/>
    <w:rsid w:val="00FF0C49"/>
    <w:rsid w:val="00FF606C"/>
    <w:rsid w:val="015EF4D9"/>
    <w:rsid w:val="05BE51F6"/>
    <w:rsid w:val="1C0FD368"/>
    <w:rsid w:val="3EA84B1F"/>
    <w:rsid w:val="3F95E5BE"/>
    <w:rsid w:val="49F6DA49"/>
    <w:rsid w:val="5909C912"/>
    <w:rsid w:val="59E32A42"/>
    <w:rsid w:val="604BA33F"/>
    <w:rsid w:val="669908FF"/>
    <w:rsid w:val="742A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F1887D"/>
  <w15:chartTrackingRefBased/>
  <w15:docId w15:val="{205D326F-63C6-47E7-91BD-B60AB8AE5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2DE"/>
  </w:style>
  <w:style w:type="paragraph" w:styleId="Heading1">
    <w:name w:val="heading 1"/>
    <w:basedOn w:val="Normal"/>
    <w:next w:val="Normal"/>
    <w:link w:val="Heading1Char"/>
    <w:uiPriority w:val="9"/>
    <w:qFormat/>
    <w:rsid w:val="009979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79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79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79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79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79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79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79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79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3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3E35"/>
  </w:style>
  <w:style w:type="paragraph" w:styleId="Footer">
    <w:name w:val="footer"/>
    <w:basedOn w:val="Normal"/>
    <w:link w:val="FooterChar"/>
    <w:uiPriority w:val="99"/>
    <w:unhideWhenUsed/>
    <w:rsid w:val="00993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3E35"/>
  </w:style>
  <w:style w:type="character" w:customStyle="1" w:styleId="Heading1Char">
    <w:name w:val="Heading 1 Char"/>
    <w:basedOn w:val="DefaultParagraphFont"/>
    <w:link w:val="Heading1"/>
    <w:uiPriority w:val="9"/>
    <w:rsid w:val="009979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979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79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79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79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79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79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79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79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979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979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9979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79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79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997917"/>
    <w:rPr>
      <w:b/>
      <w:bCs/>
    </w:rPr>
  </w:style>
  <w:style w:type="character" w:styleId="Emphasis">
    <w:name w:val="Emphasis"/>
    <w:basedOn w:val="DefaultParagraphFont"/>
    <w:uiPriority w:val="20"/>
    <w:qFormat/>
    <w:rsid w:val="00997917"/>
    <w:rPr>
      <w:i/>
      <w:iCs/>
      <w:color w:val="000000" w:themeColor="text1"/>
    </w:rPr>
  </w:style>
  <w:style w:type="paragraph" w:styleId="NoSpacing">
    <w:name w:val="No Spacing"/>
    <w:uiPriority w:val="1"/>
    <w:qFormat/>
    <w:rsid w:val="009979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979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979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79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79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9979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979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ubtleReference">
    <w:name w:val="Subtle Reference"/>
    <w:basedOn w:val="DefaultParagraphFont"/>
    <w:uiPriority w:val="31"/>
    <w:qFormat/>
    <w:rsid w:val="009979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979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9979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7917"/>
    <w:pPr>
      <w:outlineLvl w:val="9"/>
    </w:pPr>
  </w:style>
  <w:style w:type="table" w:styleId="TableGrid">
    <w:name w:val="Table Grid"/>
    <w:basedOn w:val="TableNormal"/>
    <w:uiPriority w:val="99"/>
    <w:rsid w:val="00997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6Colorful-Accent5">
    <w:name w:val="List Table 6 Colorful Accent 5"/>
    <w:basedOn w:val="TableNormal"/>
    <w:uiPriority w:val="51"/>
    <w:rsid w:val="00997917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44552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108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08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08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08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085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85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D12DE"/>
    <w:rPr>
      <w:rFonts w:ascii="Arial" w:hAnsi="Arial"/>
      <w:caps w:val="0"/>
      <w:smallCaps w:val="0"/>
      <w:strike w:val="0"/>
      <w:dstrike w:val="0"/>
      <w:vanish w:val="0"/>
      <w:color w:val="0563C1" w:themeColor="hyperlink"/>
      <w:sz w:val="20"/>
      <w:u w:val="single"/>
      <w:vertAlign w:val="baseline"/>
    </w:rPr>
  </w:style>
  <w:style w:type="character" w:styleId="FollowedHyperlink">
    <w:name w:val="FollowedHyperlink"/>
    <w:basedOn w:val="DefaultParagraphFont"/>
    <w:uiPriority w:val="99"/>
    <w:semiHidden/>
    <w:unhideWhenUsed/>
    <w:rsid w:val="00AA3ED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4F6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013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01344C"/>
  </w:style>
  <w:style w:type="character" w:customStyle="1" w:styleId="eop">
    <w:name w:val="eop"/>
    <w:basedOn w:val="DefaultParagraphFont"/>
    <w:rsid w:val="00013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4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5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3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5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5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4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9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3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1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pps.who.int/iris/handle/10665/334253" TargetMode="External"/><Relationship Id="rId18" Type="http://schemas.openxmlformats.org/officeDocument/2006/relationships/hyperlink" Target="https://www.who.int/diagnostics_laboratory/EUL/en/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cdc.gov/coronavirus/2019-ncov/communication/guidance-list.html?Sort=Date::desc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finddx.org/covid-19/sarscov2-eval-antigen/" TargetMode="External"/><Relationship Id="rId17" Type="http://schemas.openxmlformats.org/officeDocument/2006/relationships/hyperlink" Target="https://apps.who.int/iris/bitstream/handle/10665/334254/WHO-2019-nCoV-laboratory-2020.6-rus.pdf" TargetMode="External"/><Relationship Id="rId25" Type="http://schemas.openxmlformats.org/officeDocument/2006/relationships/hyperlink" Target="mailto:ihrhrt@who.in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who.int/ru/emergencies/diseases/novel-coronavirus-2019/technical-guidance" TargetMode="External"/><Relationship Id="rId20" Type="http://schemas.openxmlformats.org/officeDocument/2006/relationships/hyperlink" Target="https://www.who.int/medical_devices/priority/COVID_19_PPE/en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ochranelibrary.com/cdsr/doi/10.1002/14651858.CD013705/full" TargetMode="External"/><Relationship Id="rId24" Type="http://schemas.openxmlformats.org/officeDocument/2006/relationships/hyperlink" Target="https://extranet.who.int/hslp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apps.who.int/iris/handle/10665/334253" TargetMode="External"/><Relationship Id="rId23" Type="http://schemas.openxmlformats.org/officeDocument/2006/relationships/hyperlink" Target="https://extranet.who.int/hslp/?q=content/terms-use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who.int/diagnostics_laboratory/postmarket/en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pps.who.int/iris/handle/10665/331741" TargetMode="External"/><Relationship Id="rId22" Type="http://schemas.openxmlformats.org/officeDocument/2006/relationships/hyperlink" Target="https://africacdc.org/download/covid-19-guidance-on-use-of-personal-protective-equipment-for-different-clinical-settings-and-activities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D374AC358D84BA6364FA28EECC454" ma:contentTypeVersion="13" ma:contentTypeDescription="Create a new document." ma:contentTypeScope="" ma:versionID="183add760b869b0c0ab930e4b95a9578">
  <xsd:schema xmlns:xsd="http://www.w3.org/2001/XMLSchema" xmlns:xs="http://www.w3.org/2001/XMLSchema" xmlns:p="http://schemas.microsoft.com/office/2006/metadata/properties" xmlns:ns3="c943fba8-a31a-47ee-b572-3ea37c614314" xmlns:ns4="ab68876f-4888-4f76-8953-366c36b33330" targetNamespace="http://schemas.microsoft.com/office/2006/metadata/properties" ma:root="true" ma:fieldsID="c61532b64061abf018f215a5de93731d" ns3:_="" ns4:_="">
    <xsd:import namespace="c943fba8-a31a-47ee-b572-3ea37c614314"/>
    <xsd:import namespace="ab68876f-4888-4f76-8953-366c36b333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3fba8-a31a-47ee-b572-3ea37c6143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68876f-4888-4f76-8953-366c36b3333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C6DFB4-DA9A-4F1D-8F4C-4B29AD0ED0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93F03D-67E2-452D-9D22-A5F0C43AF4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EE67F2-49A4-4F3A-95F1-B9D9B2190A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9DCB47-3B48-443A-B880-BDD1BCCCFF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43fba8-a31a-47ee-b572-3ea37c614314"/>
    <ds:schemaRef ds:uri="ab68876f-4888-4f76-8953-366c36b333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3133</Words>
  <Characters>17864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HANESH</dc:creator>
  <cp:keywords/>
  <dc:description/>
  <cp:lastModifiedBy>natacha milhano</cp:lastModifiedBy>
  <cp:revision>9</cp:revision>
  <dcterms:created xsi:type="dcterms:W3CDTF">2022-09-06T15:17:00Z</dcterms:created>
  <dcterms:modified xsi:type="dcterms:W3CDTF">2022-09-06T16:28:00Z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0x0101009E3D374AC358D84BA6364FA28EECC454</vt:lpwstr>
  </property>
</Properties>
</file>