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9084" w14:textId="7B4FCB09" w:rsidR="00DD26B0" w:rsidRDefault="00DD26B0" w:rsidP="001A1CEC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</w:rPr>
      </w:pPr>
      <w:r>
        <w:rPr>
          <w:rFonts w:ascii="Arial" w:eastAsia="Arial" w:hAnsi="Arial" w:cs="Arial"/>
          <w:color w:val="009AC9"/>
          <w:lang w:bidi="pt-PT"/>
        </w:rPr>
        <w:t xml:space="preserve">Teste de diagnóstico rápido </w:t>
      </w:r>
      <w:r w:rsidR="00FD2574">
        <w:rPr>
          <w:rFonts w:ascii="Arial" w:eastAsia="Arial" w:hAnsi="Arial" w:cs="Arial"/>
          <w:color w:val="009AC9"/>
          <w:lang w:bidi="pt-PT"/>
        </w:rPr>
        <w:t>para</w:t>
      </w:r>
      <w:r>
        <w:rPr>
          <w:rFonts w:ascii="Arial" w:eastAsia="Arial" w:hAnsi="Arial" w:cs="Arial"/>
          <w:color w:val="009AC9"/>
          <w:lang w:bidi="pt-PT"/>
        </w:rPr>
        <w:t xml:space="preserve"> detecção do </w:t>
      </w:r>
      <w:r w:rsidR="00FD2574">
        <w:rPr>
          <w:rFonts w:ascii="Arial" w:eastAsia="Arial" w:hAnsi="Arial" w:cs="Arial"/>
          <w:color w:val="009AC9"/>
          <w:lang w:bidi="pt-PT"/>
        </w:rPr>
        <w:t>antígeno</w:t>
      </w:r>
      <w:r>
        <w:rPr>
          <w:rFonts w:ascii="Arial" w:eastAsia="Arial" w:hAnsi="Arial" w:cs="Arial"/>
          <w:color w:val="009AC9"/>
          <w:lang w:bidi="pt-PT"/>
        </w:rPr>
        <w:t xml:space="preserve"> do SARS-COV-2 </w:t>
      </w:r>
    </w:p>
    <w:p w14:paraId="367D4C5B" w14:textId="1B70A251" w:rsidR="00E70D33" w:rsidRPr="003B62CA" w:rsidRDefault="00164B13" w:rsidP="001A1CEC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</w:rPr>
      </w:pPr>
      <w:r>
        <w:rPr>
          <w:rFonts w:ascii="Arial" w:eastAsia="Arial" w:hAnsi="Arial" w:cs="Arial"/>
          <w:color w:val="009AC9"/>
          <w:lang w:bidi="pt-PT"/>
        </w:rPr>
        <w:t>Lista de verificação da capacidade operacional do local de testagem</w:t>
      </w:r>
    </w:p>
    <w:p w14:paraId="435047E7" w14:textId="77777777" w:rsidR="001A1CEC" w:rsidRPr="003B62CA" w:rsidRDefault="001A1CEC" w:rsidP="001A1CEC">
      <w:pPr>
        <w:spacing w:before="0" w:after="0" w:line="240" w:lineRule="auto"/>
        <w:rPr>
          <w:rFonts w:ascii="Arial" w:hAnsi="Arial" w:cs="Arial"/>
        </w:rPr>
      </w:pPr>
    </w:p>
    <w:p w14:paraId="7FE6FF7E" w14:textId="2C6E843A" w:rsidR="00E70D33" w:rsidRPr="00554838" w:rsidRDefault="00276EE2" w:rsidP="00122B1C">
      <w:pPr>
        <w:spacing w:before="0" w:after="0" w:line="276" w:lineRule="auto"/>
        <w:jc w:val="both"/>
        <w:rPr>
          <w:rFonts w:ascii="Arial" w:hAnsi="Arial" w:cs="Arial"/>
        </w:rPr>
      </w:pPr>
      <w:r w:rsidRPr="00554838">
        <w:rPr>
          <w:rFonts w:ascii="Arial" w:eastAsia="Arial" w:hAnsi="Arial" w:cs="Arial"/>
          <w:lang w:bidi="pt-PT"/>
        </w:rPr>
        <w:t xml:space="preserve">Esta ferramenta foi concebida para avaliar a capacidade operacional dos locais de testagem que vão implementar testes de detecção do </w:t>
      </w:r>
      <w:r w:rsidR="00FD2574">
        <w:rPr>
          <w:rFonts w:ascii="Arial" w:eastAsia="Arial" w:hAnsi="Arial" w:cs="Arial"/>
          <w:lang w:bidi="pt-PT"/>
        </w:rPr>
        <w:t>antígeno</w:t>
      </w:r>
      <w:r w:rsidRPr="00554838">
        <w:rPr>
          <w:rFonts w:ascii="Arial" w:eastAsia="Arial" w:hAnsi="Arial" w:cs="Arial"/>
          <w:lang w:bidi="pt-PT"/>
        </w:rPr>
        <w:t xml:space="preserve"> do SARS-CoV-2, o vírus que causa a doença pelo novo coronavírus 2019 (COVID-19). Esta ferramenta é baseada no documento da OMS </w:t>
      </w:r>
      <w:hyperlink r:id="rId7" w:history="1">
        <w:r w:rsidRPr="00CB0961">
          <w:rPr>
            <w:rStyle w:val="Hyperlink"/>
            <w:rFonts w:ascii="Arial" w:eastAsia="Arial" w:hAnsi="Arial" w:cs="Arial"/>
            <w:i/>
            <w:lang w:bidi="pt-PT"/>
          </w:rPr>
          <w:t>Assessment tool for laboratories implementing SARS-CoV-2 testing: interim guidance</w:t>
        </w:r>
      </w:hyperlink>
      <w:r w:rsidRPr="00554838">
        <w:rPr>
          <w:rFonts w:ascii="Arial" w:eastAsia="Arial" w:hAnsi="Arial" w:cs="Arial"/>
          <w:lang w:bidi="pt-PT"/>
        </w:rPr>
        <w:t xml:space="preserve"> </w:t>
      </w:r>
      <w:r w:rsidRPr="00554838">
        <w:rPr>
          <w:rFonts w:ascii="Arial" w:eastAsia="Arial" w:hAnsi="Arial" w:cs="Arial"/>
          <w:i/>
          <w:lang w:bidi="pt-PT"/>
        </w:rPr>
        <w:t xml:space="preserve">[Ferramenta de avaliação dos laboratórios que implementam a testagem do SARS-CoV-2 </w:t>
      </w:r>
      <w:r w:rsidR="00F91E61" w:rsidRPr="00554838">
        <w:rPr>
          <w:rFonts w:ascii="Arial" w:eastAsia="Arial" w:hAnsi="Arial" w:cs="Arial"/>
          <w:i/>
          <w:lang w:bidi="pt-PT"/>
        </w:rPr>
        <w:t>diretrizes</w:t>
      </w:r>
      <w:r w:rsidRPr="00554838">
        <w:rPr>
          <w:rFonts w:ascii="Arial" w:eastAsia="Arial" w:hAnsi="Arial" w:cs="Arial"/>
          <w:i/>
          <w:lang w:bidi="pt-PT"/>
        </w:rPr>
        <w:t xml:space="preserve"> provisórias]</w:t>
      </w:r>
      <w:r w:rsidRPr="00554838">
        <w:rPr>
          <w:rFonts w:ascii="Arial" w:eastAsia="Arial" w:hAnsi="Arial" w:cs="Arial"/>
          <w:lang w:bidi="pt-PT"/>
        </w:rPr>
        <w:t xml:space="preserve"> (Outubro de 2020).</w:t>
      </w:r>
    </w:p>
    <w:p w14:paraId="5DF1745C" w14:textId="77777777" w:rsidR="001A1CEC" w:rsidRPr="00554838" w:rsidRDefault="001A1CEC" w:rsidP="00122B1C">
      <w:pPr>
        <w:spacing w:before="0" w:after="0" w:line="276" w:lineRule="auto"/>
        <w:jc w:val="both"/>
        <w:rPr>
          <w:rFonts w:ascii="Arial" w:hAnsi="Arial" w:cs="Arial"/>
        </w:rPr>
      </w:pPr>
    </w:p>
    <w:p w14:paraId="5BE48D11" w14:textId="7B783E86" w:rsidR="00E70D33" w:rsidRPr="00122B1C" w:rsidRDefault="00276EE2" w:rsidP="00122B1C">
      <w:pPr>
        <w:spacing w:before="0" w:after="0" w:line="276" w:lineRule="auto"/>
        <w:jc w:val="both"/>
        <w:rPr>
          <w:rFonts w:ascii="Arial" w:hAnsi="Arial" w:cs="Arial"/>
        </w:rPr>
      </w:pPr>
      <w:r w:rsidRPr="00554838">
        <w:rPr>
          <w:rFonts w:ascii="Arial" w:eastAsia="Arial" w:hAnsi="Arial" w:cs="Arial"/>
          <w:lang w:bidi="pt-PT"/>
        </w:rPr>
        <w:t xml:space="preserve">De modo geral, esta ferramenta permite a rápida identificação dos pontos fortes e dos pontos fracos do local de testagem, por forma a determinar a sua capacidade operacional para realizar os testes de diagnóstico rápido (TDR) de detecção do </w:t>
      </w:r>
      <w:r w:rsidR="00FD2574">
        <w:rPr>
          <w:rFonts w:ascii="Arial" w:eastAsia="Arial" w:hAnsi="Arial" w:cs="Arial"/>
          <w:lang w:bidi="pt-PT"/>
        </w:rPr>
        <w:t>antígeno</w:t>
      </w:r>
      <w:r w:rsidRPr="00554838">
        <w:rPr>
          <w:rFonts w:ascii="Arial" w:eastAsia="Arial" w:hAnsi="Arial" w:cs="Arial"/>
          <w:lang w:bidi="pt-PT"/>
        </w:rPr>
        <w:t xml:space="preserve"> do SARS-CoV-2. </w:t>
      </w:r>
    </w:p>
    <w:p w14:paraId="45B4FFF1" w14:textId="77777777" w:rsidR="001A1CEC" w:rsidRPr="003B62CA" w:rsidRDefault="001A1CEC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</w:p>
    <w:p w14:paraId="6A04AE99" w14:textId="5AD0E3D5" w:rsidR="00E70D33" w:rsidRPr="003B62CA" w:rsidRDefault="00125CF7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eastAsia="Arial" w:hAnsi="Arial" w:cs="Arial"/>
          <w:lang w:bidi="pt-PT"/>
        </w:rPr>
        <w:t>Identificação do local de testagem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229"/>
        <w:gridCol w:w="2717"/>
        <w:gridCol w:w="2070"/>
      </w:tblGrid>
      <w:tr w:rsidR="00451380" w:rsidRPr="002E1235" w14:paraId="23F1E335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D160ECD" w14:textId="490D9353" w:rsidR="00451380" w:rsidRPr="00617EA8" w:rsidRDefault="00451380" w:rsidP="00A6306A">
            <w:pPr>
              <w:pStyle w:val="TableStyle2"/>
              <w:ind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Nome do(s) avaliador(es)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1242B3A1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7556F0BA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11A6392E" w14:textId="28D9B8DC" w:rsidR="00451380" w:rsidRPr="00617EA8" w:rsidRDefault="00451380" w:rsidP="00A6306A">
            <w:pPr>
              <w:pStyle w:val="TableStyle2"/>
              <w:ind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Título e organização do avaliador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30EC53C8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299A8B3B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35DFDF1" w14:textId="5ECF78D2" w:rsidR="00451380" w:rsidRPr="00617EA8" w:rsidRDefault="00451380" w:rsidP="00CB0961">
            <w:pPr>
              <w:pStyle w:val="TableStyle2"/>
              <w:ind w:right="-87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Nome do local de testagem a ser avaliado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7E3CF74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10F9241B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8DC141A" w14:textId="36FC55CF" w:rsidR="00451380" w:rsidRPr="00617EA8" w:rsidRDefault="00451380" w:rsidP="00A6306A">
            <w:pPr>
              <w:pStyle w:val="TableStyle2"/>
              <w:ind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Tipo de local de testagem</w:t>
            </w:r>
          </w:p>
        </w:tc>
        <w:tc>
          <w:tcPr>
            <w:tcW w:w="1507" w:type="pct"/>
            <w:shd w:val="clear" w:color="auto" w:fill="auto"/>
          </w:tcPr>
          <w:p w14:paraId="226A2676" w14:textId="0974C955" w:rsidR="00125CF7" w:rsidRPr="00617EA8" w:rsidRDefault="00125CF7" w:rsidP="00125CF7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︎Centro de cuidados de saúde primários</w:t>
            </w:r>
          </w:p>
          <w:p w14:paraId="5D522EC5" w14:textId="77777777" w:rsidR="00125CF7" w:rsidRPr="00617EA8" w:rsidRDefault="00125CF7" w:rsidP="00125CF7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 xml:space="preserve">︎Hospital distrital </w:t>
            </w:r>
          </w:p>
          <w:p w14:paraId="34D9145C" w14:textId="77777777" w:rsidR="00125CF7" w:rsidRPr="00617EA8" w:rsidRDefault="00125CF7" w:rsidP="00125CF7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 xml:space="preserve">︎Hospital regional </w:t>
            </w:r>
          </w:p>
          <w:p w14:paraId="06EECA44" w14:textId="77777777" w:rsidR="00125CF7" w:rsidRPr="00617EA8" w:rsidRDefault="00125CF7" w:rsidP="00125CF7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︎Hospital terciário</w:t>
            </w:r>
          </w:p>
          <w:p w14:paraId="11D25910" w14:textId="7CE6538A" w:rsidR="00125CF7" w:rsidRPr="00617EA8" w:rsidRDefault="00125CF7" w:rsidP="00125CF7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︎Laboratório</w:t>
            </w:r>
          </w:p>
          <w:p w14:paraId="13078F1B" w14:textId="18B695FA" w:rsidR="00451380" w:rsidRPr="00617EA8" w:rsidRDefault="004464F9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="00F91E61" w:rsidRPr="00617EA8">
              <w:rPr>
                <w:lang w:bidi="pt-PT"/>
              </w:rPr>
              <w:t>︎outro: _</w:t>
            </w:r>
            <w:r w:rsidRPr="00617EA8">
              <w:rPr>
                <w:lang w:bidi="pt-PT"/>
              </w:rPr>
              <w:t>___________</w:t>
            </w:r>
          </w:p>
        </w:tc>
        <w:tc>
          <w:tcPr>
            <w:tcW w:w="1148" w:type="pct"/>
            <w:shd w:val="clear" w:color="auto" w:fill="auto"/>
          </w:tcPr>
          <w:p w14:paraId="72B3C5DF" w14:textId="77777777" w:rsidR="004464F9" w:rsidRPr="00617EA8" w:rsidRDefault="004464F9" w:rsidP="004464F9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︎Público</w:t>
            </w:r>
          </w:p>
          <w:p w14:paraId="75BAFB50" w14:textId="77777777" w:rsidR="004464F9" w:rsidRPr="00617EA8" w:rsidRDefault="004464F9" w:rsidP="004464F9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︎Privado</w:t>
            </w:r>
          </w:p>
          <w:p w14:paraId="21481D48" w14:textId="77777777" w:rsidR="004464F9" w:rsidRPr="00617EA8" w:rsidRDefault="004464F9" w:rsidP="004464F9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︎Académico</w:t>
            </w:r>
          </w:p>
          <w:p w14:paraId="229354A2" w14:textId="57D8012B" w:rsidR="00451380" w:rsidRPr="00617EA8" w:rsidRDefault="004464F9" w:rsidP="004464F9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︎Organização não-governamental</w:t>
            </w:r>
          </w:p>
          <w:p w14:paraId="3EEDDDD7" w14:textId="26BC832B" w:rsidR="004464F9" w:rsidRPr="00617EA8" w:rsidRDefault="004464F9" w:rsidP="004464F9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="00F91E61" w:rsidRPr="00617EA8">
              <w:rPr>
                <w:lang w:bidi="pt-PT"/>
              </w:rPr>
              <w:t>︎outro: _</w:t>
            </w:r>
            <w:r w:rsidRPr="00617EA8">
              <w:rPr>
                <w:lang w:bidi="pt-PT"/>
              </w:rPr>
              <w:t>___________</w:t>
            </w:r>
          </w:p>
          <w:p w14:paraId="6324AC76" w14:textId="607278DB" w:rsidR="004464F9" w:rsidRPr="00617EA8" w:rsidRDefault="004464F9" w:rsidP="004464F9">
            <w:pPr>
              <w:pStyle w:val="TableStyle2"/>
              <w:ind w:right="0"/>
            </w:pPr>
          </w:p>
        </w:tc>
      </w:tr>
      <w:tr w:rsidR="00451380" w:rsidRPr="002E1235" w14:paraId="028A2275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6EE67913" w14:textId="7DEFA6C5" w:rsidR="00451380" w:rsidRPr="00617EA8" w:rsidRDefault="00451380" w:rsidP="00A6306A">
            <w:pPr>
              <w:pStyle w:val="TableStyle2"/>
              <w:ind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Tipo de serviços oferecidos</w:t>
            </w:r>
          </w:p>
        </w:tc>
        <w:tc>
          <w:tcPr>
            <w:tcW w:w="1507" w:type="pct"/>
            <w:shd w:val="clear" w:color="auto" w:fill="auto"/>
          </w:tcPr>
          <w:p w14:paraId="1ABFBE86" w14:textId="77777777" w:rsidR="00451380" w:rsidRPr="00617EA8" w:rsidRDefault="00451380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︎Médicos</w:t>
            </w:r>
          </w:p>
          <w:p w14:paraId="48FCCE74" w14:textId="63D1A1E2" w:rsidR="00451380" w:rsidRPr="00617EA8" w:rsidRDefault="00451380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="00F91E61" w:rsidRPr="00617EA8">
              <w:rPr>
                <w:lang w:bidi="pt-PT"/>
              </w:rPr>
              <w:t>︎cirúrgicos</w:t>
            </w:r>
          </w:p>
          <w:p w14:paraId="258925B0" w14:textId="6AF3424A" w:rsidR="00451380" w:rsidRPr="00617EA8" w:rsidRDefault="00451380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="00F91E61" w:rsidRPr="00617EA8">
              <w:rPr>
                <w:lang w:bidi="pt-PT"/>
              </w:rPr>
              <w:t>︎pediátricos</w:t>
            </w:r>
          </w:p>
          <w:p w14:paraId="1C55C332" w14:textId="313440FE" w:rsidR="00451380" w:rsidRPr="00617EA8" w:rsidRDefault="00F91E61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︎outros (especificar)_________</w:t>
            </w:r>
          </w:p>
        </w:tc>
        <w:tc>
          <w:tcPr>
            <w:tcW w:w="1148" w:type="pct"/>
            <w:shd w:val="clear" w:color="auto" w:fill="auto"/>
          </w:tcPr>
          <w:p w14:paraId="212E12D5" w14:textId="77777777" w:rsidR="00451380" w:rsidRPr="00617EA8" w:rsidRDefault="00451380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︎Unidade de cuidados intensivos</w:t>
            </w:r>
          </w:p>
          <w:p w14:paraId="7F953BA8" w14:textId="77777777" w:rsidR="00451380" w:rsidRPr="00617EA8" w:rsidRDefault="00451380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︎Obstetrícia / Ginecologia</w:t>
            </w:r>
          </w:p>
          <w:p w14:paraId="1B1EAAC6" w14:textId="77777777" w:rsidR="00451380" w:rsidRPr="00617EA8" w:rsidRDefault="00451380" w:rsidP="00A6306A">
            <w:pPr>
              <w:pStyle w:val="TableStyle2"/>
              <w:ind w:right="0"/>
            </w:pPr>
            <w:r w:rsidRPr="00617EA8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17EA8">
              <w:rPr>
                <w:lang w:bidi="pt-PT"/>
              </w:rPr>
              <w:t>︎Emergência / Traumatologia</w:t>
            </w:r>
          </w:p>
        </w:tc>
      </w:tr>
      <w:tr w:rsidR="00451380" w:rsidRPr="002E1235" w14:paraId="175F8A15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CD5FF64" w14:textId="6068B87F" w:rsidR="00451380" w:rsidRDefault="00451380" w:rsidP="00CB0961">
            <w:pPr>
              <w:pStyle w:val="TableStyle2"/>
              <w:ind w:right="-114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Localização do local de testagem a ser avaliado (cidade, distrito e país)</w:t>
            </w:r>
          </w:p>
          <w:p w14:paraId="47C8500E" w14:textId="5392ABCF" w:rsidR="00CB0961" w:rsidRPr="00617EA8" w:rsidRDefault="00CB0961" w:rsidP="00CB0961">
            <w:pPr>
              <w:pStyle w:val="TableStyle2"/>
              <w:ind w:right="-1140"/>
              <w:rPr>
                <w:color w:val="FFFFFF" w:themeColor="background1"/>
              </w:rPr>
            </w:pPr>
          </w:p>
        </w:tc>
        <w:tc>
          <w:tcPr>
            <w:tcW w:w="2655" w:type="pct"/>
            <w:gridSpan w:val="2"/>
            <w:shd w:val="clear" w:color="auto" w:fill="auto"/>
          </w:tcPr>
          <w:p w14:paraId="6AB40638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246F3B27" w14:textId="77777777" w:rsidTr="21091547">
        <w:trPr>
          <w:trHeight w:val="20"/>
        </w:trPr>
        <w:tc>
          <w:tcPr>
            <w:tcW w:w="5000" w:type="pct"/>
            <w:gridSpan w:val="3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7410525" w14:textId="1C8070BF" w:rsidR="00451380" w:rsidRPr="00617EA8" w:rsidRDefault="00451380" w:rsidP="00A6306A">
            <w:pPr>
              <w:pStyle w:val="TableStyle2"/>
              <w:ind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 xml:space="preserve">Dados de </w:t>
            </w:r>
            <w:r w:rsidR="00FD2574">
              <w:rPr>
                <w:color w:val="FFFFFF" w:themeColor="background1"/>
                <w:lang w:bidi="pt-PT"/>
              </w:rPr>
              <w:t>contato</w:t>
            </w:r>
            <w:r w:rsidRPr="00617EA8">
              <w:rPr>
                <w:color w:val="FFFFFF" w:themeColor="background1"/>
                <w:lang w:bidi="pt-PT"/>
              </w:rPr>
              <w:t xml:space="preserve"> da pessoa do local de testagem</w:t>
            </w:r>
          </w:p>
        </w:tc>
      </w:tr>
      <w:tr w:rsidR="00451380" w:rsidRPr="002E1235" w14:paraId="6279E82F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A3D116C" w14:textId="77777777" w:rsidR="00451380" w:rsidRPr="00617EA8" w:rsidRDefault="00451380" w:rsidP="00A6306A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Nome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73D2364C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58BD0935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9CD4689" w14:textId="77777777" w:rsidR="00451380" w:rsidRPr="00617EA8" w:rsidRDefault="00451380" w:rsidP="00A6306A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Cargo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5317F273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25715252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0A53FED" w14:textId="77777777" w:rsidR="00451380" w:rsidRPr="00617EA8" w:rsidRDefault="00451380" w:rsidP="00A6306A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Email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5E921660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77135250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76FD2E2" w14:textId="77777777" w:rsidR="00451380" w:rsidRPr="00617EA8" w:rsidRDefault="00451380" w:rsidP="00A6306A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Telefone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7F9D954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451380" w:rsidRPr="002E1235" w14:paraId="34FC7039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61CF7FB7" w14:textId="41F546B6" w:rsidR="00451380" w:rsidRPr="00617EA8" w:rsidRDefault="00451380" w:rsidP="00CB0961">
            <w:pPr>
              <w:pStyle w:val="TableStyle2"/>
              <w:ind w:right="-78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>Data da</w:t>
            </w:r>
            <w:r w:rsidR="00FD2574">
              <w:rPr>
                <w:color w:val="FFFFFF" w:themeColor="background1"/>
                <w:lang w:bidi="pt-PT"/>
              </w:rPr>
              <w:t xml:space="preserve"> </w:t>
            </w:r>
            <w:r w:rsidRPr="00617EA8">
              <w:rPr>
                <w:color w:val="FFFFFF" w:themeColor="background1"/>
                <w:lang w:bidi="pt-PT"/>
              </w:rPr>
              <w:t>visita de avaliação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70638544" w14:textId="77777777" w:rsidR="00451380" w:rsidRPr="00617EA8" w:rsidRDefault="00451380" w:rsidP="00A6306A">
            <w:pPr>
              <w:pStyle w:val="TableStyle2"/>
              <w:ind w:right="0"/>
            </w:pPr>
          </w:p>
        </w:tc>
      </w:tr>
      <w:tr w:rsidR="009D0954" w:rsidRPr="002E1235" w14:paraId="53131259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00BCB5B" w14:textId="57934AD8" w:rsidR="009D0954" w:rsidRPr="00617EA8" w:rsidRDefault="009D0954" w:rsidP="00CB0961">
            <w:pPr>
              <w:pStyle w:val="TableStyle2"/>
              <w:ind w:right="-114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 xml:space="preserve">Número de profissionais de saúde no local de testagem que concluíram com aproveitamento </w:t>
            </w:r>
            <w:r w:rsidRPr="00617EA8">
              <w:rPr>
                <w:color w:val="FFFFFF" w:themeColor="background1"/>
                <w:lang w:bidi="pt-PT"/>
              </w:rPr>
              <w:lastRenderedPageBreak/>
              <w:t xml:space="preserve">a formação em TDR de detecção do </w:t>
            </w:r>
            <w:r w:rsidR="00FD2574">
              <w:rPr>
                <w:color w:val="FFFFFF" w:themeColor="background1"/>
                <w:lang w:bidi="pt-PT"/>
              </w:rPr>
              <w:t>antígeno</w:t>
            </w:r>
            <w:r w:rsidRPr="00617EA8">
              <w:rPr>
                <w:color w:val="FFFFFF" w:themeColor="background1"/>
                <w:lang w:bidi="pt-PT"/>
              </w:rPr>
              <w:t xml:space="preserve"> do SARS-CoV-2 (obtiveram o certificado)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1F852CC4" w14:textId="77777777" w:rsidR="009D0954" w:rsidRPr="00617EA8" w:rsidRDefault="009D0954" w:rsidP="009D0954">
            <w:pPr>
              <w:pStyle w:val="TableStyle2"/>
              <w:ind w:right="0"/>
            </w:pPr>
          </w:p>
        </w:tc>
      </w:tr>
      <w:tr w:rsidR="009D0954" w:rsidRPr="002E1235" w14:paraId="04EB1E0E" w14:textId="77777777" w:rsidTr="2109154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96674AF" w14:textId="6B8107CD" w:rsidR="009D0954" w:rsidRPr="00617EA8" w:rsidRDefault="009D0954" w:rsidP="00CB0961">
            <w:pPr>
              <w:pStyle w:val="TableStyle2"/>
              <w:ind w:right="-1140"/>
              <w:rPr>
                <w:color w:val="FFFFFF" w:themeColor="background1"/>
              </w:rPr>
            </w:pPr>
            <w:r w:rsidRPr="00617EA8">
              <w:rPr>
                <w:color w:val="FFFFFF" w:themeColor="background1"/>
                <w:lang w:bidi="pt-PT"/>
              </w:rPr>
              <w:t xml:space="preserve">Número de profissionais de saúde no local de testagem que receberam formação em TDR de detecção do </w:t>
            </w:r>
            <w:r w:rsidR="00FD2574">
              <w:rPr>
                <w:color w:val="FFFFFF" w:themeColor="background1"/>
                <w:lang w:bidi="pt-PT"/>
              </w:rPr>
              <w:t>antígeno</w:t>
            </w:r>
            <w:r w:rsidRPr="00617EA8">
              <w:rPr>
                <w:color w:val="FFFFFF" w:themeColor="background1"/>
                <w:lang w:bidi="pt-PT"/>
              </w:rPr>
              <w:t xml:space="preserve"> do SARS-CoV-2 em serviço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2A972ECC" w14:textId="77777777" w:rsidR="009D0954" w:rsidRPr="00617EA8" w:rsidRDefault="009D0954" w:rsidP="009D0954">
            <w:pPr>
              <w:pStyle w:val="TableStyle2"/>
              <w:ind w:right="0"/>
            </w:pPr>
          </w:p>
        </w:tc>
      </w:tr>
    </w:tbl>
    <w:p w14:paraId="16EDCE23" w14:textId="24112BA2" w:rsidR="009D0954" w:rsidRDefault="009D0954" w:rsidP="00297DD9">
      <w:pPr>
        <w:spacing w:before="0" w:after="0" w:line="240" w:lineRule="auto"/>
      </w:pPr>
    </w:p>
    <w:p w14:paraId="41C3AB9C" w14:textId="0A9B5DA3" w:rsidR="00297DD9" w:rsidRDefault="00297DD9" w:rsidP="00297DD9">
      <w:pPr>
        <w:spacing w:before="0" w:after="0" w:line="240" w:lineRule="auto"/>
      </w:pPr>
    </w:p>
    <w:p w14:paraId="2F43B9B7" w14:textId="278D25FF" w:rsidR="00E70D33" w:rsidRPr="003B62CA" w:rsidRDefault="00276EE2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 w:rsidRPr="003B62CA">
        <w:rPr>
          <w:rFonts w:ascii="Arial" w:eastAsia="Arial" w:hAnsi="Arial" w:cs="Arial"/>
          <w:lang w:bidi="pt-PT"/>
        </w:rPr>
        <w:t>Infraestrutura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1A1CEC" w:rsidRPr="003B62CA" w14:paraId="02D9ED32" w14:textId="77777777" w:rsidTr="00C17734">
        <w:trPr>
          <w:tblHeader/>
        </w:trPr>
        <w:tc>
          <w:tcPr>
            <w:tcW w:w="2830" w:type="dxa"/>
            <w:shd w:val="clear" w:color="auto" w:fill="009AC9"/>
          </w:tcPr>
          <w:p w14:paraId="05E22EEA" w14:textId="39A9EE32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512E7277" w14:textId="24A04781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7DEA268E" w14:textId="16F599DE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1AD601EF" w14:textId="6AEDAB9B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1F14FA7A" w14:textId="367DF6C9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1A1CEC" w:rsidRPr="003B62CA" w14:paraId="4516D4E2" w14:textId="77777777" w:rsidTr="001A1CEC">
        <w:tc>
          <w:tcPr>
            <w:tcW w:w="2830" w:type="dxa"/>
          </w:tcPr>
          <w:p w14:paraId="213C26A2" w14:textId="34EEFB5B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O espaço </w:t>
            </w:r>
            <w:r w:rsidR="00FD2574">
              <w:rPr>
                <w:rFonts w:ascii="Arial" w:eastAsia="Arial" w:hAnsi="Arial" w:cs="Arial"/>
                <w:lang w:bidi="pt-PT"/>
              </w:rPr>
              <w:t xml:space="preserve">disponível 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para o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 é adequado para executar o trabalho sem comprometer a qualidade dos testes e a segurança dos doentes e dos funcionários?</w:t>
            </w:r>
          </w:p>
        </w:tc>
        <w:tc>
          <w:tcPr>
            <w:tcW w:w="1134" w:type="dxa"/>
          </w:tcPr>
          <w:p w14:paraId="1BA2D9B7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186F22F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105D176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7417449" w14:textId="77777777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3B62CA" w14:paraId="6495B317" w14:textId="77777777" w:rsidTr="001A1CEC">
        <w:tc>
          <w:tcPr>
            <w:tcW w:w="2830" w:type="dxa"/>
          </w:tcPr>
          <w:p w14:paraId="50D25EA2" w14:textId="4A231E43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As áreas de trabalho disponibilizadas estão limpas e em bom estado?</w:t>
            </w:r>
          </w:p>
        </w:tc>
        <w:tc>
          <w:tcPr>
            <w:tcW w:w="1134" w:type="dxa"/>
          </w:tcPr>
          <w:p w14:paraId="31855AC6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3F82350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16F958B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0C8DB65" w14:textId="77777777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3B62CA" w14:paraId="19AD8E9F" w14:textId="77777777" w:rsidTr="001A1CEC">
        <w:tc>
          <w:tcPr>
            <w:tcW w:w="2830" w:type="dxa"/>
          </w:tcPr>
          <w:p w14:paraId="30ED3587" w14:textId="6459DB1B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A </w:t>
            </w:r>
            <w:r w:rsidR="00FD2574">
              <w:rPr>
                <w:rFonts w:ascii="Arial" w:eastAsia="Arial" w:hAnsi="Arial" w:cs="Arial"/>
                <w:lang w:bidi="pt-PT"/>
              </w:rPr>
              <w:t>área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destinada à coleta de amostras é separada da sala de exame do(s) doente(s)?</w:t>
            </w:r>
          </w:p>
        </w:tc>
        <w:tc>
          <w:tcPr>
            <w:tcW w:w="1134" w:type="dxa"/>
          </w:tcPr>
          <w:p w14:paraId="172B3F7B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12F1770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6A32803" w14:textId="77777777" w:rsidR="001A1CEC" w:rsidRPr="003B62C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C42CC8A" w14:textId="77777777" w:rsidR="001A1CEC" w:rsidRPr="003B62C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1FD1CFD" w14:textId="364DC32B" w:rsidR="001A1CEC" w:rsidRPr="003B62CA" w:rsidRDefault="001A1CEC" w:rsidP="001A1CEC">
      <w:pPr>
        <w:spacing w:before="0" w:after="0" w:line="240" w:lineRule="auto"/>
        <w:rPr>
          <w:rFonts w:ascii="Arial" w:hAnsi="Arial" w:cs="Arial"/>
          <w:b/>
          <w:bCs/>
        </w:rPr>
      </w:pPr>
    </w:p>
    <w:p w14:paraId="71A32CF1" w14:textId="63C14BB7" w:rsidR="001A1CEC" w:rsidRDefault="001A1CEC" w:rsidP="001A1CEC">
      <w:pPr>
        <w:pStyle w:val="Heading2"/>
        <w:keepNext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4492C18" w14:textId="1D4B9E0D" w:rsidR="00E70D33" w:rsidRPr="00617EA8" w:rsidRDefault="00276EE2" w:rsidP="001A1CEC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 w:rsidRPr="00617EA8">
        <w:rPr>
          <w:rFonts w:ascii="Arial" w:eastAsia="Arial" w:hAnsi="Arial" w:cs="Arial"/>
          <w:sz w:val="26"/>
          <w:szCs w:val="26"/>
          <w:lang w:bidi="pt-PT"/>
        </w:rPr>
        <w:t>Funcionários e formação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1A1CEC" w:rsidRPr="003B62CA" w14:paraId="1BD76316" w14:textId="77777777" w:rsidTr="00C17734">
        <w:trPr>
          <w:tblHeader/>
        </w:trPr>
        <w:tc>
          <w:tcPr>
            <w:tcW w:w="2830" w:type="dxa"/>
            <w:shd w:val="clear" w:color="auto" w:fill="009AC9"/>
          </w:tcPr>
          <w:p w14:paraId="52DEC8E3" w14:textId="77777777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47CD9032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34219EF0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08DB2FB0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5BC125E3" w14:textId="77777777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1A1CEC" w:rsidRPr="003B62CA" w14:paraId="1D3566A5" w14:textId="77777777" w:rsidTr="00A6306A">
        <w:tc>
          <w:tcPr>
            <w:tcW w:w="2830" w:type="dxa"/>
          </w:tcPr>
          <w:p w14:paraId="310112DE" w14:textId="69B9CA55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O</w:t>
            </w:r>
            <w:r w:rsidR="00C605C4">
              <w:rPr>
                <w:rFonts w:ascii="Arial" w:eastAsia="Arial" w:hAnsi="Arial" w:cs="Arial"/>
                <w:lang w:bidi="pt-PT"/>
              </w:rPr>
              <w:t>s técnicos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</w:t>
            </w:r>
            <w:r w:rsidR="00F91E61" w:rsidRPr="003B62CA">
              <w:rPr>
                <w:rFonts w:ascii="Arial" w:eastAsia="Arial" w:hAnsi="Arial" w:cs="Arial"/>
                <w:lang w:bidi="pt-PT"/>
              </w:rPr>
              <w:t>têm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formação em </w:t>
            </w:r>
            <w:r w:rsidR="00C605C4">
              <w:rPr>
                <w:rFonts w:ascii="Arial" w:eastAsia="Arial" w:hAnsi="Arial" w:cs="Arial"/>
                <w:lang w:bidi="pt-PT"/>
              </w:rPr>
              <w:t>coleta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de amostras para </w:t>
            </w:r>
            <w:r w:rsidR="00C605C4">
              <w:rPr>
                <w:rFonts w:ascii="Arial" w:eastAsia="Arial" w:hAnsi="Arial" w:cs="Arial"/>
                <w:lang w:bidi="pt-PT"/>
              </w:rPr>
              <w:t>efetuar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os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113D9A41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3536DA8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2A288CB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066A785" w14:textId="77777777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3B62CA" w14:paraId="4B20D73F" w14:textId="77777777" w:rsidTr="00A6306A">
        <w:tc>
          <w:tcPr>
            <w:tcW w:w="2830" w:type="dxa"/>
          </w:tcPr>
          <w:p w14:paraId="24AF8CCD" w14:textId="7723870D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O</w:t>
            </w:r>
            <w:r w:rsidR="00C605C4">
              <w:rPr>
                <w:rFonts w:ascii="Arial" w:eastAsia="Arial" w:hAnsi="Arial" w:cs="Arial"/>
                <w:lang w:bidi="pt-PT"/>
              </w:rPr>
              <w:t>s técnicos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</w:t>
            </w:r>
            <w:r w:rsidR="00F91E61" w:rsidRPr="003B62CA">
              <w:rPr>
                <w:rFonts w:ascii="Arial" w:eastAsia="Arial" w:hAnsi="Arial" w:cs="Arial"/>
                <w:lang w:bidi="pt-PT"/>
              </w:rPr>
              <w:t>têm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formação em </w:t>
            </w:r>
            <w:r w:rsidR="00C605C4">
              <w:rPr>
                <w:rFonts w:ascii="Arial" w:eastAsia="Arial" w:hAnsi="Arial" w:cs="Arial"/>
                <w:lang w:bidi="pt-PT"/>
              </w:rPr>
              <w:t>biossegurança para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</w:t>
            </w:r>
            <w:r w:rsidR="00C605C4">
              <w:rPr>
                <w:rFonts w:ascii="Arial" w:eastAsia="Arial" w:hAnsi="Arial" w:cs="Arial"/>
                <w:lang w:bidi="pt-PT"/>
              </w:rPr>
              <w:t>coleta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de amostras e realização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7DB96B89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D5F6985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05FEBCE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AE62B88" w14:textId="77777777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3B62CA" w14:paraId="0ED8825F" w14:textId="77777777" w:rsidTr="00A6306A">
        <w:tc>
          <w:tcPr>
            <w:tcW w:w="2830" w:type="dxa"/>
          </w:tcPr>
          <w:p w14:paraId="45EE79BB" w14:textId="79A36322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O pessoal tem formação na realização de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68C0DFB6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A532EB8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4342E5E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0E3D113" w14:textId="77777777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3B62CA" w14:paraId="0EB4C542" w14:textId="77777777" w:rsidTr="00A6306A">
        <w:tc>
          <w:tcPr>
            <w:tcW w:w="2830" w:type="dxa"/>
          </w:tcPr>
          <w:p w14:paraId="230E4065" w14:textId="2397BD9C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O pessoal que </w:t>
            </w:r>
            <w:r w:rsidR="00C605C4">
              <w:rPr>
                <w:rFonts w:ascii="Arial" w:eastAsia="Arial" w:hAnsi="Arial" w:cs="Arial"/>
                <w:lang w:bidi="pt-PT"/>
              </w:rPr>
              <w:t>realiza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o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 foi certificado como sendo </w:t>
            </w:r>
            <w:r w:rsidR="00C605C4">
              <w:rPr>
                <w:rFonts w:ascii="Arial" w:eastAsia="Arial" w:hAnsi="Arial" w:cs="Arial"/>
                <w:lang w:bidi="pt-PT"/>
              </w:rPr>
              <w:t>apto,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através de uma avaliação da proficiência (competência)?</w:t>
            </w:r>
          </w:p>
        </w:tc>
        <w:tc>
          <w:tcPr>
            <w:tcW w:w="1134" w:type="dxa"/>
          </w:tcPr>
          <w:p w14:paraId="74C919E9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1F3FAD3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7EA622B" w14:textId="77777777" w:rsidR="001A1CEC" w:rsidRPr="003B62CA" w:rsidRDefault="001A1CEC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5C4EC95" w14:textId="77777777" w:rsidR="001A1CEC" w:rsidRPr="003B62CA" w:rsidRDefault="001A1CEC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3EB9CCA7" w14:textId="5E8AF9E6" w:rsidR="009D0954" w:rsidRDefault="009D0954" w:rsidP="00297DD9">
      <w:pPr>
        <w:spacing w:before="0" w:after="0" w:line="240" w:lineRule="auto"/>
        <w:rPr>
          <w:rFonts w:ascii="Arial" w:hAnsi="Arial" w:cs="Arial"/>
        </w:rPr>
      </w:pPr>
    </w:p>
    <w:p w14:paraId="14A1D528" w14:textId="1F7B28E3" w:rsidR="00297DD9" w:rsidRDefault="00297DD9" w:rsidP="00297DD9">
      <w:pPr>
        <w:spacing w:before="0" w:after="0" w:line="240" w:lineRule="auto"/>
        <w:rPr>
          <w:rFonts w:ascii="Arial" w:hAnsi="Arial" w:cs="Arial"/>
        </w:rPr>
      </w:pPr>
    </w:p>
    <w:p w14:paraId="23F7E3AA" w14:textId="2E44CAF4" w:rsidR="00E70D33" w:rsidRPr="00617EA8" w:rsidRDefault="00F91E61" w:rsidP="001A1CEC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  <w:lang w:bidi="pt-PT"/>
        </w:rPr>
        <w:t>Bioss</w:t>
      </w:r>
      <w:r w:rsidR="001A1CEC" w:rsidRPr="00617EA8">
        <w:rPr>
          <w:rFonts w:ascii="Arial" w:eastAsia="Arial" w:hAnsi="Arial" w:cs="Arial"/>
          <w:sz w:val="26"/>
          <w:szCs w:val="26"/>
          <w:lang w:bidi="pt-PT"/>
        </w:rPr>
        <w:t>egurança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8B55B6" w:rsidRPr="003B62CA" w14:paraId="096F2F12" w14:textId="77777777" w:rsidTr="00C17734">
        <w:trPr>
          <w:tblHeader/>
        </w:trPr>
        <w:tc>
          <w:tcPr>
            <w:tcW w:w="2830" w:type="dxa"/>
            <w:shd w:val="clear" w:color="auto" w:fill="009AC9"/>
          </w:tcPr>
          <w:p w14:paraId="633DA041" w14:textId="77777777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4E39C9A9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19FA2F64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2DF8BE62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3AAC9223" w14:textId="77777777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8B55B6" w:rsidRPr="003B62CA" w14:paraId="4A1021E8" w14:textId="77777777" w:rsidTr="00A6306A">
        <w:tc>
          <w:tcPr>
            <w:tcW w:w="2830" w:type="dxa"/>
          </w:tcPr>
          <w:p w14:paraId="096D7DAA" w14:textId="4FFBADA6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Foi realizada e documentada uma avaliação d</w:t>
            </w:r>
            <w:r w:rsidR="00C605C4">
              <w:rPr>
                <w:rFonts w:ascii="Arial" w:eastAsia="Arial" w:hAnsi="Arial" w:cs="Arial"/>
                <w:lang w:bidi="pt-PT"/>
              </w:rPr>
              <w:t>e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risco</w:t>
            </w:r>
            <w:r w:rsidR="002E1235">
              <w:rPr>
                <w:rStyle w:val="FootnoteReference"/>
                <w:rFonts w:ascii="Arial" w:eastAsia="Arial" w:hAnsi="Arial" w:cs="Arial"/>
                <w:lang w:bidi="pt-PT"/>
              </w:rPr>
              <w:footnoteReference w:id="1"/>
            </w:r>
            <w:r w:rsidRPr="003B62CA">
              <w:rPr>
                <w:rFonts w:ascii="Arial" w:eastAsia="Arial" w:hAnsi="Arial" w:cs="Arial"/>
                <w:lang w:bidi="pt-PT"/>
              </w:rPr>
              <w:t xml:space="preserve"> </w:t>
            </w:r>
            <w:r w:rsidRPr="003B62CA">
              <w:rPr>
                <w:rFonts w:ascii="Arial" w:eastAsia="Arial" w:hAnsi="Arial" w:cs="Arial"/>
                <w:lang w:bidi="pt-PT"/>
              </w:rPr>
              <w:lastRenderedPageBreak/>
              <w:t>re</w:t>
            </w:r>
            <w:r w:rsidR="00C605C4">
              <w:rPr>
                <w:rFonts w:ascii="Arial" w:eastAsia="Arial" w:hAnsi="Arial" w:cs="Arial"/>
                <w:lang w:bidi="pt-PT"/>
              </w:rPr>
              <w:t>ferente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aos procedimentos de testagem do vírus SARS-CoV-2 no local de testagem?</w:t>
            </w:r>
          </w:p>
        </w:tc>
        <w:tc>
          <w:tcPr>
            <w:tcW w:w="1134" w:type="dxa"/>
          </w:tcPr>
          <w:p w14:paraId="487A981B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22A2A3D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6A32540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BD8DFD6" w14:textId="77777777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B55B6" w:rsidRPr="003B62CA" w14:paraId="5F298E99" w14:textId="77777777" w:rsidTr="00A6306A">
        <w:tc>
          <w:tcPr>
            <w:tcW w:w="2830" w:type="dxa"/>
          </w:tcPr>
          <w:p w14:paraId="67F1A336" w14:textId="765F7CAB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Estão disponíveis procedimentos escritos de biossegurança relativos ao manuse</w:t>
            </w:r>
            <w:r w:rsidR="00C605C4">
              <w:rPr>
                <w:rFonts w:ascii="Arial" w:eastAsia="Arial" w:hAnsi="Arial" w:cs="Arial"/>
                <w:lang w:bidi="pt-PT"/>
              </w:rPr>
              <w:t>io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e gestão d</w:t>
            </w:r>
            <w:r w:rsidR="00C605C4">
              <w:rPr>
                <w:rFonts w:ascii="Arial" w:eastAsia="Arial" w:hAnsi="Arial" w:cs="Arial"/>
                <w:lang w:bidi="pt-PT"/>
              </w:rPr>
              <w:t>as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amostras testadas para o SARS-COV-2?</w:t>
            </w:r>
          </w:p>
        </w:tc>
        <w:tc>
          <w:tcPr>
            <w:tcW w:w="1134" w:type="dxa"/>
          </w:tcPr>
          <w:p w14:paraId="3C0F37F8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EE2E768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1D4511B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93847DB" w14:textId="77777777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B55B6" w:rsidRPr="003B62CA" w14:paraId="57E88FBB" w14:textId="77777777" w:rsidTr="00A6306A">
        <w:tc>
          <w:tcPr>
            <w:tcW w:w="2830" w:type="dxa"/>
          </w:tcPr>
          <w:p w14:paraId="0C3BB281" w14:textId="374F9171" w:rsidR="008B55B6" w:rsidRPr="003B62CA" w:rsidRDefault="00E5340C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lang w:bidi="pt-PT"/>
              </w:rPr>
              <w:t xml:space="preserve">Está disponível equipamento de </w:t>
            </w:r>
            <w:r w:rsidR="00F91E61">
              <w:rPr>
                <w:rFonts w:ascii="Arial" w:eastAsia="Arial" w:hAnsi="Arial" w:cs="Arial"/>
                <w:lang w:bidi="pt-PT"/>
              </w:rPr>
              <w:t>proteção</w:t>
            </w:r>
            <w:r>
              <w:rPr>
                <w:rFonts w:ascii="Arial" w:eastAsia="Arial" w:hAnsi="Arial" w:cs="Arial"/>
                <w:lang w:bidi="pt-PT"/>
              </w:rPr>
              <w:t xml:space="preserve"> individual (EPI) para a </w:t>
            </w:r>
            <w:r w:rsidR="00C605C4">
              <w:rPr>
                <w:rFonts w:ascii="Arial" w:eastAsia="Arial" w:hAnsi="Arial" w:cs="Arial"/>
                <w:lang w:bidi="pt-PT"/>
              </w:rPr>
              <w:t>coleta</w:t>
            </w:r>
            <w:r>
              <w:rPr>
                <w:rFonts w:ascii="Arial" w:eastAsia="Arial" w:hAnsi="Arial" w:cs="Arial"/>
                <w:lang w:bidi="pt-PT"/>
              </w:rPr>
              <w:t xml:space="preserve">, </w:t>
            </w:r>
            <w:r w:rsidR="00C605C4" w:rsidRPr="003B62CA">
              <w:rPr>
                <w:rFonts w:ascii="Arial" w:eastAsia="Arial" w:hAnsi="Arial" w:cs="Arial"/>
                <w:lang w:bidi="pt-PT"/>
              </w:rPr>
              <w:t>manuse</w:t>
            </w:r>
            <w:r w:rsidR="00C605C4">
              <w:rPr>
                <w:rFonts w:ascii="Arial" w:eastAsia="Arial" w:hAnsi="Arial" w:cs="Arial"/>
                <w:lang w:bidi="pt-PT"/>
              </w:rPr>
              <w:t>io</w:t>
            </w:r>
            <w:r>
              <w:rPr>
                <w:rFonts w:ascii="Arial" w:eastAsia="Arial" w:hAnsi="Arial" w:cs="Arial"/>
                <w:lang w:bidi="pt-PT"/>
              </w:rPr>
              <w:t xml:space="preserve"> e testagem de amostras de SARS-CoV-2? </w:t>
            </w:r>
          </w:p>
        </w:tc>
        <w:tc>
          <w:tcPr>
            <w:tcW w:w="1134" w:type="dxa"/>
          </w:tcPr>
          <w:p w14:paraId="693BBA0E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35D97F5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89B68EC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6D14F42F" w14:textId="77777777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B55B6" w:rsidRPr="003B62CA" w14:paraId="070F5053" w14:textId="77777777" w:rsidTr="00A6306A">
        <w:tc>
          <w:tcPr>
            <w:tcW w:w="2830" w:type="dxa"/>
          </w:tcPr>
          <w:p w14:paraId="5298B376" w14:textId="1BEDAEB5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Existem procedimentos para assegurar o transporte seguro de amostras para o laboratório, para </w:t>
            </w:r>
            <w:r w:rsidR="00C605C4">
              <w:rPr>
                <w:rFonts w:ascii="Arial" w:eastAsia="Arial" w:hAnsi="Arial" w:cs="Arial"/>
                <w:lang w:bidi="pt-PT"/>
              </w:rPr>
              <w:t>realizar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o teste molecular (</w:t>
            </w:r>
            <w:r w:rsidR="00C605C4">
              <w:rPr>
                <w:rFonts w:ascii="Arial" w:eastAsia="Arial" w:hAnsi="Arial" w:cs="Arial"/>
                <w:lang w:bidi="pt-PT"/>
              </w:rPr>
              <w:t>RT-PCR</w:t>
            </w:r>
            <w:r w:rsidRPr="003B62CA">
              <w:rPr>
                <w:rFonts w:ascii="Arial" w:eastAsia="Arial" w:hAnsi="Arial" w:cs="Arial"/>
                <w:lang w:bidi="pt-PT"/>
              </w:rPr>
              <w:t>) do SARS-CoV-2?</w:t>
            </w:r>
          </w:p>
        </w:tc>
        <w:tc>
          <w:tcPr>
            <w:tcW w:w="1134" w:type="dxa"/>
          </w:tcPr>
          <w:p w14:paraId="472997CC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1B15676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B4EAF2E" w14:textId="77777777" w:rsidR="008B55B6" w:rsidRPr="003B62CA" w:rsidRDefault="008B55B6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04A3480A" w14:textId="77777777" w:rsidR="008B55B6" w:rsidRPr="003B62CA" w:rsidRDefault="008B55B6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12D9435" w14:textId="1BF92137" w:rsidR="00E70D33" w:rsidRPr="003B62CA" w:rsidRDefault="00276EE2" w:rsidP="001A1CEC">
      <w:pPr>
        <w:spacing w:before="0" w:after="0" w:line="240" w:lineRule="auto"/>
        <w:rPr>
          <w:rFonts w:ascii="Arial" w:hAnsi="Arial" w:cs="Arial"/>
        </w:rPr>
      </w:pPr>
      <w:r w:rsidRPr="003B62CA">
        <w:rPr>
          <w:rFonts w:ascii="Arial" w:eastAsia="Arial" w:hAnsi="Arial" w:cs="Arial"/>
          <w:lang w:bidi="pt-PT"/>
        </w:rPr>
        <w:br/>
      </w:r>
    </w:p>
    <w:p w14:paraId="60AEDF41" w14:textId="56D45257" w:rsidR="00E70D33" w:rsidRPr="003B62CA" w:rsidRDefault="00276EE2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 w:rsidRPr="003B62CA">
        <w:rPr>
          <w:rFonts w:ascii="Arial" w:eastAsia="Arial" w:hAnsi="Arial" w:cs="Arial"/>
          <w:lang w:bidi="pt-PT"/>
        </w:rPr>
        <w:t>Consumíveis e reagentes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1F4564" w:rsidRPr="003B62CA" w14:paraId="6D621BE0" w14:textId="77777777" w:rsidTr="00C17734">
        <w:trPr>
          <w:tblHeader/>
        </w:trPr>
        <w:tc>
          <w:tcPr>
            <w:tcW w:w="2830" w:type="dxa"/>
            <w:shd w:val="clear" w:color="auto" w:fill="009AC9"/>
          </w:tcPr>
          <w:p w14:paraId="1B2C1B6E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0624F84C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53562AF7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2BBB17C7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438C0329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1F4564" w:rsidRPr="003B62CA" w14:paraId="044DBD8F" w14:textId="77777777" w:rsidTr="001F4564">
        <w:tc>
          <w:tcPr>
            <w:tcW w:w="6232" w:type="dxa"/>
            <w:gridSpan w:val="4"/>
          </w:tcPr>
          <w:p w14:paraId="2DD41820" w14:textId="064AD5E3" w:rsidR="001F4564" w:rsidRPr="003B62CA" w:rsidRDefault="001F4564" w:rsidP="001F4564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O local de testagem tem problemas com a entrega de reagentes, como atrasos, temperatura inadequada, erros de referência, etc.?             (1. Nunca; 2. Às vezes; 3. Regularmente: 4. Não aplicável)? </w:t>
            </w:r>
          </w:p>
        </w:tc>
        <w:tc>
          <w:tcPr>
            <w:tcW w:w="2784" w:type="dxa"/>
          </w:tcPr>
          <w:p w14:paraId="3CAE4304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13617446" w14:textId="77777777" w:rsidTr="00A6306A">
        <w:tc>
          <w:tcPr>
            <w:tcW w:w="2830" w:type="dxa"/>
          </w:tcPr>
          <w:p w14:paraId="67D4545D" w14:textId="02195473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Há </w:t>
            </w:r>
            <w:r w:rsidR="003E59BA">
              <w:rPr>
                <w:rFonts w:ascii="Arial" w:eastAsia="Arial" w:hAnsi="Arial" w:cs="Arial"/>
                <w:lang w:bidi="pt-PT"/>
              </w:rPr>
              <w:t>técnico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responsável pela gestão dos consumíveis e reagentes no local de testagem (inventário, encomenda, etc.)?</w:t>
            </w:r>
          </w:p>
        </w:tc>
        <w:tc>
          <w:tcPr>
            <w:tcW w:w="1134" w:type="dxa"/>
          </w:tcPr>
          <w:p w14:paraId="57B55484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27838E6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92BAD71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BA99261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7C22FE06" w14:textId="77777777" w:rsidTr="00A6306A">
        <w:tc>
          <w:tcPr>
            <w:tcW w:w="2830" w:type="dxa"/>
          </w:tcPr>
          <w:p w14:paraId="1CB65D86" w14:textId="145D1CD2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Existe um sistema de inventário para os consumíveis e os reagentes?</w:t>
            </w:r>
          </w:p>
        </w:tc>
        <w:tc>
          <w:tcPr>
            <w:tcW w:w="1134" w:type="dxa"/>
          </w:tcPr>
          <w:p w14:paraId="1B2EAB15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8661074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E922B73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3899B78A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79AC185D" w14:textId="77777777" w:rsidTr="00A6306A">
        <w:tc>
          <w:tcPr>
            <w:tcW w:w="2830" w:type="dxa"/>
          </w:tcPr>
          <w:p w14:paraId="657824AA" w14:textId="250A3546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Existem 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procedimentos operacionais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para inspe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ção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d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>os consumíveis e os reagentes no momento da recepção?</w:t>
            </w:r>
          </w:p>
        </w:tc>
        <w:tc>
          <w:tcPr>
            <w:tcW w:w="1134" w:type="dxa"/>
          </w:tcPr>
          <w:p w14:paraId="4D236A98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2BD2514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D4464A2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3D551B4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072B6E5C" w14:textId="77777777" w:rsidTr="00A6306A">
        <w:tc>
          <w:tcPr>
            <w:tcW w:w="2830" w:type="dxa"/>
          </w:tcPr>
          <w:p w14:paraId="5A2FADE8" w14:textId="2CA68E43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Style w:val="Code"/>
                <w:rFonts w:ascii="Arial" w:eastAsia="Arial" w:hAnsi="Arial" w:cs="Arial"/>
                <w:lang w:bidi="pt-PT"/>
              </w:rPr>
              <w:t>Há protocolos para aceitar/rejeitar consumíveis e reagentes?</w:t>
            </w:r>
          </w:p>
        </w:tc>
        <w:tc>
          <w:tcPr>
            <w:tcW w:w="1134" w:type="dxa"/>
          </w:tcPr>
          <w:p w14:paraId="722F7C83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2C8A8A0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6F9BF7F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3634158C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5AC06797" w14:textId="77777777" w:rsidTr="00A6306A">
        <w:tc>
          <w:tcPr>
            <w:tcW w:w="2830" w:type="dxa"/>
          </w:tcPr>
          <w:p w14:paraId="28357260" w14:textId="06D786E3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Há 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áreas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adequadas de armazenamento (temperatura, humidade, etc.) disponíveis para consumíveis e reagentes?</w:t>
            </w:r>
          </w:p>
        </w:tc>
        <w:tc>
          <w:tcPr>
            <w:tcW w:w="1134" w:type="dxa"/>
          </w:tcPr>
          <w:p w14:paraId="25719422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14CAC3A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577F8AC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68BC2E4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26B000C5" w14:textId="77777777" w:rsidTr="00A6306A">
        <w:tc>
          <w:tcPr>
            <w:tcW w:w="2830" w:type="dxa"/>
          </w:tcPr>
          <w:p w14:paraId="317D394A" w14:textId="681080F7" w:rsidR="001F4564" w:rsidRPr="003B62CA" w:rsidRDefault="001F4564" w:rsidP="00A6306A">
            <w:pPr>
              <w:spacing w:before="0" w:after="0" w:line="240" w:lineRule="auto"/>
              <w:rPr>
                <w:rStyle w:val="Code"/>
                <w:rFonts w:ascii="Arial" w:hAnsi="Arial" w:cs="Arial"/>
              </w:rPr>
            </w:pP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Existem 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procedimentos operacionais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para a testagem de novos reagentes (novo produto, novo lote)?</w:t>
            </w:r>
          </w:p>
        </w:tc>
        <w:tc>
          <w:tcPr>
            <w:tcW w:w="1134" w:type="dxa"/>
          </w:tcPr>
          <w:p w14:paraId="2C0B95B0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37A578E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77DBB87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4D8FF4D2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224DC7A2" w14:textId="77777777" w:rsidTr="00A6306A">
        <w:tc>
          <w:tcPr>
            <w:tcW w:w="2830" w:type="dxa"/>
          </w:tcPr>
          <w:p w14:paraId="3A83F03F" w14:textId="3E9BB7BA" w:rsidR="001F4564" w:rsidRPr="003B62CA" w:rsidRDefault="00075ADD" w:rsidP="00A6306A">
            <w:pPr>
              <w:spacing w:before="0" w:after="0" w:line="240" w:lineRule="auto"/>
              <w:rPr>
                <w:rStyle w:val="Code"/>
                <w:rFonts w:ascii="Arial" w:hAnsi="Arial" w:cs="Arial"/>
              </w:rPr>
            </w:pPr>
            <w:r w:rsidRPr="003B62CA">
              <w:rPr>
                <w:rStyle w:val="Code"/>
                <w:rFonts w:ascii="Arial" w:eastAsia="Arial" w:hAnsi="Arial" w:cs="Arial"/>
                <w:lang w:bidi="pt-PT"/>
              </w:rPr>
              <w:lastRenderedPageBreak/>
              <w:t xml:space="preserve">Existem 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protocolos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para regist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ro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>do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consumo de consumíveis e reagentes?</w:t>
            </w:r>
          </w:p>
        </w:tc>
        <w:tc>
          <w:tcPr>
            <w:tcW w:w="1134" w:type="dxa"/>
          </w:tcPr>
          <w:p w14:paraId="72A4643F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7A6AA0B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FD623DD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52AB426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071A45C8" w14:textId="77777777" w:rsidTr="00A6306A">
        <w:tc>
          <w:tcPr>
            <w:tcW w:w="2830" w:type="dxa"/>
          </w:tcPr>
          <w:p w14:paraId="1795ACE2" w14:textId="5C359698" w:rsidR="001F4564" w:rsidRPr="003B62CA" w:rsidRDefault="001F4564" w:rsidP="00A6306A">
            <w:pPr>
              <w:spacing w:before="0" w:after="0" w:line="240" w:lineRule="auto"/>
              <w:rPr>
                <w:rStyle w:val="Code"/>
                <w:rFonts w:ascii="Arial" w:hAnsi="Arial" w:cs="Arial"/>
              </w:rPr>
            </w:pPr>
            <w:r w:rsidRPr="003B62CA">
              <w:rPr>
                <w:rStyle w:val="Code"/>
                <w:rFonts w:ascii="Arial" w:eastAsia="Arial" w:hAnsi="Arial" w:cs="Arial"/>
                <w:lang w:bidi="pt-PT"/>
              </w:rPr>
              <w:t>Existe um sistema</w:t>
            </w:r>
            <w:r w:rsidR="003E59BA">
              <w:rPr>
                <w:rStyle w:val="Code"/>
                <w:rFonts w:ascii="Arial" w:eastAsia="Arial" w:hAnsi="Arial" w:cs="Arial"/>
                <w:lang w:bidi="pt-PT"/>
              </w:rPr>
              <w:t xml:space="preserve"> de planejamento</w:t>
            </w:r>
            <w:r w:rsidRPr="003B62CA">
              <w:rPr>
                <w:rStyle w:val="Code"/>
                <w:rFonts w:ascii="Arial" w:eastAsia="Arial" w:hAnsi="Arial" w:cs="Arial"/>
                <w:lang w:bidi="pt-PT"/>
              </w:rPr>
              <w:t xml:space="preserve"> para prever corretamente as necessidades em termos de consumíveis e reagentes?</w:t>
            </w:r>
          </w:p>
        </w:tc>
        <w:tc>
          <w:tcPr>
            <w:tcW w:w="1134" w:type="dxa"/>
          </w:tcPr>
          <w:p w14:paraId="64160C00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CD75B27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CD0CA60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60F08B3B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09EB6B34" w14:textId="77777777" w:rsidTr="00A6306A">
        <w:tc>
          <w:tcPr>
            <w:tcW w:w="2830" w:type="dxa"/>
          </w:tcPr>
          <w:p w14:paraId="0B01D6DF" w14:textId="0B5BB326" w:rsidR="001F4564" w:rsidRPr="003B62CA" w:rsidRDefault="001F4564" w:rsidP="00A6306A">
            <w:pPr>
              <w:spacing w:before="0" w:after="0" w:line="240" w:lineRule="auto"/>
              <w:rPr>
                <w:rStyle w:val="Code"/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Os materiais e reagentes necessários estão disponíveis para a </w:t>
            </w:r>
            <w:r w:rsidR="00C605C4">
              <w:rPr>
                <w:rFonts w:ascii="Arial" w:eastAsia="Arial" w:hAnsi="Arial" w:cs="Arial"/>
                <w:lang w:bidi="pt-PT"/>
              </w:rPr>
              <w:t>coleta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de amostras e o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 </w:t>
            </w:r>
          </w:p>
        </w:tc>
        <w:tc>
          <w:tcPr>
            <w:tcW w:w="1134" w:type="dxa"/>
          </w:tcPr>
          <w:p w14:paraId="609CD212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B33EB0E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1CD7538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216A603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3B62CA" w14:paraId="4169E689" w14:textId="77777777" w:rsidTr="00A6306A">
        <w:tc>
          <w:tcPr>
            <w:tcW w:w="2830" w:type="dxa"/>
          </w:tcPr>
          <w:p w14:paraId="2BDA6958" w14:textId="3DB88DE2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Os reagentes necessários para o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 encontram-se dentro da data de validade (não expirados)?</w:t>
            </w:r>
          </w:p>
        </w:tc>
        <w:tc>
          <w:tcPr>
            <w:tcW w:w="1134" w:type="dxa"/>
          </w:tcPr>
          <w:p w14:paraId="75081B53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30D2E7F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BBD94FB" w14:textId="77777777" w:rsidR="001F4564" w:rsidRPr="003B62CA" w:rsidRDefault="001F4564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30928AA" w14:textId="77777777" w:rsidR="001F4564" w:rsidRPr="003B62CA" w:rsidRDefault="001F4564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7546569" w14:textId="142C3131" w:rsidR="001F4564" w:rsidRDefault="001F4564" w:rsidP="00297DD9">
      <w:pPr>
        <w:spacing w:before="0" w:after="0"/>
        <w:rPr>
          <w:rFonts w:ascii="Arial" w:hAnsi="Arial" w:cs="Arial"/>
        </w:rPr>
      </w:pPr>
    </w:p>
    <w:p w14:paraId="6C713F75" w14:textId="55A32692" w:rsidR="00E70D33" w:rsidRPr="003B62CA" w:rsidRDefault="00C605C4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eastAsia="Arial" w:hAnsi="Arial" w:cs="Arial"/>
          <w:lang w:bidi="pt-PT"/>
        </w:rPr>
        <w:t>Coleta</w:t>
      </w:r>
      <w:r w:rsidR="00276EE2" w:rsidRPr="003B62CA">
        <w:rPr>
          <w:rFonts w:ascii="Arial" w:eastAsia="Arial" w:hAnsi="Arial" w:cs="Arial"/>
          <w:lang w:bidi="pt-PT"/>
        </w:rPr>
        <w:t xml:space="preserve"> de amostras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25536B" w:rsidRPr="003B62CA" w14:paraId="4B3A0492" w14:textId="77777777" w:rsidTr="00C17734">
        <w:trPr>
          <w:tblHeader/>
        </w:trPr>
        <w:tc>
          <w:tcPr>
            <w:tcW w:w="2830" w:type="dxa"/>
            <w:shd w:val="clear" w:color="auto" w:fill="009AC9"/>
          </w:tcPr>
          <w:p w14:paraId="417BC137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43B035B8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5A09AC68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40280672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5A8C1622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25536B" w:rsidRPr="003B62CA" w14:paraId="34DC4342" w14:textId="77777777" w:rsidTr="00A6306A">
        <w:tc>
          <w:tcPr>
            <w:tcW w:w="2830" w:type="dxa"/>
          </w:tcPr>
          <w:p w14:paraId="0BCE364D" w14:textId="294AA15C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Estão disponíveis procedimentos </w:t>
            </w:r>
            <w:r w:rsidR="003E59BA">
              <w:rPr>
                <w:rFonts w:ascii="Arial" w:eastAsia="Arial" w:hAnsi="Arial" w:cs="Arial"/>
                <w:lang w:bidi="pt-PT"/>
              </w:rPr>
              <w:t xml:space="preserve">operacionais 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específicos de </w:t>
            </w:r>
            <w:r w:rsidR="00C605C4">
              <w:rPr>
                <w:rFonts w:ascii="Arial" w:eastAsia="Arial" w:hAnsi="Arial" w:cs="Arial"/>
                <w:lang w:bidi="pt-PT"/>
              </w:rPr>
              <w:t>coleta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de amostras de SARS-CoV-2 para </w:t>
            </w:r>
            <w:r w:rsidR="003E59BA">
              <w:rPr>
                <w:rFonts w:ascii="Arial" w:eastAsia="Arial" w:hAnsi="Arial" w:cs="Arial"/>
                <w:lang w:bidi="pt-PT"/>
              </w:rPr>
              <w:t>grupos prioritários</w:t>
            </w:r>
            <w:r w:rsidRPr="003B62CA">
              <w:rPr>
                <w:rFonts w:ascii="Arial" w:eastAsia="Arial" w:hAnsi="Arial" w:cs="Arial"/>
                <w:lang w:bidi="pt-PT"/>
              </w:rPr>
              <w:t>?</w:t>
            </w:r>
          </w:p>
        </w:tc>
        <w:tc>
          <w:tcPr>
            <w:tcW w:w="1134" w:type="dxa"/>
          </w:tcPr>
          <w:p w14:paraId="0105D29C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76D6BB5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BC9F212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D587063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67F5E591" w14:textId="77777777" w:rsidTr="00A6306A">
        <w:tc>
          <w:tcPr>
            <w:tcW w:w="2830" w:type="dxa"/>
          </w:tcPr>
          <w:p w14:paraId="010D04C9" w14:textId="3690DAB8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Estão disponíveis versões atuais de normas e outros documentos similares publicados </w:t>
            </w:r>
            <w:r w:rsidR="003E59BA">
              <w:rPr>
                <w:rFonts w:ascii="Arial" w:eastAsia="Arial" w:hAnsi="Arial" w:cs="Arial"/>
                <w:lang w:bidi="pt-PT"/>
              </w:rPr>
              <w:t>para orientar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a testagem do SARS-CoV-2 (p. ex., normas, orientações, bulas de </w:t>
            </w:r>
            <w:r w:rsidRPr="003B62CA">
              <w:rPr>
                <w:rFonts w:ascii="Arial" w:eastAsia="Arial" w:hAnsi="Arial" w:cs="Arial"/>
                <w:i/>
                <w:lang w:bidi="pt-PT"/>
              </w:rPr>
              <w:t xml:space="preserve">kits </w:t>
            </w:r>
            <w:r w:rsidRPr="003B62CA">
              <w:rPr>
                <w:rFonts w:ascii="Arial" w:eastAsia="Arial" w:hAnsi="Arial" w:cs="Arial"/>
                <w:lang w:bidi="pt-PT"/>
              </w:rPr>
              <w:t>de teste, etc.)?</w:t>
            </w:r>
          </w:p>
        </w:tc>
        <w:tc>
          <w:tcPr>
            <w:tcW w:w="1134" w:type="dxa"/>
          </w:tcPr>
          <w:p w14:paraId="6B7D4345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F8AAD5F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629EBE7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14BE751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2BF6F154" w14:textId="77777777" w:rsidTr="00A6306A">
        <w:tc>
          <w:tcPr>
            <w:tcW w:w="2830" w:type="dxa"/>
          </w:tcPr>
          <w:p w14:paraId="5F74CF07" w14:textId="6480744B" w:rsidR="0025536B" w:rsidRPr="003B62CA" w:rsidRDefault="0025536B" w:rsidP="006B617C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Estão disponíveis livros de regist</w:t>
            </w:r>
            <w:r w:rsidR="003E59BA">
              <w:rPr>
                <w:rFonts w:ascii="Arial" w:eastAsia="Arial" w:hAnsi="Arial" w:cs="Arial"/>
                <w:lang w:bidi="pt-PT"/>
              </w:rPr>
              <w:t>r</w:t>
            </w:r>
            <w:r w:rsidRPr="003B62CA">
              <w:rPr>
                <w:rFonts w:ascii="Arial" w:eastAsia="Arial" w:hAnsi="Arial" w:cs="Arial"/>
                <w:lang w:bidi="pt-PT"/>
              </w:rPr>
              <w:t>o, fichas de trabalho, computadores ou outros sistemas equivalentes para regist</w:t>
            </w:r>
            <w:r w:rsidR="003E59BA">
              <w:rPr>
                <w:rFonts w:ascii="Arial" w:eastAsia="Arial" w:hAnsi="Arial" w:cs="Arial"/>
                <w:lang w:bidi="pt-PT"/>
              </w:rPr>
              <w:t>r</w:t>
            </w:r>
            <w:r w:rsidRPr="003B62CA">
              <w:rPr>
                <w:rFonts w:ascii="Arial" w:eastAsia="Arial" w:hAnsi="Arial" w:cs="Arial"/>
                <w:lang w:bidi="pt-PT"/>
              </w:rPr>
              <w:t>ar os detalhes das amostras e os resultados dos testes?</w:t>
            </w:r>
          </w:p>
        </w:tc>
        <w:tc>
          <w:tcPr>
            <w:tcW w:w="1134" w:type="dxa"/>
          </w:tcPr>
          <w:p w14:paraId="1F373A34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4C09DA1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C6C00EF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66C8354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FDD98E5" w14:textId="233F81E7" w:rsidR="00297DD9" w:rsidRDefault="00297DD9" w:rsidP="00297DD9">
      <w:pPr>
        <w:pStyle w:val="Heading3"/>
        <w:keepNext/>
        <w:spacing w:before="0" w:after="0" w:line="240" w:lineRule="auto"/>
        <w:rPr>
          <w:rFonts w:ascii="Arial" w:eastAsiaTheme="minorEastAsia" w:hAnsi="Arial" w:cs="Arial"/>
          <w:b w:val="0"/>
          <w:bCs w:val="0"/>
          <w:sz w:val="20"/>
          <w:szCs w:val="20"/>
        </w:rPr>
      </w:pPr>
    </w:p>
    <w:p w14:paraId="5667465F" w14:textId="530380FA" w:rsidR="00297DD9" w:rsidRDefault="00297DD9" w:rsidP="00E66907">
      <w:pPr>
        <w:spacing w:before="0" w:after="0" w:line="240" w:lineRule="auto"/>
      </w:pPr>
    </w:p>
    <w:p w14:paraId="3DD45C66" w14:textId="2EFA3EFC" w:rsidR="00E70D33" w:rsidRPr="003B62CA" w:rsidRDefault="00D87231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 w:rsidRPr="003B62CA">
        <w:rPr>
          <w:rFonts w:ascii="Arial" w:eastAsia="Arial" w:hAnsi="Arial" w:cs="Arial"/>
          <w:lang w:bidi="pt-PT"/>
        </w:rPr>
        <w:t>Regist</w:t>
      </w:r>
      <w:r w:rsidR="003E59BA">
        <w:rPr>
          <w:rFonts w:ascii="Arial" w:eastAsia="Arial" w:hAnsi="Arial" w:cs="Arial"/>
          <w:lang w:bidi="pt-PT"/>
        </w:rPr>
        <w:t>r</w:t>
      </w:r>
      <w:r w:rsidRPr="003B62CA">
        <w:rPr>
          <w:rFonts w:ascii="Arial" w:eastAsia="Arial" w:hAnsi="Arial" w:cs="Arial"/>
          <w:lang w:bidi="pt-PT"/>
        </w:rPr>
        <w:t>o, comunicação e gestão de dados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25536B" w:rsidRPr="003B62CA" w14:paraId="35548EF3" w14:textId="77777777" w:rsidTr="00C17734">
        <w:trPr>
          <w:tblHeader/>
        </w:trPr>
        <w:tc>
          <w:tcPr>
            <w:tcW w:w="2830" w:type="dxa"/>
            <w:shd w:val="clear" w:color="auto" w:fill="009AC9"/>
          </w:tcPr>
          <w:p w14:paraId="58585E8A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512FBE01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2F991F74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20587EFB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7E0C34DA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075ADD" w:rsidRPr="003B62CA" w14:paraId="4933715B" w14:textId="77777777" w:rsidTr="00A6306A">
        <w:tc>
          <w:tcPr>
            <w:tcW w:w="2830" w:type="dxa"/>
          </w:tcPr>
          <w:p w14:paraId="2743A73C" w14:textId="68F51AA6" w:rsidR="00075ADD" w:rsidRPr="003B62CA" w:rsidRDefault="00075ADD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Existem procedimentos para </w:t>
            </w:r>
            <w:r w:rsidR="003E59BA">
              <w:rPr>
                <w:rFonts w:ascii="Arial" w:eastAsia="Arial" w:hAnsi="Arial" w:cs="Arial"/>
                <w:lang w:bidi="pt-PT"/>
              </w:rPr>
              <w:t>registrar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todos os resultados dos testes </w:t>
            </w:r>
            <w:r w:rsidR="003E59BA">
              <w:rPr>
                <w:rFonts w:ascii="Arial" w:eastAsia="Arial" w:hAnsi="Arial" w:cs="Arial"/>
                <w:lang w:bidi="pt-PT"/>
              </w:rPr>
              <w:t>em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livro de </w:t>
            </w:r>
            <w:r w:rsidR="003E59BA">
              <w:rPr>
                <w:rFonts w:ascii="Arial" w:eastAsia="Arial" w:hAnsi="Arial" w:cs="Arial"/>
                <w:lang w:bidi="pt-PT"/>
              </w:rPr>
              <w:t>registro</w:t>
            </w:r>
            <w:r w:rsidRPr="003B62CA">
              <w:rPr>
                <w:rFonts w:ascii="Arial" w:eastAsia="Arial" w:hAnsi="Arial" w:cs="Arial"/>
                <w:lang w:bidi="pt-PT"/>
              </w:rPr>
              <w:t>, ficha de trabalho ou base de dados electrónica normalizada?</w:t>
            </w:r>
          </w:p>
        </w:tc>
        <w:tc>
          <w:tcPr>
            <w:tcW w:w="1134" w:type="dxa"/>
          </w:tcPr>
          <w:p w14:paraId="69736EDA" w14:textId="77777777" w:rsidR="00075ADD" w:rsidRPr="003B62CA" w:rsidRDefault="00075ADD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C709B08" w14:textId="77777777" w:rsidR="00075ADD" w:rsidRPr="003B62CA" w:rsidRDefault="00075ADD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6F842B8" w14:textId="77777777" w:rsidR="00075ADD" w:rsidRPr="003B62CA" w:rsidRDefault="00075ADD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0D246B42" w14:textId="77777777" w:rsidR="00075ADD" w:rsidRPr="003B62CA" w:rsidRDefault="00075ADD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87231" w:rsidRPr="003B62CA" w14:paraId="13C0C97F" w14:textId="77777777" w:rsidTr="00A6306A">
        <w:tc>
          <w:tcPr>
            <w:tcW w:w="2830" w:type="dxa"/>
          </w:tcPr>
          <w:p w14:paraId="72442E88" w14:textId="53A0BBBB" w:rsidR="00D87231" w:rsidRPr="003B62CA" w:rsidRDefault="00D87231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Existem procedimentos para comunicar os resultados dos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3CB9FDE9" w14:textId="77777777" w:rsidR="00D87231" w:rsidRPr="003B62CA" w:rsidRDefault="00D87231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64E99B4" w14:textId="77777777" w:rsidR="00D87231" w:rsidRPr="003B62CA" w:rsidRDefault="00D87231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06B61DC" w14:textId="77777777" w:rsidR="00D87231" w:rsidRPr="003B62CA" w:rsidRDefault="00D87231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42961C19" w14:textId="77777777" w:rsidR="00D87231" w:rsidRPr="003B62CA" w:rsidRDefault="00D87231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075ADD" w:rsidRPr="003B62CA" w14:paraId="13481074" w14:textId="77777777" w:rsidTr="00A6306A">
        <w:tc>
          <w:tcPr>
            <w:tcW w:w="2830" w:type="dxa"/>
          </w:tcPr>
          <w:p w14:paraId="233736FC" w14:textId="62E38DA7" w:rsidR="00075ADD" w:rsidRPr="003B62CA" w:rsidRDefault="00075ADD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Existem procedimentos para notificar imediatamente os </w:t>
            </w:r>
            <w:r w:rsidRPr="003B62CA">
              <w:rPr>
                <w:rFonts w:ascii="Arial" w:eastAsia="Arial" w:hAnsi="Arial" w:cs="Arial"/>
                <w:lang w:bidi="pt-PT"/>
              </w:rPr>
              <w:lastRenderedPageBreak/>
              <w:t xml:space="preserve">médicos acerca dos resultados dos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18452B21" w14:textId="77777777" w:rsidR="00075ADD" w:rsidRPr="003B62CA" w:rsidRDefault="00075ADD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09452B4" w14:textId="77777777" w:rsidR="00075ADD" w:rsidRPr="003B62CA" w:rsidRDefault="00075ADD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5358255" w14:textId="77777777" w:rsidR="00075ADD" w:rsidRPr="003B62CA" w:rsidRDefault="00075ADD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30D5C089" w14:textId="77777777" w:rsidR="00075ADD" w:rsidRPr="003B62CA" w:rsidRDefault="00075ADD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4DF12F0D" w14:textId="77777777" w:rsidTr="00A6306A">
        <w:tc>
          <w:tcPr>
            <w:tcW w:w="2830" w:type="dxa"/>
          </w:tcPr>
          <w:p w14:paraId="2AECEBCB" w14:textId="249AF77D" w:rsidR="0025536B" w:rsidRPr="003B62CA" w:rsidRDefault="00D87231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Existem procedimentos para notificar imediatamente os resultados </w:t>
            </w:r>
            <w:r w:rsidR="003E59BA">
              <w:rPr>
                <w:rFonts w:ascii="Arial" w:eastAsia="Arial" w:hAnsi="Arial" w:cs="Arial"/>
                <w:lang w:bidi="pt-PT"/>
              </w:rPr>
              <w:t>às Equipes de Vigilância locais/regionais responsáveis pela vigilância d</w:t>
            </w:r>
            <w:r w:rsidRPr="003B62CA">
              <w:rPr>
                <w:rFonts w:ascii="Arial" w:eastAsia="Arial" w:hAnsi="Arial" w:cs="Arial"/>
                <w:lang w:bidi="pt-PT"/>
              </w:rPr>
              <w:t>o SARS-CoV-2?</w:t>
            </w:r>
          </w:p>
        </w:tc>
        <w:tc>
          <w:tcPr>
            <w:tcW w:w="1134" w:type="dxa"/>
          </w:tcPr>
          <w:p w14:paraId="5E1E9659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67AB8BC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D0DED6C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A5A1C01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44EFF2F9" w14:textId="77777777" w:rsidTr="00A6306A">
        <w:tc>
          <w:tcPr>
            <w:tcW w:w="2830" w:type="dxa"/>
          </w:tcPr>
          <w:p w14:paraId="38A6D3A6" w14:textId="3E9D1620" w:rsidR="0025536B" w:rsidRPr="003E59BA" w:rsidRDefault="0025536B" w:rsidP="00A6306A">
            <w:pPr>
              <w:spacing w:before="0" w:after="0" w:line="240" w:lineRule="auto"/>
              <w:rPr>
                <w:rFonts w:ascii="Arial" w:eastAsia="Arial" w:hAnsi="Arial" w:cs="Arial"/>
                <w:lang w:bidi="pt-PT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Existe um mecanismo para encaminhar amostras para um laboratório</w:t>
            </w:r>
            <w:r w:rsidR="003E59BA">
              <w:rPr>
                <w:rFonts w:ascii="Arial" w:eastAsia="Arial" w:hAnsi="Arial" w:cs="Arial"/>
                <w:lang w:bidi="pt-PT"/>
              </w:rPr>
              <w:t xml:space="preserve"> de referência regional/nacional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</w:t>
            </w:r>
            <w:r w:rsidR="003E59BA">
              <w:rPr>
                <w:rFonts w:ascii="Arial" w:eastAsia="Arial" w:hAnsi="Arial" w:cs="Arial"/>
                <w:lang w:bidi="pt-PT"/>
              </w:rPr>
              <w:t>para realizar a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testagem molecular (</w:t>
            </w:r>
            <w:r w:rsidR="003E59BA">
              <w:rPr>
                <w:rFonts w:ascii="Arial" w:eastAsia="Arial" w:hAnsi="Arial" w:cs="Arial"/>
                <w:lang w:bidi="pt-PT"/>
              </w:rPr>
              <w:t>RT-PCR</w:t>
            </w:r>
            <w:r w:rsidRPr="003B62CA">
              <w:rPr>
                <w:rFonts w:ascii="Arial" w:eastAsia="Arial" w:hAnsi="Arial" w:cs="Arial"/>
                <w:lang w:bidi="pt-PT"/>
              </w:rPr>
              <w:t>) do SARS-CoV-2?</w:t>
            </w:r>
          </w:p>
        </w:tc>
        <w:tc>
          <w:tcPr>
            <w:tcW w:w="1134" w:type="dxa"/>
          </w:tcPr>
          <w:p w14:paraId="73125D8B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29BA053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7624953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0A3BF55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2F0A9DA6" w14:textId="77777777" w:rsidTr="00A6306A">
        <w:tc>
          <w:tcPr>
            <w:tcW w:w="2830" w:type="dxa"/>
          </w:tcPr>
          <w:p w14:paraId="735DAD87" w14:textId="115CB079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Para amostras encaminhadas para um </w:t>
            </w:r>
            <w:r w:rsidR="003E59BA" w:rsidRPr="003B62CA">
              <w:rPr>
                <w:rFonts w:ascii="Arial" w:eastAsia="Arial" w:hAnsi="Arial" w:cs="Arial"/>
                <w:lang w:bidi="pt-PT"/>
              </w:rPr>
              <w:t>laboratório</w:t>
            </w:r>
            <w:r w:rsidR="003E59BA">
              <w:rPr>
                <w:rFonts w:ascii="Arial" w:eastAsia="Arial" w:hAnsi="Arial" w:cs="Arial"/>
                <w:lang w:bidi="pt-PT"/>
              </w:rPr>
              <w:t xml:space="preserve"> de referência regional/nacional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com vista a </w:t>
            </w:r>
            <w:r w:rsidR="00C605C4">
              <w:rPr>
                <w:rFonts w:ascii="Arial" w:eastAsia="Arial" w:hAnsi="Arial" w:cs="Arial"/>
                <w:lang w:bidi="pt-PT"/>
              </w:rPr>
              <w:t>efetuar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testes moleculares (</w:t>
            </w:r>
            <w:r w:rsidR="003E59BA">
              <w:rPr>
                <w:rFonts w:ascii="Arial" w:eastAsia="Arial" w:hAnsi="Arial" w:cs="Arial"/>
                <w:lang w:bidi="pt-PT"/>
              </w:rPr>
              <w:t>RT-PCR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) do SARS-CoV-2, existe um procedimento para </w:t>
            </w:r>
            <w:r w:rsidR="003E59BA">
              <w:rPr>
                <w:rFonts w:ascii="Arial" w:eastAsia="Arial" w:hAnsi="Arial" w:cs="Arial"/>
                <w:lang w:bidi="pt-PT"/>
              </w:rPr>
              <w:t>registrar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os resultados num livro de </w:t>
            </w:r>
            <w:r w:rsidR="003E59BA">
              <w:rPr>
                <w:rFonts w:ascii="Arial" w:eastAsia="Arial" w:hAnsi="Arial" w:cs="Arial"/>
                <w:lang w:bidi="pt-PT"/>
              </w:rPr>
              <w:t>registro</w:t>
            </w:r>
            <w:r w:rsidRPr="003B62CA">
              <w:rPr>
                <w:rFonts w:ascii="Arial" w:eastAsia="Arial" w:hAnsi="Arial" w:cs="Arial"/>
                <w:lang w:bidi="pt-PT"/>
              </w:rPr>
              <w:t>, ficha de trabalho ou base de dados electrónica normalizada?</w:t>
            </w:r>
          </w:p>
        </w:tc>
        <w:tc>
          <w:tcPr>
            <w:tcW w:w="1134" w:type="dxa"/>
          </w:tcPr>
          <w:p w14:paraId="6BD6FA18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14553D8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BAE5950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AA535B7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197E9E30" w14:textId="77777777" w:rsidTr="00A6306A">
        <w:tc>
          <w:tcPr>
            <w:tcW w:w="2830" w:type="dxa"/>
          </w:tcPr>
          <w:p w14:paraId="5C266F7A" w14:textId="2030846F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O acesso a informação sensível, p. ex., os livros de </w:t>
            </w:r>
            <w:r w:rsidR="003E59BA">
              <w:rPr>
                <w:rFonts w:ascii="Arial" w:eastAsia="Arial" w:hAnsi="Arial" w:cs="Arial"/>
                <w:lang w:bidi="pt-PT"/>
              </w:rPr>
              <w:t>registro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dos resultados, é controlado?</w:t>
            </w:r>
          </w:p>
        </w:tc>
        <w:tc>
          <w:tcPr>
            <w:tcW w:w="1134" w:type="dxa"/>
          </w:tcPr>
          <w:p w14:paraId="498F8CB0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3150EF6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9EBB0BB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61E7ED11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9695560" w14:textId="5BC7C8F4" w:rsidR="00E70D33" w:rsidRPr="003B62CA" w:rsidRDefault="00E70D33" w:rsidP="001A1CEC">
      <w:pPr>
        <w:spacing w:before="0" w:after="0" w:line="240" w:lineRule="auto"/>
        <w:rPr>
          <w:rFonts w:ascii="Arial" w:hAnsi="Arial" w:cs="Arial"/>
        </w:rPr>
      </w:pPr>
    </w:p>
    <w:p w14:paraId="78FCFAB8" w14:textId="1A752F05" w:rsidR="00E70D33" w:rsidRPr="003B62CA" w:rsidRDefault="00276EE2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 w:rsidRPr="003B62CA">
        <w:rPr>
          <w:rFonts w:ascii="Arial" w:eastAsia="Arial" w:hAnsi="Arial" w:cs="Arial"/>
          <w:lang w:bidi="pt-PT"/>
        </w:rPr>
        <w:t>Garantia de qualidade (GQ)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25536B" w:rsidRPr="003B62CA" w14:paraId="5CFC5452" w14:textId="77777777" w:rsidTr="00C17734">
        <w:trPr>
          <w:tblHeader/>
        </w:trPr>
        <w:tc>
          <w:tcPr>
            <w:tcW w:w="2830" w:type="dxa"/>
            <w:shd w:val="clear" w:color="auto" w:fill="009AC9"/>
          </w:tcPr>
          <w:p w14:paraId="6ADEA42D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7A4D32C7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7EA1F3CD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2612F4E3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40497438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B62C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25536B" w:rsidRPr="003B62CA" w14:paraId="0FE55C76" w14:textId="77777777" w:rsidTr="00A6306A">
        <w:tc>
          <w:tcPr>
            <w:tcW w:w="2830" w:type="dxa"/>
          </w:tcPr>
          <w:p w14:paraId="4F28CB99" w14:textId="2BEACBA7" w:rsidR="0025536B" w:rsidRPr="003B62CA" w:rsidRDefault="00977E1F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Existem procedimentos para aplicar medidas corretivas quando o resultado da avaliação é fraco?</w:t>
            </w:r>
          </w:p>
        </w:tc>
        <w:tc>
          <w:tcPr>
            <w:tcW w:w="1134" w:type="dxa"/>
          </w:tcPr>
          <w:p w14:paraId="6B177DA7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F3C5E09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9F06E8A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7CD73EF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0FD5E06F" w14:textId="77777777" w:rsidTr="00A6306A">
        <w:tc>
          <w:tcPr>
            <w:tcW w:w="2830" w:type="dxa"/>
          </w:tcPr>
          <w:p w14:paraId="6D18DD07" w14:textId="5E91D8F3" w:rsidR="0025536B" w:rsidRPr="003B62CA" w:rsidRDefault="007102F5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>Estão disponíveis amostras de control</w:t>
            </w:r>
            <w:r w:rsidR="003E59BA">
              <w:rPr>
                <w:rFonts w:ascii="Arial" w:eastAsia="Arial" w:hAnsi="Arial" w:cs="Arial"/>
                <w:lang w:bidi="pt-PT"/>
              </w:rPr>
              <w:t>e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de qualidade para fazer os 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6DE43E4A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8369AAF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1D92AE1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34EC484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3B62CA" w14:paraId="11636F01" w14:textId="77777777" w:rsidTr="00A6306A">
        <w:tc>
          <w:tcPr>
            <w:tcW w:w="2830" w:type="dxa"/>
          </w:tcPr>
          <w:p w14:paraId="1B0FCC0E" w14:textId="4C558FE6" w:rsidR="0025536B" w:rsidRPr="00FA51DC" w:rsidRDefault="005B4EC4" w:rsidP="00A6306A">
            <w:pPr>
              <w:spacing w:before="0" w:after="0" w:line="240" w:lineRule="auto"/>
              <w:rPr>
                <w:rFonts w:ascii="Arial" w:hAnsi="Arial" w:cs="Arial"/>
              </w:rPr>
            </w:pPr>
            <w:bookmarkStart w:id="0" w:name="_Hlk55918177"/>
            <w:r>
              <w:rPr>
                <w:rFonts w:ascii="Arial" w:eastAsia="Arial" w:hAnsi="Arial" w:cs="Arial"/>
                <w:lang w:bidi="pt-PT"/>
              </w:rPr>
              <w:t xml:space="preserve">Existem procedimentos </w:t>
            </w:r>
            <w:r w:rsidR="003E59BA">
              <w:rPr>
                <w:rFonts w:ascii="Arial" w:eastAsia="Arial" w:hAnsi="Arial" w:cs="Arial"/>
                <w:lang w:bidi="pt-PT"/>
              </w:rPr>
              <w:t xml:space="preserve">operacionais </w:t>
            </w:r>
            <w:r>
              <w:rPr>
                <w:rFonts w:ascii="Arial" w:eastAsia="Arial" w:hAnsi="Arial" w:cs="Arial"/>
                <w:lang w:bidi="pt-PT"/>
              </w:rPr>
              <w:t xml:space="preserve">disponíveis para </w:t>
            </w:r>
            <w:r w:rsidR="003E59BA">
              <w:rPr>
                <w:rFonts w:ascii="Arial" w:eastAsia="Arial" w:hAnsi="Arial" w:cs="Arial"/>
                <w:lang w:bidi="pt-PT"/>
              </w:rPr>
              <w:t>registrar</w:t>
            </w:r>
            <w:r>
              <w:rPr>
                <w:rFonts w:ascii="Arial" w:eastAsia="Arial" w:hAnsi="Arial" w:cs="Arial"/>
                <w:lang w:bidi="pt-PT"/>
              </w:rPr>
              <w:t xml:space="preserve"> e comunicar </w:t>
            </w:r>
            <w:r w:rsidR="003E59BA">
              <w:rPr>
                <w:rFonts w:ascii="Arial" w:eastAsia="Arial" w:hAnsi="Arial" w:cs="Arial"/>
                <w:lang w:bidi="pt-PT"/>
              </w:rPr>
              <w:t>a</w:t>
            </w:r>
            <w:r>
              <w:rPr>
                <w:rFonts w:ascii="Arial" w:eastAsia="Arial" w:hAnsi="Arial" w:cs="Arial"/>
                <w:lang w:bidi="pt-PT"/>
              </w:rPr>
              <w:t>os</w:t>
            </w:r>
            <w:r w:rsidR="003E59BA">
              <w:rPr>
                <w:rFonts w:ascii="Arial" w:eastAsia="Arial" w:hAnsi="Arial" w:cs="Arial"/>
                <w:lang w:bidi="pt-PT"/>
              </w:rPr>
              <w:t xml:space="preserve"> responsáveis os</w:t>
            </w:r>
            <w:r>
              <w:rPr>
                <w:rFonts w:ascii="Arial" w:eastAsia="Arial" w:hAnsi="Arial" w:cs="Arial"/>
                <w:lang w:bidi="pt-PT"/>
              </w:rPr>
              <w:t xml:space="preserve"> resultados do control</w:t>
            </w:r>
            <w:r w:rsidR="003E59BA">
              <w:rPr>
                <w:rFonts w:ascii="Arial" w:eastAsia="Arial" w:hAnsi="Arial" w:cs="Arial"/>
                <w:lang w:bidi="pt-PT"/>
              </w:rPr>
              <w:t>e</w:t>
            </w:r>
            <w:r>
              <w:rPr>
                <w:rFonts w:ascii="Arial" w:eastAsia="Arial" w:hAnsi="Arial" w:cs="Arial"/>
                <w:lang w:bidi="pt-PT"/>
              </w:rPr>
              <w:t xml:space="preserve"> de qualidade e as medidas corretivas</w:t>
            </w:r>
            <w:bookmarkEnd w:id="0"/>
            <w:r w:rsidR="003E59BA">
              <w:rPr>
                <w:rFonts w:ascii="Arial" w:eastAsia="Arial" w:hAnsi="Arial" w:cs="Arial"/>
                <w:lang w:bidi="pt-PT"/>
              </w:rPr>
              <w:t>?</w:t>
            </w:r>
          </w:p>
        </w:tc>
        <w:tc>
          <w:tcPr>
            <w:tcW w:w="1134" w:type="dxa"/>
          </w:tcPr>
          <w:p w14:paraId="481404BC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3067D5C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B03FCD3" w14:textId="77777777" w:rsidR="0025536B" w:rsidRPr="003B62CA" w:rsidRDefault="0025536B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30712A8" w14:textId="77777777" w:rsidR="0025536B" w:rsidRPr="003B62CA" w:rsidRDefault="0025536B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7102F5" w:rsidRPr="003B62CA" w14:paraId="000B5005" w14:textId="77777777" w:rsidTr="00A6306A">
        <w:tc>
          <w:tcPr>
            <w:tcW w:w="2830" w:type="dxa"/>
          </w:tcPr>
          <w:p w14:paraId="1B445001" w14:textId="1A83ED87" w:rsidR="007102F5" w:rsidRPr="003B62CA" w:rsidRDefault="00D87231" w:rsidP="00A6306A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Existem procedimentos </w:t>
            </w:r>
            <w:r w:rsidR="003E59BA">
              <w:rPr>
                <w:rFonts w:ascii="Arial" w:eastAsia="Arial" w:hAnsi="Arial" w:cs="Arial"/>
                <w:lang w:bidi="pt-PT"/>
              </w:rPr>
              <w:t>operacionais</w:t>
            </w:r>
            <w:r w:rsidR="003E59BA" w:rsidRPr="003B62CA">
              <w:rPr>
                <w:rFonts w:ascii="Arial" w:eastAsia="Arial" w:hAnsi="Arial" w:cs="Arial"/>
                <w:lang w:bidi="pt-PT"/>
              </w:rPr>
              <w:t xml:space="preserve"> </w:t>
            </w:r>
            <w:r w:rsidRPr="003B62CA">
              <w:rPr>
                <w:rFonts w:ascii="Arial" w:eastAsia="Arial" w:hAnsi="Arial" w:cs="Arial"/>
                <w:lang w:bidi="pt-PT"/>
              </w:rPr>
              <w:t>para o local de testagem re</w:t>
            </w:r>
            <w:r w:rsidR="003E59BA">
              <w:rPr>
                <w:rFonts w:ascii="Arial" w:eastAsia="Arial" w:hAnsi="Arial" w:cs="Arial"/>
                <w:lang w:bidi="pt-PT"/>
              </w:rPr>
              <w:t xml:space="preserve">gistrar 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indicadores de qualidade (IQ) para medir as tendências na qualidade do </w:t>
            </w:r>
            <w:r w:rsidRPr="003B62CA">
              <w:rPr>
                <w:rFonts w:ascii="Arial" w:eastAsia="Arial" w:hAnsi="Arial" w:cs="Arial"/>
                <w:lang w:bidi="pt-PT"/>
              </w:rPr>
              <w:lastRenderedPageBreak/>
              <w:t xml:space="preserve">TDR de detecção do </w:t>
            </w:r>
            <w:r w:rsidR="00FD2574">
              <w:rPr>
                <w:rFonts w:ascii="Arial" w:eastAsia="Arial" w:hAnsi="Arial" w:cs="Arial"/>
                <w:lang w:bidi="pt-PT"/>
              </w:rPr>
              <w:t>antígeno</w:t>
            </w:r>
            <w:r w:rsidRPr="003B62C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26BE056A" w14:textId="77777777" w:rsidR="007102F5" w:rsidRPr="003B62CA" w:rsidRDefault="007102F5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2E27F2F" w14:textId="77777777" w:rsidR="007102F5" w:rsidRPr="003B62CA" w:rsidRDefault="007102F5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6361973" w14:textId="77777777" w:rsidR="007102F5" w:rsidRPr="003B62CA" w:rsidRDefault="007102F5" w:rsidP="00A6306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047B0F6C" w14:textId="77777777" w:rsidR="007102F5" w:rsidRPr="003B62CA" w:rsidRDefault="007102F5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64C1A" w:rsidRPr="003B62CA" w14:paraId="6E8ABEA3" w14:textId="77777777" w:rsidTr="00C64C1A">
        <w:tc>
          <w:tcPr>
            <w:tcW w:w="2830" w:type="dxa"/>
          </w:tcPr>
          <w:p w14:paraId="37B74306" w14:textId="37676065" w:rsidR="00C64C1A" w:rsidRPr="003B62CA" w:rsidRDefault="00C64C1A" w:rsidP="00D87231">
            <w:pPr>
              <w:spacing w:before="0" w:after="0" w:line="240" w:lineRule="auto"/>
              <w:rPr>
                <w:rFonts w:ascii="Arial" w:hAnsi="Arial" w:cs="Arial"/>
              </w:rPr>
            </w:pPr>
            <w:r w:rsidRPr="003B62CA">
              <w:rPr>
                <w:rFonts w:ascii="Arial" w:eastAsia="Arial" w:hAnsi="Arial" w:cs="Arial"/>
                <w:lang w:bidi="pt-PT"/>
              </w:rPr>
              <w:t xml:space="preserve">Existem procedimentos </w:t>
            </w:r>
            <w:r w:rsidR="003E59BA">
              <w:rPr>
                <w:rFonts w:ascii="Arial" w:eastAsia="Arial" w:hAnsi="Arial" w:cs="Arial"/>
                <w:lang w:bidi="pt-PT"/>
              </w:rPr>
              <w:t xml:space="preserve">operacionais e fluxos definidos para a comunicação dos IQ aos gestores, supervisores, rede de vigilância ou rede laboratorial de referência? </w:t>
            </w:r>
          </w:p>
        </w:tc>
        <w:tc>
          <w:tcPr>
            <w:tcW w:w="1134" w:type="dxa"/>
          </w:tcPr>
          <w:p w14:paraId="61E51A91" w14:textId="77777777" w:rsidR="00C64C1A" w:rsidRPr="003B62CA" w:rsidRDefault="00C64C1A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  <w:p w14:paraId="6F23ECED" w14:textId="77777777" w:rsidR="00C64C1A" w:rsidRPr="003B62CA" w:rsidRDefault="00C64C1A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F9C6D8F" w14:textId="77777777" w:rsidR="00C64C1A" w:rsidRPr="003B62CA" w:rsidRDefault="00C64C1A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60C4414" w14:textId="77777777" w:rsidR="00C64C1A" w:rsidRPr="003B62CA" w:rsidRDefault="00C64C1A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379F1F91" w14:textId="63A1B011" w:rsidR="00C64C1A" w:rsidRPr="003B62CA" w:rsidRDefault="00C64C1A" w:rsidP="00A6306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C999D13" w14:textId="77777777" w:rsidR="0025536B" w:rsidRPr="003B62CA" w:rsidRDefault="0025536B" w:rsidP="0025536B">
      <w:pPr>
        <w:rPr>
          <w:rFonts w:ascii="Arial" w:hAnsi="Arial" w:cs="Arial"/>
        </w:rPr>
      </w:pPr>
    </w:p>
    <w:p w14:paraId="0A4142AD" w14:textId="68F423A9" w:rsidR="008F6379" w:rsidRDefault="00276EE2" w:rsidP="001A1CEC">
      <w:pPr>
        <w:spacing w:before="0" w:after="0" w:line="240" w:lineRule="auto"/>
        <w:rPr>
          <w:rFonts w:ascii="Arial" w:hAnsi="Arial" w:cs="Arial"/>
        </w:rPr>
      </w:pPr>
      <w:r w:rsidRPr="003B62CA">
        <w:rPr>
          <w:rFonts w:ascii="Arial" w:eastAsia="Arial" w:hAnsi="Arial" w:cs="Arial"/>
          <w:lang w:bidi="pt-PT"/>
        </w:rPr>
        <w:br/>
      </w:r>
    </w:p>
    <w:p w14:paraId="7908E774" w14:textId="65A43DE8" w:rsidR="008F6379" w:rsidRDefault="008F6379" w:rsidP="001A1CEC">
      <w:pPr>
        <w:spacing w:before="0" w:after="0" w:line="240" w:lineRule="auto"/>
        <w:rPr>
          <w:rFonts w:ascii="Arial" w:hAnsi="Arial" w:cs="Arial"/>
        </w:rPr>
      </w:pPr>
    </w:p>
    <w:p w14:paraId="68E7D55B" w14:textId="20F0E95D" w:rsidR="008F6379" w:rsidRDefault="008F6379" w:rsidP="001A1CEC">
      <w:pPr>
        <w:spacing w:before="0" w:after="0" w:line="240" w:lineRule="auto"/>
        <w:rPr>
          <w:rFonts w:ascii="Arial" w:hAnsi="Arial" w:cs="Arial"/>
        </w:rPr>
      </w:pPr>
    </w:p>
    <w:p w14:paraId="55355E70" w14:textId="7B74DDBA" w:rsidR="008F6379" w:rsidRDefault="008F6379" w:rsidP="001A1CEC">
      <w:pPr>
        <w:spacing w:before="0" w:after="0" w:line="240" w:lineRule="auto"/>
        <w:rPr>
          <w:rFonts w:ascii="Arial" w:hAnsi="Arial" w:cs="Arial"/>
        </w:rPr>
      </w:pPr>
    </w:p>
    <w:p w14:paraId="4D6B301D" w14:textId="7A181784" w:rsidR="008F6379" w:rsidRDefault="00B62D9E" w:rsidP="001A1CEC">
      <w:pPr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82921" wp14:editId="1E4F87AE">
                <wp:simplePos x="0" y="0"/>
                <wp:positionH relativeFrom="column">
                  <wp:posOffset>0</wp:posOffset>
                </wp:positionH>
                <wp:positionV relativeFrom="paragraph">
                  <wp:posOffset>142701</wp:posOffset>
                </wp:positionV>
                <wp:extent cx="5713095" cy="3406747"/>
                <wp:effectExtent l="0" t="0" r="14605" b="1016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34067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C0F7FB" w14:textId="17272069" w:rsidR="00B62D9E" w:rsidRDefault="00B62D9E" w:rsidP="00B62D9E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  <w:r w:rsidRPr="009016CB"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  <w:t>Isenção de responsabilidade</w:t>
                            </w:r>
                          </w:p>
                          <w:p w14:paraId="6C84C3D8" w14:textId="5313165D" w:rsidR="00B62D9E" w:rsidRPr="00197233" w:rsidRDefault="00B62D9E" w:rsidP="00B62D9E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  <w:t>Plataforma de Aprendizagem de Segurança da Saúde da OMS - Materiais de Treinamento</w:t>
                            </w:r>
                          </w:p>
                          <w:p w14:paraId="3C5A385E" w14:textId="1A487D78" w:rsidR="00B62D9E" w:rsidRPr="006828BE" w:rsidRDefault="00B62D9E" w:rsidP="00B62D9E">
                            <w:pPr>
                              <w:spacing w:line="240" w:lineRule="auto"/>
                              <w:rPr>
                                <w:rFonts w:ascii="Arial" w:eastAsiaTheme="majorEastAsia" w:hAnsi="Arial" w:cs="Arial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Estes materiais de treinamento da OMS são © Organização Mundial da Saúde (OMS) 202</w:t>
                            </w:r>
                            <w:r w:rsidR="00736983">
                              <w:rPr>
                                <w:rFonts w:ascii="Arial" w:eastAsiaTheme="majorEastAsia" w:hAnsi="Arial" w:cs="Arial"/>
                              </w:rPr>
                              <w:t>2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. Todos os direitos reservados.</w:t>
                            </w:r>
                          </w:p>
                          <w:p w14:paraId="3B8670DB" w14:textId="214E95C4" w:rsidR="00B62D9E" w:rsidRPr="006828BE" w:rsidRDefault="00B62D9E" w:rsidP="00B62D9E">
                            <w:pPr>
                              <w:spacing w:line="240" w:lineRule="auto"/>
                              <w:rPr>
                                <w:rFonts w:ascii="Arial" w:eastAsiaTheme="majorEastAsia" w:hAnsi="Arial" w:cs="Arial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Seu uso destes materiais está sujeito à </w:t>
                            </w:r>
                            <w:r w:rsidRPr="006828BE">
                              <w:rPr>
                                <w:rFonts w:ascii="Arial" w:eastAsia="MS Mincho" w:hAnsi="Arial" w:cs="Arial"/>
                              </w:rPr>
                              <w:t>“</w:t>
                            </w:r>
                            <w:hyperlink r:id="rId8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</w:rPr>
                                <w:t>WHO Health Security Learning Platform, Training Materials – Terms of Use</w:t>
                              </w:r>
                            </w:hyperlink>
                            <w:r w:rsidRPr="006828BE">
                              <w:rPr>
                                <w:rFonts w:ascii="Arial" w:eastAsia="MS Mincho" w:hAnsi="Arial" w:cs="Arial"/>
                              </w:rPr>
                              <w:t>”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que você aceitou quando os baixou e que estão disponíveis na Plataforma de Aprendizagem de Segurança da Saúde em: </w:t>
                            </w:r>
                            <w:hyperlink r:id="rId9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</w:rPr>
                                <w:t>https://extranet.who.int/hslp</w:t>
                              </w:r>
                            </w:hyperlink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.  </w:t>
                            </w:r>
                          </w:p>
                          <w:p w14:paraId="2FA4594D" w14:textId="77777777" w:rsidR="00B62D9E" w:rsidRPr="006828BE" w:rsidRDefault="00B62D9E" w:rsidP="00B62D9E">
                            <w:pPr>
                              <w:spacing w:line="240" w:lineRule="auto"/>
                              <w:rPr>
                                <w:rFonts w:ascii="Arial" w:eastAsiaTheme="majorEastAsia" w:hAnsi="Arial" w:cs="Arial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      </w:r>
                            <w:r w:rsidRPr="00197233"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emblema da OMS em tais materiais modificados.  </w:t>
                            </w:r>
                          </w:p>
                          <w:p w14:paraId="4F02AD59" w14:textId="77777777" w:rsidR="00B62D9E" w:rsidRPr="00197233" w:rsidRDefault="00B62D9E" w:rsidP="00B62D9E">
                            <w:pPr>
                              <w:spacing w:line="240" w:lineRule="auto"/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      </w:r>
                            <w:hyperlink r:id="rId10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</w:rPr>
                                <w:t>ihrhrt@who.int</w:t>
                              </w:r>
                            </w:hyperlink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.</w:t>
                            </w:r>
                          </w:p>
                          <w:p w14:paraId="34C10906" w14:textId="77777777" w:rsidR="00B62D9E" w:rsidRDefault="00B62D9E" w:rsidP="00B62D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82921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0;margin-top:11.25pt;width:449.85pt;height:2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" fillcolor="white [3201]" strokeweight=".5pt">
                <v:textbox>
                  <w:txbxContent>
                    <w:p w14:paraId="51C0F7FB" w14:textId="17272069" w:rsidR="00B62D9E" w:rsidRDefault="00B62D9E" w:rsidP="00B62D9E">
                      <w:pPr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  <w:r w:rsidRPr="009016CB">
                        <w:rPr>
                          <w:rFonts w:ascii="Arial" w:eastAsiaTheme="majorEastAsia" w:hAnsi="Arial" w:cs="Arial"/>
                          <w:b/>
                          <w:bCs/>
                        </w:rPr>
                        <w:t>Isenção de responsabilidade</w:t>
                      </w:r>
                    </w:p>
                    <w:p w14:paraId="6C84C3D8" w14:textId="5313165D" w:rsidR="00B62D9E" w:rsidRPr="00197233" w:rsidRDefault="00B62D9E" w:rsidP="00B62D9E">
                      <w:pPr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b/>
                          <w:bCs/>
                        </w:rPr>
                        <w:t>Plataforma de Aprendizagem de Segurança da Saúde da OMS - Materiais de Treinamento</w:t>
                      </w:r>
                    </w:p>
                    <w:p w14:paraId="3C5A385E" w14:textId="1A487D78" w:rsidR="00B62D9E" w:rsidRPr="006828BE" w:rsidRDefault="00B62D9E" w:rsidP="00B62D9E">
                      <w:pPr>
                        <w:spacing w:line="240" w:lineRule="auto"/>
                        <w:rPr>
                          <w:rFonts w:ascii="Arial" w:eastAsiaTheme="majorEastAsia" w:hAnsi="Arial" w:cs="Arial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>Estes materiais de treinamento da OMS são © Organização Mundial da Saúde (OMS) 202</w:t>
                      </w:r>
                      <w:r w:rsidR="00736983">
                        <w:rPr>
                          <w:rFonts w:ascii="Arial" w:eastAsiaTheme="majorEastAsia" w:hAnsi="Arial" w:cs="Arial"/>
                        </w:rPr>
                        <w:t>2</w:t>
                      </w:r>
                      <w:r w:rsidRPr="006828BE">
                        <w:rPr>
                          <w:rFonts w:ascii="Arial" w:eastAsiaTheme="majorEastAsia" w:hAnsi="Arial" w:cs="Arial"/>
                        </w:rPr>
                        <w:t>. Todos os direitos reservados.</w:t>
                      </w:r>
                    </w:p>
                    <w:p w14:paraId="3B8670DB" w14:textId="214E95C4" w:rsidR="00B62D9E" w:rsidRPr="006828BE" w:rsidRDefault="00B62D9E" w:rsidP="00B62D9E">
                      <w:pPr>
                        <w:spacing w:line="240" w:lineRule="auto"/>
                        <w:rPr>
                          <w:rFonts w:ascii="Arial" w:eastAsiaTheme="majorEastAsia" w:hAnsi="Arial" w:cs="Arial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Seu uso destes materiais está sujeito à </w:t>
                      </w:r>
                      <w:r w:rsidRPr="006828BE">
                        <w:rPr>
                          <w:rFonts w:ascii="Arial" w:eastAsia="MS Mincho" w:hAnsi="Arial" w:cs="Arial"/>
                        </w:rPr>
                        <w:t>“</w:t>
                      </w:r>
                      <w:hyperlink r:id="rId11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u w:val="single"/>
                          </w:rPr>
                          <w:t>WHO Health Security Learning Platform, Training Materials – Terms of Use</w:t>
                        </w:r>
                      </w:hyperlink>
                      <w:r w:rsidRPr="006828BE">
                        <w:rPr>
                          <w:rFonts w:ascii="Arial" w:eastAsia="MS Mincho" w:hAnsi="Arial" w:cs="Arial"/>
                        </w:rPr>
                        <w:t>”</w:t>
                      </w: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que você aceitou quando os baixou e que estão disponíveis na Plataforma de Aprendizagem de Segurança da Saúde em: </w:t>
                      </w:r>
                      <w:hyperlink r:id="rId12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u w:val="single"/>
                          </w:rPr>
                          <w:t>https://extranet.who.int/hslp</w:t>
                        </w:r>
                      </w:hyperlink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.  </w:t>
                      </w:r>
                    </w:p>
                    <w:p w14:paraId="2FA4594D" w14:textId="77777777" w:rsidR="00B62D9E" w:rsidRPr="006828BE" w:rsidRDefault="00B62D9E" w:rsidP="00B62D9E">
                      <w:pPr>
                        <w:spacing w:line="240" w:lineRule="auto"/>
                        <w:rPr>
                          <w:rFonts w:ascii="Arial" w:eastAsiaTheme="majorEastAsia" w:hAnsi="Arial" w:cs="Arial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</w:r>
                      <w:r w:rsidRPr="00197233">
                        <w:rPr>
                          <w:rFonts w:ascii="Arial" w:eastAsiaTheme="majorEastAsia" w:hAnsi="Arial" w:cs="Arial"/>
                          <w:b/>
                          <w:bCs/>
                        </w:rPr>
                        <w:t xml:space="preserve"> </w:t>
                      </w: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emblema da OMS em tais materiais modificados.  </w:t>
                      </w:r>
                    </w:p>
                    <w:p w14:paraId="4F02AD59" w14:textId="77777777" w:rsidR="00B62D9E" w:rsidRPr="00197233" w:rsidRDefault="00B62D9E" w:rsidP="00B62D9E">
                      <w:pPr>
                        <w:spacing w:line="240" w:lineRule="auto"/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</w:r>
                      <w:hyperlink r:id="rId13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u w:val="single"/>
                          </w:rPr>
                          <w:t>ihrhrt@who.int</w:t>
                        </w:r>
                      </w:hyperlink>
                      <w:r w:rsidRPr="006828BE">
                        <w:rPr>
                          <w:rFonts w:ascii="Arial" w:eastAsiaTheme="majorEastAsia" w:hAnsi="Arial" w:cs="Arial"/>
                        </w:rPr>
                        <w:t>.</w:t>
                      </w:r>
                    </w:p>
                    <w:p w14:paraId="34C10906" w14:textId="77777777" w:rsidR="00B62D9E" w:rsidRDefault="00B62D9E" w:rsidP="00B62D9E"/>
                  </w:txbxContent>
                </v:textbox>
              </v:shape>
            </w:pict>
          </mc:Fallback>
        </mc:AlternateContent>
      </w:r>
    </w:p>
    <w:p w14:paraId="1C2B638D" w14:textId="60716AB9" w:rsidR="00E70D33" w:rsidRPr="003B62CA" w:rsidRDefault="00276EE2" w:rsidP="001A1CEC">
      <w:pPr>
        <w:spacing w:before="0" w:after="0" w:line="240" w:lineRule="auto"/>
        <w:rPr>
          <w:rFonts w:ascii="Arial" w:hAnsi="Arial" w:cs="Arial"/>
        </w:rPr>
      </w:pPr>
      <w:r w:rsidRPr="003B62CA">
        <w:rPr>
          <w:rFonts w:ascii="Arial" w:eastAsia="Arial" w:hAnsi="Arial" w:cs="Arial"/>
          <w:lang w:bidi="pt-PT"/>
        </w:rPr>
        <w:br/>
      </w:r>
    </w:p>
    <w:p w14:paraId="7FF75959" w14:textId="63230411" w:rsidR="00E70D33" w:rsidRPr="003B62CA" w:rsidRDefault="00E70D33" w:rsidP="001A1CEC">
      <w:pPr>
        <w:spacing w:before="0" w:after="0" w:line="240" w:lineRule="auto"/>
        <w:rPr>
          <w:rFonts w:ascii="Arial" w:hAnsi="Arial" w:cs="Arial"/>
        </w:rPr>
      </w:pPr>
    </w:p>
    <w:p w14:paraId="72C8B00F" w14:textId="60CDAD99" w:rsidR="00F25C2E" w:rsidRPr="003B62CA" w:rsidRDefault="00F25C2E" w:rsidP="001A1CEC">
      <w:pPr>
        <w:spacing w:before="0" w:after="0" w:line="240" w:lineRule="auto"/>
        <w:rPr>
          <w:rFonts w:ascii="Arial" w:hAnsi="Arial" w:cs="Arial"/>
        </w:rPr>
      </w:pPr>
    </w:p>
    <w:p w14:paraId="4D89BAA5" w14:textId="37CA33A5" w:rsidR="00F25C2E" w:rsidRPr="003B62CA" w:rsidRDefault="00F25C2E" w:rsidP="001A1CEC">
      <w:pPr>
        <w:spacing w:before="0" w:after="0" w:line="240" w:lineRule="auto"/>
        <w:rPr>
          <w:rFonts w:ascii="Arial" w:hAnsi="Arial" w:cs="Arial"/>
        </w:rPr>
      </w:pPr>
    </w:p>
    <w:p w14:paraId="632C0367" w14:textId="1CC2536B" w:rsidR="00F25C2E" w:rsidRPr="003B62CA" w:rsidRDefault="00F25C2E" w:rsidP="001A1CEC">
      <w:pPr>
        <w:spacing w:before="0" w:after="0" w:line="240" w:lineRule="auto"/>
        <w:rPr>
          <w:rFonts w:ascii="Arial" w:hAnsi="Arial" w:cs="Arial"/>
        </w:rPr>
      </w:pPr>
    </w:p>
    <w:sectPr w:rsidR="00F25C2E" w:rsidRPr="003B62CA">
      <w:footerReference w:type="even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E6E3C" w14:textId="77777777" w:rsidR="00001B85" w:rsidRDefault="00001B85" w:rsidP="001A1CEC">
      <w:pPr>
        <w:spacing w:before="0" w:after="0" w:line="240" w:lineRule="auto"/>
      </w:pPr>
      <w:r>
        <w:separator/>
      </w:r>
    </w:p>
  </w:endnote>
  <w:endnote w:type="continuationSeparator" w:id="0">
    <w:p w14:paraId="53C1EA95" w14:textId="77777777" w:rsidR="00001B85" w:rsidRDefault="00001B85" w:rsidP="001A1C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9512633"/>
      <w:docPartObj>
        <w:docPartGallery w:val="Page Numbers (Bottom of Page)"/>
        <w:docPartUnique/>
      </w:docPartObj>
    </w:sdtPr>
    <w:sdtContent>
      <w:p w14:paraId="0D61A720" w14:textId="25FBE3A1" w:rsidR="001A1CEC" w:rsidRDefault="001A1CEC" w:rsidP="007E1AB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pt-PT"/>
          </w:rPr>
          <w:fldChar w:fldCharType="begin"/>
        </w:r>
        <w:r>
          <w:rPr>
            <w:rStyle w:val="PageNumber"/>
            <w:lang w:bidi="pt-PT"/>
          </w:rPr>
          <w:instrText xml:space="preserve"> PAGE </w:instrText>
        </w:r>
        <w:r w:rsidR="00736983">
          <w:rPr>
            <w:rStyle w:val="PageNumber"/>
            <w:lang w:bidi="pt-PT"/>
          </w:rPr>
          <w:fldChar w:fldCharType="separate"/>
        </w:r>
        <w:r w:rsidR="00736983">
          <w:rPr>
            <w:rStyle w:val="PageNumber"/>
            <w:noProof/>
            <w:lang w:bidi="pt-PT"/>
          </w:rPr>
          <w:t>2</w:t>
        </w:r>
        <w:r>
          <w:rPr>
            <w:rStyle w:val="PageNumber"/>
            <w:lang w:bidi="pt-PT"/>
          </w:rPr>
          <w:fldChar w:fldCharType="end"/>
        </w:r>
      </w:p>
    </w:sdtContent>
  </w:sdt>
  <w:p w14:paraId="3E98F7A7" w14:textId="77777777" w:rsidR="001A1CEC" w:rsidRDefault="001A1CEC" w:rsidP="001A1C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9BE9" w14:textId="30B6BAD6" w:rsidR="001A1CEC" w:rsidRPr="00C17734" w:rsidRDefault="00C17734" w:rsidP="007E1AB5">
    <w:pPr>
      <w:pStyle w:val="Footer"/>
      <w:framePr w:wrap="none" w:vAnchor="text" w:hAnchor="margin" w:xAlign="right" w:y="1"/>
      <w:rPr>
        <w:rStyle w:val="PageNumber"/>
        <w:rFonts w:ascii="Arial" w:hAnsi="Arial" w:cs="Arial"/>
      </w:rPr>
    </w:pPr>
    <w:r w:rsidRPr="00C17734">
      <w:rPr>
        <w:rStyle w:val="PageNumber"/>
        <w:rFonts w:ascii="Arial" w:eastAsia="Arial" w:hAnsi="Arial" w:cs="Arial"/>
        <w:lang w:bidi="pt-PT"/>
      </w:rPr>
      <w:t xml:space="preserve">Página </w:t>
    </w:r>
    <w:r w:rsidRPr="00C17734">
      <w:rPr>
        <w:rStyle w:val="PageNumber"/>
        <w:rFonts w:ascii="Arial" w:eastAsia="Arial" w:hAnsi="Arial" w:cs="Arial"/>
        <w:lang w:bidi="pt-PT"/>
      </w:rPr>
      <w:fldChar w:fldCharType="begin"/>
    </w:r>
    <w:r w:rsidRPr="00C17734">
      <w:rPr>
        <w:rStyle w:val="PageNumber"/>
        <w:rFonts w:ascii="Arial" w:eastAsia="Arial" w:hAnsi="Arial" w:cs="Arial"/>
        <w:lang w:bidi="pt-PT"/>
      </w:rPr>
      <w:instrText xml:space="preserve"> PAGE </w:instrText>
    </w:r>
    <w:r w:rsidRPr="00C17734">
      <w:rPr>
        <w:rStyle w:val="PageNumber"/>
        <w:rFonts w:ascii="Arial" w:eastAsia="Arial" w:hAnsi="Arial" w:cs="Arial"/>
        <w:lang w:bidi="pt-PT"/>
      </w:rPr>
      <w:fldChar w:fldCharType="separate"/>
    </w:r>
    <w:r w:rsidRPr="00C17734">
      <w:rPr>
        <w:rStyle w:val="PageNumber"/>
        <w:rFonts w:ascii="Arial" w:eastAsia="Arial" w:hAnsi="Arial" w:cs="Arial"/>
        <w:noProof/>
        <w:lang w:bidi="pt-PT"/>
      </w:rPr>
      <w:t>1</w:t>
    </w:r>
    <w:r w:rsidRPr="00C17734">
      <w:rPr>
        <w:rStyle w:val="PageNumber"/>
        <w:rFonts w:ascii="Arial" w:eastAsia="Arial" w:hAnsi="Arial" w:cs="Arial"/>
        <w:lang w:bidi="pt-PT"/>
      </w:rPr>
      <w:fldChar w:fldCharType="end"/>
    </w:r>
    <w:r w:rsidRPr="00C17734">
      <w:rPr>
        <w:rStyle w:val="PageNumber"/>
        <w:rFonts w:ascii="Arial" w:eastAsia="Arial" w:hAnsi="Arial" w:cs="Arial"/>
        <w:lang w:bidi="pt-PT"/>
      </w:rPr>
      <w:t xml:space="preserve"> de </w:t>
    </w:r>
    <w:r w:rsidRPr="00C17734">
      <w:rPr>
        <w:rStyle w:val="PageNumber"/>
        <w:rFonts w:ascii="Arial" w:eastAsia="Arial" w:hAnsi="Arial" w:cs="Arial"/>
        <w:lang w:bidi="pt-PT"/>
      </w:rPr>
      <w:fldChar w:fldCharType="begin"/>
    </w:r>
    <w:r w:rsidRPr="00C17734">
      <w:rPr>
        <w:rStyle w:val="PageNumber"/>
        <w:rFonts w:ascii="Arial" w:eastAsia="Arial" w:hAnsi="Arial" w:cs="Arial"/>
        <w:lang w:bidi="pt-PT"/>
      </w:rPr>
      <w:instrText xml:space="preserve"> NUMPAGES </w:instrText>
    </w:r>
    <w:r w:rsidRPr="00C17734">
      <w:rPr>
        <w:rStyle w:val="PageNumber"/>
        <w:rFonts w:ascii="Arial" w:eastAsia="Arial" w:hAnsi="Arial" w:cs="Arial"/>
        <w:lang w:bidi="pt-PT"/>
      </w:rPr>
      <w:fldChar w:fldCharType="separate"/>
    </w:r>
    <w:r w:rsidRPr="00C17734">
      <w:rPr>
        <w:rStyle w:val="PageNumber"/>
        <w:rFonts w:ascii="Arial" w:eastAsia="Arial" w:hAnsi="Arial" w:cs="Arial"/>
        <w:noProof/>
        <w:lang w:bidi="pt-PT"/>
      </w:rPr>
      <w:t>5</w:t>
    </w:r>
    <w:r w:rsidRPr="00C17734">
      <w:rPr>
        <w:rStyle w:val="PageNumber"/>
        <w:rFonts w:ascii="Arial" w:eastAsia="Arial" w:hAnsi="Arial" w:cs="Arial"/>
        <w:lang w:bidi="pt-PT"/>
      </w:rPr>
      <w:fldChar w:fldCharType="end"/>
    </w:r>
  </w:p>
  <w:p w14:paraId="6D01B7DA" w14:textId="77777777" w:rsidR="00736983" w:rsidRDefault="00D66C79" w:rsidP="001A1CEC">
    <w:pPr>
      <w:pStyle w:val="Footer"/>
      <w:ind w:right="360"/>
      <w:rPr>
        <w:b/>
        <w:lang w:bidi="pt-PT"/>
      </w:rPr>
    </w:pPr>
    <w:r w:rsidRPr="00B90281">
      <w:rPr>
        <w:b/>
        <w:i/>
        <w:lang w:bidi="pt-PT"/>
      </w:rPr>
      <w:t>Workshop</w:t>
    </w:r>
    <w:r w:rsidRPr="00B90281">
      <w:rPr>
        <w:b/>
        <w:lang w:bidi="pt-PT"/>
      </w:rPr>
      <w:t xml:space="preserve"> de formação em teste de diagnóstico rápido de detecção do </w:t>
    </w:r>
    <w:r w:rsidR="00FD2574">
      <w:rPr>
        <w:b/>
        <w:lang w:bidi="pt-PT"/>
      </w:rPr>
      <w:t>antígeno</w:t>
    </w:r>
    <w:r w:rsidRPr="00B90281">
      <w:rPr>
        <w:b/>
        <w:lang w:bidi="pt-PT"/>
      </w:rPr>
      <w:t xml:space="preserve"> do</w:t>
    </w:r>
  </w:p>
  <w:p w14:paraId="2CEEACBD" w14:textId="37EF28EC" w:rsidR="001A1CEC" w:rsidRDefault="00D66C79" w:rsidP="001A1CEC">
    <w:pPr>
      <w:pStyle w:val="Footer"/>
      <w:ind w:right="360"/>
    </w:pPr>
    <w:r w:rsidRPr="00B90281">
      <w:rPr>
        <w:b/>
        <w:lang w:bidi="pt-PT"/>
      </w:rPr>
      <w:t xml:space="preserve"> SARS-CoV-</w:t>
    </w:r>
    <w:proofErr w:type="gramStart"/>
    <w:r w:rsidRPr="00B90281">
      <w:rPr>
        <w:b/>
        <w:lang w:bidi="pt-PT"/>
      </w:rPr>
      <w:t>2  –</w:t>
    </w:r>
    <w:proofErr w:type="gramEnd"/>
    <w:r w:rsidRPr="00B90281">
      <w:rPr>
        <w:b/>
        <w:lang w:bidi="pt-PT"/>
      </w:rPr>
      <w:t xml:space="preserve"> v</w:t>
    </w:r>
    <w:r w:rsidR="00736983">
      <w:rPr>
        <w:b/>
        <w:lang w:bidi="pt-PT"/>
      </w:rPr>
      <w:t>3</w:t>
    </w:r>
    <w:r w:rsidRPr="00B90281">
      <w:rPr>
        <w:b/>
        <w:lang w:bidi="pt-PT"/>
      </w:rPr>
      <w:t>.0 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FC777" w14:textId="77777777" w:rsidR="00001B85" w:rsidRDefault="00001B85" w:rsidP="001A1CEC">
      <w:pPr>
        <w:spacing w:before="0" w:after="0" w:line="240" w:lineRule="auto"/>
      </w:pPr>
      <w:r>
        <w:separator/>
      </w:r>
    </w:p>
  </w:footnote>
  <w:footnote w:type="continuationSeparator" w:id="0">
    <w:p w14:paraId="7732EEB1" w14:textId="77777777" w:rsidR="00001B85" w:rsidRDefault="00001B85" w:rsidP="001A1CEC">
      <w:pPr>
        <w:spacing w:before="0" w:after="0" w:line="240" w:lineRule="auto"/>
      </w:pPr>
      <w:r>
        <w:continuationSeparator/>
      </w:r>
    </w:p>
  </w:footnote>
  <w:footnote w:id="1">
    <w:p w14:paraId="2898875E" w14:textId="263C8399" w:rsidR="002E1235" w:rsidRPr="003F1A25" w:rsidRDefault="002E1235">
      <w:pPr>
        <w:pStyle w:val="FootnoteText"/>
        <w:rPr>
          <w:rFonts w:ascii="Arial" w:hAnsi="Arial" w:cs="Arial"/>
          <w:color w:val="000000" w:themeColor="text1"/>
          <w:sz w:val="16"/>
          <w:szCs w:val="16"/>
        </w:rPr>
      </w:pPr>
      <w:r w:rsidRPr="001E0D8E">
        <w:rPr>
          <w:rStyle w:val="FootnoteReference"/>
          <w:rFonts w:ascii="Arial" w:eastAsia="Arial" w:hAnsi="Arial" w:cs="Arial"/>
          <w:sz w:val="16"/>
          <w:szCs w:val="16"/>
          <w:lang w:bidi="pt-PT"/>
        </w:rPr>
        <w:footnoteRef/>
      </w:r>
      <w:r w:rsidRPr="001E0D8E">
        <w:rPr>
          <w:rFonts w:ascii="Arial" w:eastAsia="Arial" w:hAnsi="Arial" w:cs="Arial"/>
          <w:sz w:val="16"/>
          <w:szCs w:val="16"/>
          <w:lang w:bidi="pt-PT"/>
        </w:rPr>
        <w:t xml:space="preserve"> Para mais informações sobre como realizar uma avaliação dos riscos, consulte: </w:t>
      </w:r>
      <w:hyperlink r:id="rId1" w:history="1">
        <w:r w:rsidRPr="001E0D8E">
          <w:rPr>
            <w:rStyle w:val="Hyperlink"/>
            <w:rFonts w:ascii="Arial" w:eastAsia="Arial" w:hAnsi="Arial" w:cs="Arial"/>
            <w:color w:val="009AC9"/>
            <w:sz w:val="16"/>
            <w:szCs w:val="16"/>
            <w:lang w:bidi="pt-PT"/>
          </w:rPr>
          <w:t>Health workers exposure risk assessment and management in the context of COVID-19 virus: interim guidance [Avaliação e gestão dos riscos de exposição dos profissionais de saúde no contexto da COVID-19; directrizes provisórias], 4 de Março de 2020</w:t>
        </w:r>
      </w:hyperlink>
      <w:r w:rsidR="001E0D8E" w:rsidRPr="001E0D8E">
        <w:rPr>
          <w:rFonts w:ascii="Arial" w:eastAsia="Arial" w:hAnsi="Arial" w:cs="Arial"/>
          <w:color w:val="000000" w:themeColor="text1"/>
          <w:sz w:val="16"/>
          <w:szCs w:val="16"/>
          <w:lang w:bidi="pt-PT"/>
        </w:rPr>
        <w:t xml:space="preserve"> e </w:t>
      </w:r>
      <w:hyperlink r:id="rId2" w:history="1">
        <w:r w:rsidR="00984246">
          <w:rPr>
            <w:rStyle w:val="Hyperlink"/>
            <w:rFonts w:ascii="Arial" w:eastAsia="Arial" w:hAnsi="Arial" w:cs="Arial"/>
            <w:color w:val="009AC9"/>
            <w:sz w:val="16"/>
            <w:szCs w:val="16"/>
            <w:lang w:bidi="pt-PT"/>
          </w:rPr>
          <w:t>Interim U.S. guidance for risk assessment and work restrictions for healthcare personnel with potential exposure to COVID-19 [Directrizes provisórias dos EUA sobre avaliação dos riscos e restrições de trabalho para profissionais de saúde com potencial exposição à COVID-19]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001B85"/>
    <w:rsid w:val="00042022"/>
    <w:rsid w:val="0004310C"/>
    <w:rsid w:val="00075ADD"/>
    <w:rsid w:val="000B7E12"/>
    <w:rsid w:val="001138FC"/>
    <w:rsid w:val="00116E68"/>
    <w:rsid w:val="0012291C"/>
    <w:rsid w:val="00122B1C"/>
    <w:rsid w:val="00125CF7"/>
    <w:rsid w:val="00164B13"/>
    <w:rsid w:val="00185345"/>
    <w:rsid w:val="001A1CEC"/>
    <w:rsid w:val="001B3FA3"/>
    <w:rsid w:val="001B6BD2"/>
    <w:rsid w:val="001E0D8E"/>
    <w:rsid w:val="001F4564"/>
    <w:rsid w:val="00223A17"/>
    <w:rsid w:val="0025536B"/>
    <w:rsid w:val="00267753"/>
    <w:rsid w:val="00276EE2"/>
    <w:rsid w:val="0029040F"/>
    <w:rsid w:val="00297DD9"/>
    <w:rsid w:val="002E1235"/>
    <w:rsid w:val="00317A11"/>
    <w:rsid w:val="00325F25"/>
    <w:rsid w:val="003A237B"/>
    <w:rsid w:val="003A63C4"/>
    <w:rsid w:val="003B5698"/>
    <w:rsid w:val="003B62CA"/>
    <w:rsid w:val="003E085F"/>
    <w:rsid w:val="003E59BA"/>
    <w:rsid w:val="003F1A25"/>
    <w:rsid w:val="00441C95"/>
    <w:rsid w:val="004464F9"/>
    <w:rsid w:val="00451380"/>
    <w:rsid w:val="004876D3"/>
    <w:rsid w:val="004977FB"/>
    <w:rsid w:val="0050367D"/>
    <w:rsid w:val="00524544"/>
    <w:rsid w:val="00526B78"/>
    <w:rsid w:val="00554838"/>
    <w:rsid w:val="005661B8"/>
    <w:rsid w:val="005B4EC4"/>
    <w:rsid w:val="005C2C44"/>
    <w:rsid w:val="00617EA8"/>
    <w:rsid w:val="0062389A"/>
    <w:rsid w:val="00670878"/>
    <w:rsid w:val="006A6D12"/>
    <w:rsid w:val="006B617C"/>
    <w:rsid w:val="006C350A"/>
    <w:rsid w:val="006E5FB8"/>
    <w:rsid w:val="00704C37"/>
    <w:rsid w:val="007102F5"/>
    <w:rsid w:val="00736983"/>
    <w:rsid w:val="00751831"/>
    <w:rsid w:val="00840672"/>
    <w:rsid w:val="008B55B6"/>
    <w:rsid w:val="008C2263"/>
    <w:rsid w:val="008F6379"/>
    <w:rsid w:val="00926781"/>
    <w:rsid w:val="00977E1F"/>
    <w:rsid w:val="00984246"/>
    <w:rsid w:val="009B5804"/>
    <w:rsid w:val="009C1B2C"/>
    <w:rsid w:val="009D0954"/>
    <w:rsid w:val="009E0EAC"/>
    <w:rsid w:val="009F2222"/>
    <w:rsid w:val="00A04494"/>
    <w:rsid w:val="00A1130D"/>
    <w:rsid w:val="00A94243"/>
    <w:rsid w:val="00AC07FE"/>
    <w:rsid w:val="00B62D9E"/>
    <w:rsid w:val="00B75127"/>
    <w:rsid w:val="00BA01A5"/>
    <w:rsid w:val="00BD222A"/>
    <w:rsid w:val="00C17734"/>
    <w:rsid w:val="00C605C4"/>
    <w:rsid w:val="00C64C1A"/>
    <w:rsid w:val="00C76D0A"/>
    <w:rsid w:val="00C93B26"/>
    <w:rsid w:val="00CB0961"/>
    <w:rsid w:val="00CE5A25"/>
    <w:rsid w:val="00D42E98"/>
    <w:rsid w:val="00D6219B"/>
    <w:rsid w:val="00D66C79"/>
    <w:rsid w:val="00D820A3"/>
    <w:rsid w:val="00D87231"/>
    <w:rsid w:val="00D87F8E"/>
    <w:rsid w:val="00DD26B0"/>
    <w:rsid w:val="00DF7C3F"/>
    <w:rsid w:val="00E5340C"/>
    <w:rsid w:val="00E66907"/>
    <w:rsid w:val="00E70D33"/>
    <w:rsid w:val="00EF57CE"/>
    <w:rsid w:val="00F00416"/>
    <w:rsid w:val="00F10D72"/>
    <w:rsid w:val="00F25C2E"/>
    <w:rsid w:val="00F4378B"/>
    <w:rsid w:val="00F91E61"/>
    <w:rsid w:val="00FA51DC"/>
    <w:rsid w:val="00FD2574"/>
    <w:rsid w:val="21091547"/>
    <w:rsid w:val="4EB1C1E1"/>
    <w:rsid w:val="4F8D83E0"/>
    <w:rsid w:val="52410B63"/>
    <w:rsid w:val="649DBB0F"/>
    <w:rsid w:val="690CCE15"/>
    <w:rsid w:val="6A848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A51E64"/>
  <w14:defaultImageDpi w14:val="300"/>
  <w15:docId w15:val="{0AE7034E-A921-0E4A-8823-310BC5B4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36B"/>
    <w:pPr>
      <w:spacing w:before="300" w:after="300" w:line="336" w:lineRule="auto"/>
    </w:pPr>
    <w:rPr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uiPriority w:val="10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Code">
    <w:name w:val="Code"/>
    <w:basedOn w:val="DefaultParagraphFont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DefaultParagraphFont"/>
    <w:uiPriority w:val="99"/>
    <w:semiHidden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</w:rPr>
  </w:style>
  <w:style w:type="table" w:styleId="TableGrid">
    <w:name w:val="Table Grid"/>
    <w:basedOn w:val="TableNormal"/>
    <w:uiPriority w:val="99"/>
    <w:rsid w:val="001A1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A1C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CEC"/>
  </w:style>
  <w:style w:type="character" w:styleId="PageNumber">
    <w:name w:val="page number"/>
    <w:basedOn w:val="DefaultParagraphFont"/>
    <w:uiPriority w:val="99"/>
    <w:semiHidden/>
    <w:unhideWhenUsed/>
    <w:rsid w:val="001A1CEC"/>
  </w:style>
  <w:style w:type="paragraph" w:customStyle="1" w:styleId="TableStyle2">
    <w:name w:val="Table Style 2"/>
    <w:rsid w:val="00451380"/>
    <w:pPr>
      <w:pBdr>
        <w:top w:val="nil"/>
        <w:left w:val="nil"/>
        <w:bottom w:val="nil"/>
        <w:right w:val="nil"/>
        <w:between w:val="nil"/>
        <w:bar w:val="nil"/>
      </w:pBdr>
      <w:ind w:right="1060"/>
    </w:pPr>
    <w:rPr>
      <w:rFonts w:ascii="Arial" w:eastAsia="Arial" w:hAnsi="Arial" w:cs="Arial"/>
      <w:color w:val="000000"/>
      <w:bdr w:val="nil"/>
    </w:rPr>
  </w:style>
  <w:style w:type="paragraph" w:styleId="Header">
    <w:name w:val="header"/>
    <w:basedOn w:val="Normal"/>
    <w:link w:val="HeaderChar"/>
    <w:uiPriority w:val="99"/>
    <w:unhideWhenUsed/>
    <w:rsid w:val="00C1773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734"/>
  </w:style>
  <w:style w:type="paragraph" w:styleId="FootnoteText">
    <w:name w:val="footnote text"/>
    <w:basedOn w:val="Normal"/>
    <w:link w:val="FootnoteTextChar1"/>
    <w:uiPriority w:val="99"/>
    <w:semiHidden/>
    <w:unhideWhenUsed/>
    <w:rsid w:val="002E1235"/>
    <w:pPr>
      <w:spacing w:before="0" w:after="0" w:line="240" w:lineRule="auto"/>
    </w:p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2E1235"/>
  </w:style>
  <w:style w:type="character" w:styleId="Hyperlink">
    <w:name w:val="Hyperlink"/>
    <w:basedOn w:val="DefaultParagraphFont"/>
    <w:uiPriority w:val="99"/>
    <w:unhideWhenUsed/>
    <w:rsid w:val="002E123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23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6B0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6B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04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41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41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4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who.int/hslp/?q=content/terms-use" TargetMode="External"/><Relationship Id="rId13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ho.int/publications/i/item/assessment-tool-for-laboratories-implementing-covid-19-virus-testing" TargetMode="External"/><Relationship Id="rId12" Type="http://schemas.openxmlformats.org/officeDocument/2006/relationships/hyperlink" Target="https://extranet.who.int/hsl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xtranet.who.int/hslp/?q=content/terms-us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dc.gov/coronavirus/2019-ncov/hcp/guidance-risk-assesment-hcp.html" TargetMode="External"/><Relationship Id="rId1" Type="http://schemas.openxmlformats.org/officeDocument/2006/relationships/hyperlink" Target="https://apps.who.int/iris/handle/10665/3313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A43E27-962B-43F8-B095-C8D81481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Stewart</dc:creator>
  <cp:keywords/>
  <dc:description/>
  <cp:lastModifiedBy>natacha milhano</cp:lastModifiedBy>
  <cp:revision>2</cp:revision>
  <dcterms:created xsi:type="dcterms:W3CDTF">2022-09-22T15:34:00Z</dcterms:created>
  <dcterms:modified xsi:type="dcterms:W3CDTF">2022-09-22T15:34:00Z</dcterms:modified>
</cp:coreProperties>
</file>