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E14" w:rsidRPr="00ED5E14" w:rsidRDefault="00ED5E14" w:rsidP="00412186">
      <w:pPr>
        <w:spacing w:after="0" w:line="240" w:lineRule="auto"/>
        <w:jc w:val="center"/>
        <w:rPr>
          <w:b/>
          <w:sz w:val="24"/>
          <w:szCs w:val="24"/>
        </w:rPr>
      </w:pPr>
      <w:r w:rsidRPr="00ED5E14">
        <w:rPr>
          <w:b/>
          <w:sz w:val="24"/>
          <w:szCs w:val="24"/>
        </w:rPr>
        <w:t>RRT training package</w:t>
      </w:r>
    </w:p>
    <w:p w:rsidR="00ED5E14" w:rsidRDefault="00B53E5A" w:rsidP="00ED5E14">
      <w:pPr>
        <w:spacing w:after="0" w:line="240" w:lineRule="auto"/>
        <w:jc w:val="center"/>
        <w:rPr>
          <w:b/>
          <w:sz w:val="24"/>
          <w:szCs w:val="24"/>
        </w:rPr>
      </w:pPr>
      <w:r>
        <w:rPr>
          <w:b/>
          <w:sz w:val="24"/>
          <w:szCs w:val="24"/>
        </w:rPr>
        <w:t>A2.4</w:t>
      </w:r>
      <w:r w:rsidR="00ED5E14" w:rsidRPr="00ED5E14">
        <w:rPr>
          <w:b/>
          <w:sz w:val="24"/>
          <w:szCs w:val="24"/>
        </w:rPr>
        <w:t xml:space="preserve"> Stakeholders mapping exercise</w:t>
      </w:r>
    </w:p>
    <w:p w:rsidR="00ED5E14" w:rsidRPr="00ED5E14" w:rsidRDefault="00ED5E14" w:rsidP="00ED5E14">
      <w:pPr>
        <w:spacing w:after="0" w:line="240" w:lineRule="auto"/>
        <w:jc w:val="center"/>
        <w:rPr>
          <w:b/>
          <w:sz w:val="24"/>
          <w:szCs w:val="24"/>
        </w:rPr>
      </w:pPr>
    </w:p>
    <w:p w:rsidR="004A15C4" w:rsidRDefault="006039F9" w:rsidP="00ED5E14">
      <w:pPr>
        <w:spacing w:after="0" w:line="240" w:lineRule="auto"/>
        <w:jc w:val="both"/>
      </w:pPr>
      <w:r>
        <w:rPr>
          <w:b/>
          <w:bCs/>
        </w:rPr>
        <w:t>Learning o</w:t>
      </w:r>
      <w:r w:rsidRPr="00ED5E14">
        <w:rPr>
          <w:b/>
          <w:bCs/>
        </w:rPr>
        <w:t>bjective</w:t>
      </w:r>
      <w:r w:rsidR="00ED5E14">
        <w:rPr>
          <w:b/>
          <w:bCs/>
        </w:rPr>
        <w:t>s</w:t>
      </w:r>
      <w:r w:rsidRPr="00ED5E14">
        <w:t xml:space="preserve">: </w:t>
      </w:r>
    </w:p>
    <w:p w:rsidR="006039F9" w:rsidRDefault="006039F9" w:rsidP="006039F9">
      <w:pPr>
        <w:pStyle w:val="ListParagraph"/>
        <w:numPr>
          <w:ilvl w:val="0"/>
          <w:numId w:val="2"/>
        </w:numPr>
        <w:spacing w:after="0" w:line="240" w:lineRule="auto"/>
        <w:jc w:val="both"/>
      </w:pPr>
      <w:r>
        <w:t>Identify stakeholders in relation to the activities of RRTs at field level.</w:t>
      </w:r>
    </w:p>
    <w:p w:rsidR="006039F9" w:rsidRDefault="00412186" w:rsidP="006039F9">
      <w:pPr>
        <w:pStyle w:val="ListParagraph"/>
        <w:numPr>
          <w:ilvl w:val="0"/>
          <w:numId w:val="2"/>
        </w:numPr>
        <w:spacing w:after="0" w:line="240" w:lineRule="auto"/>
        <w:jc w:val="both"/>
      </w:pPr>
      <w:r>
        <w:t>Explain the role &amp;</w:t>
      </w:r>
      <w:r w:rsidR="006039F9">
        <w:t xml:space="preserve"> activities of</w:t>
      </w:r>
      <w:r>
        <w:t xml:space="preserve"> stakeholder in relation to </w:t>
      </w:r>
      <w:r w:rsidR="006039F9">
        <w:t xml:space="preserve">activities of the RRTs at </w:t>
      </w:r>
      <w:r w:rsidR="00F37279">
        <w:t>field level.</w:t>
      </w:r>
    </w:p>
    <w:p w:rsidR="00ED5E14" w:rsidRDefault="006039F9" w:rsidP="006039F9">
      <w:pPr>
        <w:pStyle w:val="ListParagraph"/>
        <w:numPr>
          <w:ilvl w:val="0"/>
          <w:numId w:val="2"/>
        </w:numPr>
        <w:spacing w:after="0" w:line="240" w:lineRule="auto"/>
        <w:jc w:val="both"/>
      </w:pPr>
      <w:r>
        <w:t xml:space="preserve">Operate within the established national coordination mechanisms for </w:t>
      </w:r>
      <w:r w:rsidR="00F37279">
        <w:t xml:space="preserve">a better </w:t>
      </w:r>
      <w:r>
        <w:t xml:space="preserve">preparedness and response to national and international </w:t>
      </w:r>
      <w:r w:rsidR="007733D2">
        <w:t xml:space="preserve">events of </w:t>
      </w:r>
      <w:r>
        <w:t>public health concern.</w:t>
      </w:r>
    </w:p>
    <w:p w:rsidR="006039F9" w:rsidRDefault="006039F9" w:rsidP="00ED5E14">
      <w:pPr>
        <w:spacing w:after="0" w:line="240" w:lineRule="auto"/>
        <w:jc w:val="both"/>
      </w:pPr>
    </w:p>
    <w:p w:rsidR="00ED5E14" w:rsidRDefault="00ED5E14" w:rsidP="00ED5E14">
      <w:pPr>
        <w:spacing w:after="0" w:line="240" w:lineRule="auto"/>
        <w:jc w:val="both"/>
      </w:pPr>
      <w:r w:rsidRPr="00ED5E14">
        <w:rPr>
          <w:b/>
        </w:rPr>
        <w:t>Duration:</w:t>
      </w:r>
      <w:r>
        <w:t xml:space="preserve"> 60’</w:t>
      </w:r>
      <w:r w:rsidR="007733D2">
        <w:t xml:space="preserve"> total (Intro: 5’; group work: 20</w:t>
      </w:r>
      <w:r>
        <w:t xml:space="preserve">’; debrief: 5’ per group; wrap-up: </w:t>
      </w:r>
      <w:r w:rsidR="007733D2">
        <w:t>5</w:t>
      </w:r>
      <w:r>
        <w:t>’).</w:t>
      </w:r>
    </w:p>
    <w:p w:rsidR="00ED5E14" w:rsidRDefault="00ED5E14" w:rsidP="00ED5E14">
      <w:pPr>
        <w:spacing w:after="0" w:line="240" w:lineRule="auto"/>
        <w:jc w:val="both"/>
        <w:rPr>
          <w:b/>
        </w:rPr>
      </w:pPr>
    </w:p>
    <w:p w:rsidR="00ED5E14" w:rsidRDefault="00ED5E14" w:rsidP="00ED5E14">
      <w:pPr>
        <w:spacing w:after="0" w:line="240" w:lineRule="auto"/>
        <w:jc w:val="both"/>
      </w:pPr>
      <w:r w:rsidRPr="00ED5E14">
        <w:rPr>
          <w:b/>
        </w:rPr>
        <w:t>Method:</w:t>
      </w:r>
      <w:r>
        <w:t xml:space="preserve"> Group work involving flipcharts, stakeholders colour-coded (primary vs secondary)</w:t>
      </w:r>
      <w:r w:rsidR="007733D2">
        <w:t xml:space="preserve"> can be defined</w:t>
      </w:r>
      <w:r>
        <w:t>, type of relationships identified through different types of arrows (relationship and role).</w:t>
      </w:r>
    </w:p>
    <w:p w:rsidR="00ED5E14" w:rsidRDefault="00ED5E14" w:rsidP="00ED5E14">
      <w:pPr>
        <w:spacing w:after="0" w:line="240" w:lineRule="auto"/>
        <w:jc w:val="both"/>
        <w:rPr>
          <w:b/>
        </w:rPr>
      </w:pPr>
    </w:p>
    <w:p w:rsidR="00ED5E14" w:rsidRDefault="00ED5E14" w:rsidP="00ED5E14">
      <w:pPr>
        <w:spacing w:after="0" w:line="240" w:lineRule="auto"/>
        <w:jc w:val="both"/>
      </w:pPr>
      <w:r w:rsidRPr="00ED5E14">
        <w:rPr>
          <w:b/>
        </w:rPr>
        <w:t>Groups:</w:t>
      </w:r>
      <w:r>
        <w:t xml:space="preserve"> 4 - 6 groups depending on #s. In technical areas or in mixed groups including: media communications and risk coms; community engagement; surveillance, laboratory and data management; IPC and safe burials; contact tracing. </w:t>
      </w:r>
    </w:p>
    <w:p w:rsidR="00ED5E14" w:rsidRDefault="00ED5E14" w:rsidP="00ED5E14">
      <w:pPr>
        <w:spacing w:after="0" w:line="240" w:lineRule="auto"/>
        <w:jc w:val="both"/>
      </w:pPr>
    </w:p>
    <w:p w:rsidR="00ED5E14" w:rsidRPr="00ED5E14" w:rsidRDefault="00ED5E14" w:rsidP="00ED5E14">
      <w:pPr>
        <w:spacing w:after="0" w:line="240" w:lineRule="auto"/>
        <w:jc w:val="both"/>
        <w:rPr>
          <w:b/>
        </w:rPr>
      </w:pPr>
      <w:r w:rsidRPr="00ED5E14">
        <w:rPr>
          <w:b/>
        </w:rPr>
        <w:t xml:space="preserve">Instructions to be given to participants: </w:t>
      </w:r>
    </w:p>
    <w:p w:rsidR="00ED5E14" w:rsidRDefault="00ED5E14" w:rsidP="00ED5E14">
      <w:pPr>
        <w:spacing w:after="0" w:line="240" w:lineRule="auto"/>
        <w:jc w:val="both"/>
      </w:pPr>
      <w:r>
        <w:t>Identify the stakeholders, their roles and the relationship with respect to the RRT at national and field levels. Stakeholders should include:</w:t>
      </w:r>
    </w:p>
    <w:p w:rsidR="00ED5E14" w:rsidRDefault="00ED5E14" w:rsidP="00ED5E14">
      <w:pPr>
        <w:numPr>
          <w:ilvl w:val="0"/>
          <w:numId w:val="1"/>
        </w:numPr>
        <w:spacing w:after="0" w:line="240" w:lineRule="auto"/>
        <w:jc w:val="both"/>
      </w:pPr>
      <w:r>
        <w:t xml:space="preserve">Local and national authorities </w:t>
      </w:r>
    </w:p>
    <w:p w:rsidR="00ED5E14" w:rsidRDefault="00ED5E14" w:rsidP="00ED5E14">
      <w:pPr>
        <w:numPr>
          <w:ilvl w:val="0"/>
          <w:numId w:val="1"/>
        </w:numPr>
        <w:spacing w:after="0" w:line="240" w:lineRule="auto"/>
        <w:jc w:val="both"/>
      </w:pPr>
      <w:r>
        <w:t>Community and Religious leaders</w:t>
      </w:r>
    </w:p>
    <w:p w:rsidR="00ED5E14" w:rsidRDefault="00ED5E14" w:rsidP="00ED5E14">
      <w:pPr>
        <w:numPr>
          <w:ilvl w:val="0"/>
          <w:numId w:val="1"/>
        </w:numPr>
        <w:spacing w:after="0" w:line="240" w:lineRule="auto"/>
        <w:jc w:val="both"/>
      </w:pPr>
      <w:r>
        <w:t>Local implementing partners (e.g. red cross, CARITAS, and other NGOs)</w:t>
      </w:r>
    </w:p>
    <w:p w:rsidR="00ED5E14" w:rsidRDefault="00ED5E14" w:rsidP="00ED5E14">
      <w:pPr>
        <w:numPr>
          <w:ilvl w:val="0"/>
          <w:numId w:val="1"/>
        </w:numPr>
        <w:spacing w:after="0" w:line="240" w:lineRule="auto"/>
        <w:jc w:val="both"/>
      </w:pPr>
      <w:r>
        <w:t>UN agencies and other international organisations.</w:t>
      </w:r>
    </w:p>
    <w:p w:rsidR="00ED5E14" w:rsidRDefault="00ED5E14" w:rsidP="00ED5E14">
      <w:pPr>
        <w:numPr>
          <w:ilvl w:val="0"/>
          <w:numId w:val="1"/>
        </w:numPr>
        <w:spacing w:after="0" w:line="240" w:lineRule="auto"/>
        <w:jc w:val="both"/>
      </w:pPr>
      <w:r>
        <w:t>Other government sectors.</w:t>
      </w:r>
    </w:p>
    <w:p w:rsidR="00ED5E14" w:rsidRDefault="00ED5E14" w:rsidP="00ED5E14">
      <w:pPr>
        <w:spacing w:after="0" w:line="240" w:lineRule="auto"/>
        <w:jc w:val="both"/>
        <w:rPr>
          <w:b/>
        </w:rPr>
      </w:pPr>
    </w:p>
    <w:p w:rsidR="00ED5E14" w:rsidRDefault="00ED5E14" w:rsidP="00ED5E14">
      <w:pPr>
        <w:spacing w:after="0" w:line="240" w:lineRule="auto"/>
        <w:jc w:val="both"/>
      </w:pPr>
      <w:r w:rsidRPr="00ED5E14">
        <w:rPr>
          <w:b/>
        </w:rPr>
        <w:t>Debriefing</w:t>
      </w:r>
      <w:r w:rsidR="007733D2">
        <w:rPr>
          <w:b/>
        </w:rPr>
        <w:t xml:space="preserve"> by the facilitator</w:t>
      </w:r>
      <w:r>
        <w:t xml:space="preserve">: </w:t>
      </w:r>
      <w:r w:rsidR="007733D2">
        <w:t xml:space="preserve">for each group </w:t>
      </w:r>
      <w:r w:rsidR="00367FAA">
        <w:rPr>
          <w:bCs/>
        </w:rPr>
        <w:t xml:space="preserve">highlight </w:t>
      </w:r>
      <w:r w:rsidR="007733D2" w:rsidRPr="00A85AC5">
        <w:rPr>
          <w:bCs/>
        </w:rPr>
        <w:t>similarities, differences, gaps, special features.</w:t>
      </w:r>
    </w:p>
    <w:p w:rsidR="00ED5E14" w:rsidRDefault="00ED5E14" w:rsidP="00ED5E14">
      <w:pPr>
        <w:spacing w:after="0" w:line="240" w:lineRule="auto"/>
        <w:jc w:val="both"/>
      </w:pPr>
    </w:p>
    <w:p w:rsidR="007F1C1B" w:rsidRDefault="00ED5E14" w:rsidP="00ED5E14">
      <w:pPr>
        <w:spacing w:after="0" w:line="240" w:lineRule="auto"/>
        <w:jc w:val="both"/>
      </w:pPr>
      <w:r w:rsidRPr="00ED5E14">
        <w:rPr>
          <w:b/>
        </w:rPr>
        <w:t>Training tips</w:t>
      </w:r>
      <w:r>
        <w:t xml:space="preserve">: if you have a large enough space, move the debriefing around the room to the posters. Pre-identify group leaders/narrators and ask them to </w:t>
      </w:r>
      <w:r w:rsidR="0094439C">
        <w:t>remember their last intervention in the framework of a Public Health event. The</w:t>
      </w:r>
      <w:r w:rsidR="0094439C" w:rsidRPr="0094439C">
        <w:t xml:space="preserve"> team will have to explain the relationship</w:t>
      </w:r>
      <w:r w:rsidR="0094439C">
        <w:t>s</w:t>
      </w:r>
      <w:r w:rsidR="0094439C" w:rsidRPr="0094439C">
        <w:t xml:space="preserve"> with stakeholders from this specific example.</w:t>
      </w:r>
    </w:p>
    <w:p w:rsidR="007F1C1B" w:rsidRDefault="007F1C1B" w:rsidP="007F1C1B">
      <w:pPr>
        <w:spacing w:after="0" w:line="240" w:lineRule="auto"/>
        <w:jc w:val="both"/>
      </w:pPr>
      <w:r w:rsidRPr="00A85AC5">
        <w:t xml:space="preserve">Leave the posters displayed for reference throughout the </w:t>
      </w:r>
      <w:r>
        <w:t>RRT</w:t>
      </w:r>
      <w:r w:rsidRPr="00A85AC5">
        <w:t xml:space="preserve"> training. They will be used again in other sessions.</w:t>
      </w:r>
    </w:p>
    <w:p w:rsidR="00412186" w:rsidRDefault="00412186" w:rsidP="007F1C1B">
      <w:pPr>
        <w:spacing w:after="0" w:line="240" w:lineRule="auto"/>
        <w:jc w:val="both"/>
      </w:pPr>
    </w:p>
    <w:tbl>
      <w:tblPr>
        <w:tblStyle w:val="TableGrid"/>
        <w:tblW w:w="9640" w:type="dxa"/>
        <w:tblInd w:w="-176" w:type="dxa"/>
        <w:tblLook w:val="04A0" w:firstRow="1" w:lastRow="0" w:firstColumn="1" w:lastColumn="0" w:noHBand="0" w:noVBand="1"/>
      </w:tblPr>
      <w:tblGrid>
        <w:gridCol w:w="9640"/>
      </w:tblGrid>
      <w:tr w:rsidR="00412186" w:rsidTr="00412186">
        <w:tc>
          <w:tcPr>
            <w:tcW w:w="9640" w:type="dxa"/>
            <w:tcBorders>
              <w:top w:val="single" w:sz="4" w:space="0" w:color="auto"/>
              <w:left w:val="single" w:sz="4" w:space="0" w:color="auto"/>
              <w:bottom w:val="single" w:sz="4" w:space="0" w:color="auto"/>
              <w:right w:val="single" w:sz="4" w:space="0" w:color="auto"/>
            </w:tcBorders>
          </w:tcPr>
          <w:p w:rsidR="00412186" w:rsidRPr="00367FAA" w:rsidRDefault="00412186">
            <w:pPr>
              <w:rPr>
                <w:rFonts w:asciiTheme="minorHAnsi" w:hAnsiTheme="minorHAnsi" w:cstheme="minorHAnsi"/>
                <w:b/>
                <w:bCs/>
                <w:color w:val="0070C0"/>
                <w:sz w:val="22"/>
                <w:szCs w:val="22"/>
                <w:lang w:eastAsia="en-US"/>
              </w:rPr>
            </w:pPr>
            <w:r w:rsidRPr="00367FAA">
              <w:rPr>
                <w:rFonts w:asciiTheme="minorHAnsi" w:hAnsiTheme="minorHAnsi" w:cstheme="minorHAnsi"/>
                <w:b/>
                <w:bCs/>
                <w:color w:val="0070C0"/>
                <w:sz w:val="22"/>
                <w:szCs w:val="22"/>
              </w:rPr>
              <w:t>Disclaimer</w:t>
            </w:r>
          </w:p>
          <w:p w:rsidR="00412186" w:rsidRPr="00367FAA" w:rsidRDefault="00412186">
            <w:pPr>
              <w:rPr>
                <w:rFonts w:asciiTheme="minorHAnsi" w:hAnsiTheme="minorHAnsi" w:cstheme="minorHAnsi"/>
                <w:b/>
                <w:bCs/>
                <w:sz w:val="22"/>
                <w:szCs w:val="22"/>
              </w:rPr>
            </w:pPr>
          </w:p>
          <w:p w:rsidR="00412186" w:rsidRPr="00367FAA" w:rsidRDefault="00412186">
            <w:pPr>
              <w:rPr>
                <w:rFonts w:asciiTheme="minorHAnsi" w:hAnsiTheme="minorHAnsi" w:cstheme="minorHAnsi"/>
                <w:b/>
                <w:bCs/>
                <w:sz w:val="22"/>
                <w:szCs w:val="22"/>
              </w:rPr>
            </w:pPr>
            <w:r w:rsidRPr="00367FAA">
              <w:rPr>
                <w:rFonts w:asciiTheme="minorHAnsi" w:hAnsiTheme="minorHAnsi" w:cstheme="minorHAnsi"/>
                <w:b/>
                <w:bCs/>
                <w:sz w:val="22"/>
                <w:szCs w:val="22"/>
              </w:rPr>
              <w:t>WHO Health Security Learning Platform - Training Materials</w:t>
            </w:r>
          </w:p>
          <w:p w:rsidR="00412186" w:rsidRPr="00367FAA" w:rsidRDefault="00412186">
            <w:pPr>
              <w:rPr>
                <w:rFonts w:asciiTheme="minorHAnsi" w:hAnsiTheme="minorHAnsi" w:cstheme="minorHAnsi"/>
                <w:sz w:val="22"/>
                <w:szCs w:val="22"/>
              </w:rPr>
            </w:pPr>
          </w:p>
          <w:p w:rsidR="00412186" w:rsidRPr="00367FAA" w:rsidRDefault="00412186">
            <w:pPr>
              <w:rPr>
                <w:rFonts w:asciiTheme="minorHAnsi" w:hAnsiTheme="minorHAnsi" w:cstheme="minorHAnsi"/>
                <w:sz w:val="22"/>
                <w:szCs w:val="22"/>
              </w:rPr>
            </w:pPr>
            <w:r w:rsidRPr="00367FAA">
              <w:rPr>
                <w:rFonts w:asciiTheme="minorHAnsi" w:hAnsiTheme="minorHAnsi" w:cstheme="minorHAnsi"/>
                <w:sz w:val="22"/>
                <w:szCs w:val="22"/>
              </w:rPr>
              <w:t>These WHO Training Materials are © World Health Organization (WHO) 2018. All rights reserved.</w:t>
            </w:r>
          </w:p>
          <w:p w:rsidR="00412186" w:rsidRPr="00367FAA" w:rsidRDefault="00412186">
            <w:pPr>
              <w:rPr>
                <w:rFonts w:asciiTheme="minorHAnsi" w:hAnsiTheme="minorHAnsi" w:cstheme="minorHAnsi"/>
                <w:sz w:val="22"/>
                <w:szCs w:val="22"/>
              </w:rPr>
            </w:pPr>
            <w:r w:rsidRPr="00367FAA">
              <w:rPr>
                <w:rFonts w:asciiTheme="minorHAnsi" w:hAnsiTheme="minorHAnsi" w:cstheme="minorHAnsi"/>
                <w:sz w:val="22"/>
                <w:szCs w:val="22"/>
              </w:rPr>
              <w:t>Your use of these materials is subject to the “</w:t>
            </w:r>
            <w:hyperlink r:id="rId7" w:history="1">
              <w:r w:rsidRPr="00367FAA">
                <w:rPr>
                  <w:rStyle w:val="Hyperlink"/>
                  <w:rFonts w:asciiTheme="minorHAnsi" w:hAnsiTheme="minorHAnsi" w:cstheme="minorHAnsi"/>
                  <w:sz w:val="22"/>
                  <w:szCs w:val="22"/>
                </w:rPr>
                <w:t>WHO Health Security Learning Platform, Training Materials – Terms of Use</w:t>
              </w:r>
            </w:hyperlink>
            <w:r w:rsidRPr="00367FAA">
              <w:rPr>
                <w:rFonts w:asciiTheme="minorHAnsi" w:hAnsiTheme="minorHAnsi" w:cstheme="minorHAnsi"/>
                <w:sz w:val="22"/>
                <w:szCs w:val="22"/>
              </w:rPr>
              <w:t xml:space="preserve">”, which you accepted when downloading them and which are available on the Health Security Learning Platform at: </w:t>
            </w:r>
            <w:hyperlink r:id="rId8" w:history="1">
              <w:r w:rsidRPr="00367FAA">
                <w:rPr>
                  <w:rStyle w:val="Hyperlink"/>
                  <w:rFonts w:asciiTheme="minorHAnsi" w:hAnsiTheme="minorHAnsi" w:cstheme="minorHAnsi"/>
                  <w:sz w:val="22"/>
                  <w:szCs w:val="22"/>
                </w:rPr>
                <w:t>https://extranet.who.int/hslp</w:t>
              </w:r>
            </w:hyperlink>
            <w:r w:rsidRPr="00367FAA">
              <w:rPr>
                <w:rFonts w:asciiTheme="minorHAnsi" w:hAnsiTheme="minorHAnsi" w:cstheme="minorHAnsi"/>
                <w:sz w:val="22"/>
                <w:szCs w:val="22"/>
              </w:rPr>
              <w:t xml:space="preserve"> .  </w:t>
            </w:r>
          </w:p>
          <w:p w:rsidR="00412186" w:rsidRPr="00367FAA" w:rsidRDefault="00412186">
            <w:pPr>
              <w:rPr>
                <w:rFonts w:asciiTheme="minorHAnsi" w:hAnsiTheme="minorHAnsi" w:cstheme="minorHAnsi"/>
                <w:sz w:val="22"/>
                <w:szCs w:val="22"/>
              </w:rPr>
            </w:pPr>
            <w:r w:rsidRPr="00367FAA">
              <w:rPr>
                <w:rFonts w:asciiTheme="minorHAnsi" w:hAnsiTheme="minorHAnsi" w:cstheme="minorHAnsi"/>
                <w:sz w:val="22"/>
                <w:szCs w:val="22"/>
              </w:rPr>
              <w:t> </w:t>
            </w:r>
            <w:bookmarkStart w:id="0" w:name="_GoBack"/>
            <w:bookmarkEnd w:id="0"/>
          </w:p>
          <w:p w:rsidR="00412186" w:rsidRPr="00367FAA" w:rsidRDefault="00412186">
            <w:pPr>
              <w:rPr>
                <w:rFonts w:asciiTheme="minorHAnsi" w:hAnsiTheme="minorHAnsi" w:cstheme="minorHAnsi"/>
                <w:sz w:val="22"/>
                <w:szCs w:val="22"/>
              </w:rPr>
            </w:pPr>
            <w:r w:rsidRPr="00367FAA">
              <w:rPr>
                <w:rFonts w:asciiTheme="minorHAnsi" w:hAnsiTheme="minorHAnsi" w:cstheme="minorHAnsi"/>
                <w:sz w:val="22"/>
                <w:szCs w:val="22"/>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412186" w:rsidRPr="00412186" w:rsidRDefault="00412186" w:rsidP="00412186">
            <w:pPr>
              <w:rPr>
                <w:szCs w:val="24"/>
              </w:rPr>
            </w:pPr>
            <w:r w:rsidRPr="00367FAA">
              <w:rPr>
                <w:rFonts w:asciiTheme="minorHAnsi" w:hAnsiTheme="minorHAnsi" w:cstheme="minorHAnsi"/>
                <w:sz w:val="22"/>
                <w:szCs w:val="22"/>
              </w:rPr>
              <w:t xml:space="preserve">Further, please inform WHO of any modifications of these materials that you use publicly, for record-keeping purposes and continued development, by emailing </w:t>
            </w:r>
            <w:hyperlink r:id="rId9" w:history="1">
              <w:r w:rsidRPr="00367FAA">
                <w:rPr>
                  <w:rStyle w:val="Hyperlink"/>
                  <w:rFonts w:asciiTheme="minorHAnsi" w:hAnsiTheme="minorHAnsi" w:cstheme="minorHAnsi"/>
                  <w:sz w:val="22"/>
                  <w:szCs w:val="22"/>
                </w:rPr>
                <w:t>ihrhrt@who.int</w:t>
              </w:r>
            </w:hyperlink>
            <w:r w:rsidRPr="00367FAA">
              <w:rPr>
                <w:rFonts w:asciiTheme="minorHAnsi" w:hAnsiTheme="minorHAnsi" w:cstheme="minorHAnsi"/>
                <w:sz w:val="22"/>
                <w:szCs w:val="22"/>
              </w:rPr>
              <w:t>.</w:t>
            </w:r>
            <w:r>
              <w:rPr>
                <w:szCs w:val="24"/>
              </w:rPr>
              <w:t xml:space="preserve"> </w:t>
            </w:r>
          </w:p>
        </w:tc>
      </w:tr>
    </w:tbl>
    <w:p w:rsidR="007B63E9" w:rsidRDefault="007B63E9"/>
    <w:sectPr w:rsidR="007B63E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FAA" w:rsidRDefault="00367FAA" w:rsidP="00367FAA">
      <w:pPr>
        <w:spacing w:after="0" w:line="240" w:lineRule="auto"/>
      </w:pPr>
      <w:r>
        <w:separator/>
      </w:r>
    </w:p>
  </w:endnote>
  <w:endnote w:type="continuationSeparator" w:id="0">
    <w:p w:rsidR="00367FAA" w:rsidRDefault="00367FAA" w:rsidP="00367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FAA" w:rsidRPr="00367FAA" w:rsidRDefault="00367FAA">
    <w:pPr>
      <w:pBdr>
        <w:left w:val="single" w:sz="12" w:space="11" w:color="4F81BD" w:themeColor="accent1"/>
      </w:pBdr>
      <w:tabs>
        <w:tab w:val="left" w:pos="622"/>
      </w:tabs>
      <w:spacing w:after="0"/>
      <w:rPr>
        <w:rFonts w:asciiTheme="majorHAnsi" w:eastAsiaTheme="majorEastAsia" w:hAnsiTheme="majorHAnsi" w:cstheme="majorBidi"/>
        <w:color w:val="365F91" w:themeColor="accent1" w:themeShade="BF"/>
        <w:sz w:val="20"/>
        <w:szCs w:val="20"/>
      </w:rPr>
    </w:pPr>
    <w:r w:rsidRPr="00367FAA">
      <w:rPr>
        <w:rFonts w:asciiTheme="majorHAnsi" w:eastAsiaTheme="majorEastAsia" w:hAnsiTheme="majorHAnsi" w:cstheme="majorBidi"/>
        <w:color w:val="365F91" w:themeColor="accent1" w:themeShade="BF"/>
        <w:sz w:val="20"/>
        <w:szCs w:val="20"/>
      </w:rPr>
      <w:fldChar w:fldCharType="begin"/>
    </w:r>
    <w:r w:rsidRPr="00367FAA">
      <w:rPr>
        <w:rFonts w:asciiTheme="majorHAnsi" w:eastAsiaTheme="majorEastAsia" w:hAnsiTheme="majorHAnsi" w:cstheme="majorBidi"/>
        <w:color w:val="365F91" w:themeColor="accent1" w:themeShade="BF"/>
        <w:sz w:val="20"/>
        <w:szCs w:val="20"/>
      </w:rPr>
      <w:instrText xml:space="preserve"> PAGE   \* MERGEFORMAT </w:instrText>
    </w:r>
    <w:r w:rsidRPr="00367FAA">
      <w:rPr>
        <w:rFonts w:asciiTheme="majorHAnsi" w:eastAsiaTheme="majorEastAsia" w:hAnsiTheme="majorHAnsi" w:cstheme="majorBidi"/>
        <w:color w:val="365F91" w:themeColor="accent1" w:themeShade="BF"/>
        <w:sz w:val="20"/>
        <w:szCs w:val="20"/>
      </w:rPr>
      <w:fldChar w:fldCharType="separate"/>
    </w:r>
    <w:r w:rsidR="00B53E5A">
      <w:rPr>
        <w:rFonts w:asciiTheme="majorHAnsi" w:eastAsiaTheme="majorEastAsia" w:hAnsiTheme="majorHAnsi" w:cstheme="majorBidi"/>
        <w:noProof/>
        <w:color w:val="365F91" w:themeColor="accent1" w:themeShade="BF"/>
        <w:sz w:val="20"/>
        <w:szCs w:val="20"/>
      </w:rPr>
      <w:t>1</w:t>
    </w:r>
    <w:r w:rsidRPr="00367FAA">
      <w:rPr>
        <w:rFonts w:asciiTheme="majorHAnsi" w:eastAsiaTheme="majorEastAsia" w:hAnsiTheme="majorHAnsi" w:cstheme="majorBidi"/>
        <w:noProof/>
        <w:color w:val="365F91" w:themeColor="accent1" w:themeShade="BF"/>
        <w:sz w:val="20"/>
        <w:szCs w:val="20"/>
      </w:rPr>
      <w:fldChar w:fldCharType="end"/>
    </w:r>
    <w:r w:rsidRPr="00367FAA">
      <w:rPr>
        <w:rFonts w:asciiTheme="majorHAnsi" w:eastAsiaTheme="majorEastAsia" w:hAnsiTheme="majorHAnsi" w:cstheme="majorBidi"/>
        <w:noProof/>
        <w:color w:val="365F91" w:themeColor="accent1" w:themeShade="BF"/>
        <w:sz w:val="20"/>
        <w:szCs w:val="20"/>
      </w:rPr>
      <w:t xml:space="preserve"> WHO RRT Training package – Ex. Stakeholders ma</w:t>
    </w:r>
    <w:r w:rsidR="00B53E5A">
      <w:rPr>
        <w:rFonts w:asciiTheme="majorHAnsi" w:eastAsiaTheme="majorEastAsia" w:hAnsiTheme="majorHAnsi" w:cstheme="majorBidi"/>
        <w:noProof/>
        <w:color w:val="365F91" w:themeColor="accent1" w:themeShade="BF"/>
        <w:sz w:val="20"/>
        <w:szCs w:val="20"/>
      </w:rPr>
      <w:t>pping – Facilitators – V003 – 14/05</w:t>
    </w:r>
    <w:r w:rsidRPr="00367FAA">
      <w:rPr>
        <w:rFonts w:asciiTheme="majorHAnsi" w:eastAsiaTheme="majorEastAsia" w:hAnsiTheme="majorHAnsi" w:cstheme="majorBidi"/>
        <w:noProof/>
        <w:color w:val="365F91" w:themeColor="accent1" w:themeShade="BF"/>
        <w:sz w:val="20"/>
        <w:szCs w:val="20"/>
      </w:rPr>
      <w:t>/2018</w:t>
    </w:r>
  </w:p>
  <w:p w:rsidR="00367FAA" w:rsidRDefault="00367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FAA" w:rsidRDefault="00367FAA" w:rsidP="00367FAA">
      <w:pPr>
        <w:spacing w:after="0" w:line="240" w:lineRule="auto"/>
      </w:pPr>
      <w:r>
        <w:separator/>
      </w:r>
    </w:p>
  </w:footnote>
  <w:footnote w:type="continuationSeparator" w:id="0">
    <w:p w:rsidR="00367FAA" w:rsidRDefault="00367FAA" w:rsidP="00367F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E043D"/>
    <w:multiLevelType w:val="hybridMultilevel"/>
    <w:tmpl w:val="847E76B2"/>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62677F"/>
    <w:multiLevelType w:val="hybridMultilevel"/>
    <w:tmpl w:val="6BFE6FB0"/>
    <w:lvl w:ilvl="0" w:tplc="44EED7EE">
      <w:start w:val="1"/>
      <w:numFmt w:val="bullet"/>
      <w:lvlText w:val="•"/>
      <w:lvlJc w:val="left"/>
      <w:pPr>
        <w:tabs>
          <w:tab w:val="num" w:pos="720"/>
        </w:tabs>
        <w:ind w:left="720" w:hanging="360"/>
      </w:pPr>
      <w:rPr>
        <w:rFonts w:ascii="Arial" w:hAnsi="Arial" w:hint="default"/>
      </w:rPr>
    </w:lvl>
    <w:lvl w:ilvl="1" w:tplc="73A6491A" w:tentative="1">
      <w:start w:val="1"/>
      <w:numFmt w:val="bullet"/>
      <w:lvlText w:val="•"/>
      <w:lvlJc w:val="left"/>
      <w:pPr>
        <w:tabs>
          <w:tab w:val="num" w:pos="1440"/>
        </w:tabs>
        <w:ind w:left="1440" w:hanging="360"/>
      </w:pPr>
      <w:rPr>
        <w:rFonts w:ascii="Arial" w:hAnsi="Arial" w:hint="default"/>
      </w:rPr>
    </w:lvl>
    <w:lvl w:ilvl="2" w:tplc="B6E26CE2">
      <w:start w:val="1753"/>
      <w:numFmt w:val="bullet"/>
      <w:lvlText w:val="•"/>
      <w:lvlJc w:val="left"/>
      <w:pPr>
        <w:tabs>
          <w:tab w:val="num" w:pos="2160"/>
        </w:tabs>
        <w:ind w:left="2160" w:hanging="360"/>
      </w:pPr>
      <w:rPr>
        <w:rFonts w:ascii="Arial" w:hAnsi="Arial" w:hint="default"/>
      </w:rPr>
    </w:lvl>
    <w:lvl w:ilvl="3" w:tplc="8D5A61AA" w:tentative="1">
      <w:start w:val="1"/>
      <w:numFmt w:val="bullet"/>
      <w:lvlText w:val="•"/>
      <w:lvlJc w:val="left"/>
      <w:pPr>
        <w:tabs>
          <w:tab w:val="num" w:pos="2880"/>
        </w:tabs>
        <w:ind w:left="2880" w:hanging="360"/>
      </w:pPr>
      <w:rPr>
        <w:rFonts w:ascii="Arial" w:hAnsi="Arial" w:hint="default"/>
      </w:rPr>
    </w:lvl>
    <w:lvl w:ilvl="4" w:tplc="10FE4CBC" w:tentative="1">
      <w:start w:val="1"/>
      <w:numFmt w:val="bullet"/>
      <w:lvlText w:val="•"/>
      <w:lvlJc w:val="left"/>
      <w:pPr>
        <w:tabs>
          <w:tab w:val="num" w:pos="3600"/>
        </w:tabs>
        <w:ind w:left="3600" w:hanging="360"/>
      </w:pPr>
      <w:rPr>
        <w:rFonts w:ascii="Arial" w:hAnsi="Arial" w:hint="default"/>
      </w:rPr>
    </w:lvl>
    <w:lvl w:ilvl="5" w:tplc="611A8BB8" w:tentative="1">
      <w:start w:val="1"/>
      <w:numFmt w:val="bullet"/>
      <w:lvlText w:val="•"/>
      <w:lvlJc w:val="left"/>
      <w:pPr>
        <w:tabs>
          <w:tab w:val="num" w:pos="4320"/>
        </w:tabs>
        <w:ind w:left="4320" w:hanging="360"/>
      </w:pPr>
      <w:rPr>
        <w:rFonts w:ascii="Arial" w:hAnsi="Arial" w:hint="default"/>
      </w:rPr>
    </w:lvl>
    <w:lvl w:ilvl="6" w:tplc="76E22EA0" w:tentative="1">
      <w:start w:val="1"/>
      <w:numFmt w:val="bullet"/>
      <w:lvlText w:val="•"/>
      <w:lvlJc w:val="left"/>
      <w:pPr>
        <w:tabs>
          <w:tab w:val="num" w:pos="5040"/>
        </w:tabs>
        <w:ind w:left="5040" w:hanging="360"/>
      </w:pPr>
      <w:rPr>
        <w:rFonts w:ascii="Arial" w:hAnsi="Arial" w:hint="default"/>
      </w:rPr>
    </w:lvl>
    <w:lvl w:ilvl="7" w:tplc="1428C3F2" w:tentative="1">
      <w:start w:val="1"/>
      <w:numFmt w:val="bullet"/>
      <w:lvlText w:val="•"/>
      <w:lvlJc w:val="left"/>
      <w:pPr>
        <w:tabs>
          <w:tab w:val="num" w:pos="5760"/>
        </w:tabs>
        <w:ind w:left="5760" w:hanging="360"/>
      </w:pPr>
      <w:rPr>
        <w:rFonts w:ascii="Arial" w:hAnsi="Arial" w:hint="default"/>
      </w:rPr>
    </w:lvl>
    <w:lvl w:ilvl="8" w:tplc="D0E8E1E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E14"/>
    <w:rsid w:val="00307044"/>
    <w:rsid w:val="00367FAA"/>
    <w:rsid w:val="00412186"/>
    <w:rsid w:val="0041485B"/>
    <w:rsid w:val="004A15C4"/>
    <w:rsid w:val="005356D7"/>
    <w:rsid w:val="006039F9"/>
    <w:rsid w:val="007733D2"/>
    <w:rsid w:val="007B63E9"/>
    <w:rsid w:val="007F1C1B"/>
    <w:rsid w:val="0094439C"/>
    <w:rsid w:val="00B53E5A"/>
    <w:rsid w:val="00ED5E14"/>
    <w:rsid w:val="00F3727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4D204"/>
  <w15:docId w15:val="{F0AEAE9D-A663-4446-BCF1-BF7BDDE7B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9F9"/>
    <w:pPr>
      <w:ind w:left="720"/>
      <w:contextualSpacing/>
    </w:pPr>
  </w:style>
  <w:style w:type="character" w:styleId="Hyperlink">
    <w:name w:val="Hyperlink"/>
    <w:uiPriority w:val="99"/>
    <w:semiHidden/>
    <w:unhideWhenUsed/>
    <w:rsid w:val="00412186"/>
    <w:rPr>
      <w:color w:val="0000FF"/>
      <w:u w:val="single"/>
    </w:rPr>
  </w:style>
  <w:style w:type="table" w:styleId="TableGrid">
    <w:name w:val="Table Grid"/>
    <w:basedOn w:val="TableNormal"/>
    <w:uiPriority w:val="59"/>
    <w:rsid w:val="00412186"/>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67F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7FAA"/>
  </w:style>
  <w:style w:type="paragraph" w:styleId="Footer">
    <w:name w:val="footer"/>
    <w:basedOn w:val="Normal"/>
    <w:link w:val="FooterChar"/>
    <w:uiPriority w:val="99"/>
    <w:unhideWhenUsed/>
    <w:rsid w:val="00367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7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10289">
      <w:bodyDiv w:val="1"/>
      <w:marLeft w:val="0"/>
      <w:marRight w:val="0"/>
      <w:marTop w:val="0"/>
      <w:marBottom w:val="0"/>
      <w:divBdr>
        <w:top w:val="none" w:sz="0" w:space="0" w:color="auto"/>
        <w:left w:val="none" w:sz="0" w:space="0" w:color="auto"/>
        <w:bottom w:val="none" w:sz="0" w:space="0" w:color="auto"/>
        <w:right w:val="none" w:sz="0" w:space="0" w:color="auto"/>
      </w:divBdr>
    </w:div>
    <w:div w:id="1588726601">
      <w:bodyDiv w:val="1"/>
      <w:marLeft w:val="0"/>
      <w:marRight w:val="0"/>
      <w:marTop w:val="0"/>
      <w:marBottom w:val="0"/>
      <w:divBdr>
        <w:top w:val="none" w:sz="0" w:space="0" w:color="auto"/>
        <w:left w:val="none" w:sz="0" w:space="0" w:color="auto"/>
        <w:bottom w:val="none" w:sz="0" w:space="0" w:color="auto"/>
        <w:right w:val="none" w:sz="0" w:space="0" w:color="auto"/>
      </w:divBdr>
      <w:divsChild>
        <w:div w:id="1096748155">
          <w:marLeft w:val="547"/>
          <w:marRight w:val="0"/>
          <w:marTop w:val="77"/>
          <w:marBottom w:val="0"/>
          <w:divBdr>
            <w:top w:val="none" w:sz="0" w:space="0" w:color="auto"/>
            <w:left w:val="none" w:sz="0" w:space="0" w:color="auto"/>
            <w:bottom w:val="none" w:sz="0" w:space="0" w:color="auto"/>
            <w:right w:val="none" w:sz="0" w:space="0" w:color="auto"/>
          </w:divBdr>
        </w:div>
        <w:div w:id="1264921346">
          <w:marLeft w:val="547"/>
          <w:marRight w:val="0"/>
          <w:marTop w:val="77"/>
          <w:marBottom w:val="0"/>
          <w:divBdr>
            <w:top w:val="none" w:sz="0" w:space="0" w:color="auto"/>
            <w:left w:val="none" w:sz="0" w:space="0" w:color="auto"/>
            <w:bottom w:val="none" w:sz="0" w:space="0" w:color="auto"/>
            <w:right w:val="none" w:sz="0" w:space="0" w:color="auto"/>
          </w:divBdr>
        </w:div>
        <w:div w:id="1537692574">
          <w:marLeft w:val="547"/>
          <w:marRight w:val="0"/>
          <w:marTop w:val="77"/>
          <w:marBottom w:val="0"/>
          <w:divBdr>
            <w:top w:val="none" w:sz="0" w:space="0" w:color="auto"/>
            <w:left w:val="none" w:sz="0" w:space="0" w:color="auto"/>
            <w:bottom w:val="none" w:sz="0" w:space="0" w:color="auto"/>
            <w:right w:val="none" w:sz="0" w:space="0" w:color="auto"/>
          </w:divBdr>
        </w:div>
        <w:div w:id="317419801">
          <w:marLeft w:val="547"/>
          <w:marRight w:val="0"/>
          <w:marTop w:val="77"/>
          <w:marBottom w:val="0"/>
          <w:divBdr>
            <w:top w:val="none" w:sz="0" w:space="0" w:color="auto"/>
            <w:left w:val="none" w:sz="0" w:space="0" w:color="auto"/>
            <w:bottom w:val="none" w:sz="0" w:space="0" w:color="auto"/>
            <w:right w:val="none" w:sz="0" w:space="0" w:color="auto"/>
          </w:divBdr>
        </w:div>
        <w:div w:id="777527596">
          <w:marLeft w:val="1800"/>
          <w:marRight w:val="0"/>
          <w:marTop w:val="77"/>
          <w:marBottom w:val="0"/>
          <w:divBdr>
            <w:top w:val="none" w:sz="0" w:space="0" w:color="auto"/>
            <w:left w:val="none" w:sz="0" w:space="0" w:color="auto"/>
            <w:bottom w:val="none" w:sz="0" w:space="0" w:color="auto"/>
            <w:right w:val="none" w:sz="0" w:space="0" w:color="auto"/>
          </w:divBdr>
        </w:div>
        <w:div w:id="574363495">
          <w:marLeft w:val="1800"/>
          <w:marRight w:val="0"/>
          <w:marTop w:val="77"/>
          <w:marBottom w:val="0"/>
          <w:divBdr>
            <w:top w:val="none" w:sz="0" w:space="0" w:color="auto"/>
            <w:left w:val="none" w:sz="0" w:space="0" w:color="auto"/>
            <w:bottom w:val="none" w:sz="0" w:space="0" w:color="auto"/>
            <w:right w:val="none" w:sz="0" w:space="0" w:color="auto"/>
          </w:divBdr>
        </w:div>
        <w:div w:id="1648431703">
          <w:marLeft w:val="1800"/>
          <w:marRight w:val="0"/>
          <w:marTop w:val="77"/>
          <w:marBottom w:val="0"/>
          <w:divBdr>
            <w:top w:val="none" w:sz="0" w:space="0" w:color="auto"/>
            <w:left w:val="none" w:sz="0" w:space="0" w:color="auto"/>
            <w:bottom w:val="none" w:sz="0" w:space="0" w:color="auto"/>
            <w:right w:val="none" w:sz="0" w:space="0" w:color="auto"/>
          </w:divBdr>
        </w:div>
        <w:div w:id="1447389966">
          <w:marLeft w:val="1800"/>
          <w:marRight w:val="0"/>
          <w:marTop w:val="77"/>
          <w:marBottom w:val="0"/>
          <w:divBdr>
            <w:top w:val="none" w:sz="0" w:space="0" w:color="auto"/>
            <w:left w:val="none" w:sz="0" w:space="0" w:color="auto"/>
            <w:bottom w:val="none" w:sz="0" w:space="0" w:color="auto"/>
            <w:right w:val="none" w:sz="0" w:space="0" w:color="auto"/>
          </w:divBdr>
        </w:div>
        <w:div w:id="1945767916">
          <w:marLeft w:val="1800"/>
          <w:marRight w:val="0"/>
          <w:marTop w:val="77"/>
          <w:marBottom w:val="0"/>
          <w:divBdr>
            <w:top w:val="none" w:sz="0" w:space="0" w:color="auto"/>
            <w:left w:val="none" w:sz="0" w:space="0" w:color="auto"/>
            <w:bottom w:val="none" w:sz="0" w:space="0" w:color="auto"/>
            <w:right w:val="none" w:sz="0" w:space="0" w:color="auto"/>
          </w:divBdr>
        </w:div>
        <w:div w:id="668945059">
          <w:marLeft w:val="547"/>
          <w:marRight w:val="0"/>
          <w:marTop w:val="77"/>
          <w:marBottom w:val="0"/>
          <w:divBdr>
            <w:top w:val="none" w:sz="0" w:space="0" w:color="auto"/>
            <w:left w:val="none" w:sz="0" w:space="0" w:color="auto"/>
            <w:bottom w:val="none" w:sz="0" w:space="0" w:color="auto"/>
            <w:right w:val="none" w:sz="0" w:space="0" w:color="auto"/>
          </w:divBdr>
        </w:div>
        <w:div w:id="401677763">
          <w:marLeft w:val="547"/>
          <w:marRight w:val="0"/>
          <w:marTop w:val="77"/>
          <w:marBottom w:val="0"/>
          <w:divBdr>
            <w:top w:val="none" w:sz="0" w:space="0" w:color="auto"/>
            <w:left w:val="none" w:sz="0" w:space="0" w:color="auto"/>
            <w:bottom w:val="none" w:sz="0" w:space="0" w:color="auto"/>
            <w:right w:val="none" w:sz="0" w:space="0" w:color="auto"/>
          </w:divBdr>
        </w:div>
        <w:div w:id="356665151">
          <w:marLeft w:val="547"/>
          <w:marRight w:val="0"/>
          <w:marTop w:val="77"/>
          <w:marBottom w:val="0"/>
          <w:divBdr>
            <w:top w:val="none" w:sz="0" w:space="0" w:color="auto"/>
            <w:left w:val="none" w:sz="0" w:space="0" w:color="auto"/>
            <w:bottom w:val="none" w:sz="0" w:space="0" w:color="auto"/>
            <w:right w:val="none" w:sz="0" w:space="0" w:color="auto"/>
          </w:divBdr>
        </w:div>
      </w:divsChild>
    </w:div>
    <w:div w:id="1599752628">
      <w:bodyDiv w:val="1"/>
      <w:marLeft w:val="0"/>
      <w:marRight w:val="0"/>
      <w:marTop w:val="0"/>
      <w:marBottom w:val="0"/>
      <w:divBdr>
        <w:top w:val="none" w:sz="0" w:space="0" w:color="auto"/>
        <w:left w:val="none" w:sz="0" w:space="0" w:color="auto"/>
        <w:bottom w:val="none" w:sz="0" w:space="0" w:color="auto"/>
        <w:right w:val="none" w:sz="0" w:space="0" w:color="auto"/>
      </w:divBdr>
      <w:divsChild>
        <w:div w:id="1533154714">
          <w:marLeft w:val="547"/>
          <w:marRight w:val="0"/>
          <w:marTop w:val="77"/>
          <w:marBottom w:val="0"/>
          <w:divBdr>
            <w:top w:val="none" w:sz="0" w:space="0" w:color="auto"/>
            <w:left w:val="none" w:sz="0" w:space="0" w:color="auto"/>
            <w:bottom w:val="none" w:sz="0" w:space="0" w:color="auto"/>
            <w:right w:val="none" w:sz="0" w:space="0" w:color="auto"/>
          </w:divBdr>
        </w:div>
        <w:div w:id="1525829008">
          <w:marLeft w:val="547"/>
          <w:marRight w:val="0"/>
          <w:marTop w:val="77"/>
          <w:marBottom w:val="0"/>
          <w:divBdr>
            <w:top w:val="none" w:sz="0" w:space="0" w:color="auto"/>
            <w:left w:val="none" w:sz="0" w:space="0" w:color="auto"/>
            <w:bottom w:val="none" w:sz="0" w:space="0" w:color="auto"/>
            <w:right w:val="none" w:sz="0" w:space="0" w:color="auto"/>
          </w:divBdr>
        </w:div>
        <w:div w:id="744958094">
          <w:marLeft w:val="547"/>
          <w:marRight w:val="0"/>
          <w:marTop w:val="77"/>
          <w:marBottom w:val="0"/>
          <w:divBdr>
            <w:top w:val="none" w:sz="0" w:space="0" w:color="auto"/>
            <w:left w:val="none" w:sz="0" w:space="0" w:color="auto"/>
            <w:bottom w:val="none" w:sz="0" w:space="0" w:color="auto"/>
            <w:right w:val="none" w:sz="0" w:space="0" w:color="auto"/>
          </w:divBdr>
        </w:div>
        <w:div w:id="2025084807">
          <w:marLeft w:val="547"/>
          <w:marRight w:val="0"/>
          <w:marTop w:val="77"/>
          <w:marBottom w:val="0"/>
          <w:divBdr>
            <w:top w:val="none" w:sz="0" w:space="0" w:color="auto"/>
            <w:left w:val="none" w:sz="0" w:space="0" w:color="auto"/>
            <w:bottom w:val="none" w:sz="0" w:space="0" w:color="auto"/>
            <w:right w:val="none" w:sz="0" w:space="0" w:color="auto"/>
          </w:divBdr>
        </w:div>
        <w:div w:id="1441149857">
          <w:marLeft w:val="1800"/>
          <w:marRight w:val="0"/>
          <w:marTop w:val="77"/>
          <w:marBottom w:val="0"/>
          <w:divBdr>
            <w:top w:val="none" w:sz="0" w:space="0" w:color="auto"/>
            <w:left w:val="none" w:sz="0" w:space="0" w:color="auto"/>
            <w:bottom w:val="none" w:sz="0" w:space="0" w:color="auto"/>
            <w:right w:val="none" w:sz="0" w:space="0" w:color="auto"/>
          </w:divBdr>
        </w:div>
        <w:div w:id="2121870512">
          <w:marLeft w:val="1800"/>
          <w:marRight w:val="0"/>
          <w:marTop w:val="77"/>
          <w:marBottom w:val="0"/>
          <w:divBdr>
            <w:top w:val="none" w:sz="0" w:space="0" w:color="auto"/>
            <w:left w:val="none" w:sz="0" w:space="0" w:color="auto"/>
            <w:bottom w:val="none" w:sz="0" w:space="0" w:color="auto"/>
            <w:right w:val="none" w:sz="0" w:space="0" w:color="auto"/>
          </w:divBdr>
        </w:div>
        <w:div w:id="2073000217">
          <w:marLeft w:val="1800"/>
          <w:marRight w:val="0"/>
          <w:marTop w:val="77"/>
          <w:marBottom w:val="0"/>
          <w:divBdr>
            <w:top w:val="none" w:sz="0" w:space="0" w:color="auto"/>
            <w:left w:val="none" w:sz="0" w:space="0" w:color="auto"/>
            <w:bottom w:val="none" w:sz="0" w:space="0" w:color="auto"/>
            <w:right w:val="none" w:sz="0" w:space="0" w:color="auto"/>
          </w:divBdr>
        </w:div>
        <w:div w:id="1511411780">
          <w:marLeft w:val="1800"/>
          <w:marRight w:val="0"/>
          <w:marTop w:val="77"/>
          <w:marBottom w:val="0"/>
          <w:divBdr>
            <w:top w:val="none" w:sz="0" w:space="0" w:color="auto"/>
            <w:left w:val="none" w:sz="0" w:space="0" w:color="auto"/>
            <w:bottom w:val="none" w:sz="0" w:space="0" w:color="auto"/>
            <w:right w:val="none" w:sz="0" w:space="0" w:color="auto"/>
          </w:divBdr>
        </w:div>
        <w:div w:id="2905073">
          <w:marLeft w:val="1800"/>
          <w:marRight w:val="0"/>
          <w:marTop w:val="77"/>
          <w:marBottom w:val="0"/>
          <w:divBdr>
            <w:top w:val="none" w:sz="0" w:space="0" w:color="auto"/>
            <w:left w:val="none" w:sz="0" w:space="0" w:color="auto"/>
            <w:bottom w:val="none" w:sz="0" w:space="0" w:color="auto"/>
            <w:right w:val="none" w:sz="0" w:space="0" w:color="auto"/>
          </w:divBdr>
        </w:div>
        <w:div w:id="1533415522">
          <w:marLeft w:val="547"/>
          <w:marRight w:val="0"/>
          <w:marTop w:val="77"/>
          <w:marBottom w:val="0"/>
          <w:divBdr>
            <w:top w:val="none" w:sz="0" w:space="0" w:color="auto"/>
            <w:left w:val="none" w:sz="0" w:space="0" w:color="auto"/>
            <w:bottom w:val="none" w:sz="0" w:space="0" w:color="auto"/>
            <w:right w:val="none" w:sz="0" w:space="0" w:color="auto"/>
          </w:divBdr>
        </w:div>
        <w:div w:id="1557859475">
          <w:marLeft w:val="547"/>
          <w:marRight w:val="0"/>
          <w:marTop w:val="77"/>
          <w:marBottom w:val="0"/>
          <w:divBdr>
            <w:top w:val="none" w:sz="0" w:space="0" w:color="auto"/>
            <w:left w:val="none" w:sz="0" w:space="0" w:color="auto"/>
            <w:bottom w:val="none" w:sz="0" w:space="0" w:color="auto"/>
            <w:right w:val="none" w:sz="0" w:space="0" w:color="auto"/>
          </w:divBdr>
        </w:div>
        <w:div w:id="896210461">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 TargetMode="External"/><Relationship Id="rId3" Type="http://schemas.openxmlformats.org/officeDocument/2006/relationships/settings" Target="settings.xml"/><Relationship Id="rId7" Type="http://schemas.openxmlformats.org/officeDocument/2006/relationships/hyperlink" Target="https://extranet.who.int/hslp/?q=content/terms-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hrhrt@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Paula</dc:creator>
  <cp:lastModifiedBy>GOMEZ, Paula</cp:lastModifiedBy>
  <cp:revision>9</cp:revision>
  <dcterms:created xsi:type="dcterms:W3CDTF">2016-06-10T14:14:00Z</dcterms:created>
  <dcterms:modified xsi:type="dcterms:W3CDTF">2018-05-14T15:41:00Z</dcterms:modified>
</cp:coreProperties>
</file>