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98787" w14:textId="36121896" w:rsidR="009A0938" w:rsidRPr="00E6403B" w:rsidRDefault="009D6BE2" w:rsidP="00724FEC">
      <w:pPr>
        <w:jc w:val="center"/>
        <w:rPr>
          <w:b/>
          <w:sz w:val="24"/>
          <w:szCs w:val="24"/>
          <w:lang w:val="pt-PT"/>
        </w:rPr>
      </w:pPr>
      <w:r w:rsidRPr="00E6403B">
        <w:rPr>
          <w:b/>
          <w:sz w:val="24"/>
          <w:szCs w:val="24"/>
          <w:lang w:val="pt-PT"/>
        </w:rPr>
        <w:t>B8.4</w:t>
      </w:r>
      <w:r w:rsidR="009A0938" w:rsidRPr="00E6403B">
        <w:rPr>
          <w:b/>
          <w:sz w:val="24"/>
          <w:szCs w:val="24"/>
          <w:lang w:val="pt-PT"/>
        </w:rPr>
        <w:t xml:space="preserve"> </w:t>
      </w:r>
      <w:r w:rsidR="002175E4" w:rsidRPr="00E6403B">
        <w:rPr>
          <w:b/>
          <w:sz w:val="24"/>
          <w:szCs w:val="24"/>
          <w:lang w:val="pt-PT"/>
        </w:rPr>
        <w:t xml:space="preserve">Suscitar discussão na comunidade </w:t>
      </w:r>
      <w:r w:rsidR="009A0938" w:rsidRPr="00E6403B">
        <w:rPr>
          <w:b/>
          <w:sz w:val="24"/>
          <w:szCs w:val="24"/>
          <w:lang w:val="pt-PT"/>
        </w:rPr>
        <w:t xml:space="preserve">– </w:t>
      </w:r>
      <w:r w:rsidR="00B61CAE" w:rsidRPr="00E6403B">
        <w:rPr>
          <w:b/>
          <w:sz w:val="24"/>
          <w:szCs w:val="24"/>
          <w:lang w:val="pt-PT"/>
        </w:rPr>
        <w:t>Exerc</w:t>
      </w:r>
      <w:r w:rsidR="002175E4" w:rsidRPr="00E6403B">
        <w:rPr>
          <w:b/>
          <w:sz w:val="24"/>
          <w:szCs w:val="24"/>
          <w:lang w:val="pt-PT"/>
        </w:rPr>
        <w:t>ício</w:t>
      </w:r>
      <w:r w:rsidR="00724FEC">
        <w:rPr>
          <w:b/>
          <w:sz w:val="24"/>
          <w:szCs w:val="24"/>
          <w:lang w:val="pt-PT"/>
        </w:rPr>
        <w:t xml:space="preserve"> - </w:t>
      </w:r>
      <w:r w:rsidR="00E07687" w:rsidRPr="00E6403B">
        <w:rPr>
          <w:b/>
          <w:sz w:val="24"/>
          <w:szCs w:val="24"/>
          <w:lang w:val="pt-PT"/>
        </w:rPr>
        <w:t>Guia do participante</w:t>
      </w:r>
    </w:p>
    <w:p w14:paraId="1551030A" w14:textId="231827C0" w:rsidR="00945A09" w:rsidRPr="00E6403B" w:rsidRDefault="00E07687" w:rsidP="00724FEC">
      <w:pPr>
        <w:spacing w:after="0" w:line="240" w:lineRule="auto"/>
        <w:rPr>
          <w:lang w:val="pt-PT"/>
        </w:rPr>
      </w:pPr>
      <w:r w:rsidRPr="00E6403B">
        <w:rPr>
          <w:lang w:val="pt-PT"/>
        </w:rPr>
        <w:t>Instrumentos para suscitar discussão na comunidade</w:t>
      </w:r>
      <w:r w:rsidR="00F06ED1" w:rsidRPr="00E6403B">
        <w:rPr>
          <w:rStyle w:val="FootnoteReference"/>
          <w:lang w:val="pt-PT"/>
        </w:rPr>
        <w:footnoteReference w:id="1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22"/>
        <w:gridCol w:w="7120"/>
      </w:tblGrid>
      <w:tr w:rsidR="009A0938" w:rsidRPr="00E6403B" w14:paraId="0B2CCCF4" w14:textId="77777777" w:rsidTr="00724FEC">
        <w:trPr>
          <w:trHeight w:val="523"/>
        </w:trPr>
        <w:tc>
          <w:tcPr>
            <w:tcW w:w="1130" w:type="pct"/>
            <w:shd w:val="clear" w:color="auto" w:fill="0070C0"/>
          </w:tcPr>
          <w:p w14:paraId="5FEE4490" w14:textId="381070B7" w:rsidR="00AB778F" w:rsidRPr="00E6403B" w:rsidRDefault="00E07687" w:rsidP="009A0938">
            <w:pPr>
              <w:spacing w:before="60"/>
              <w:rPr>
                <w:b/>
                <w:color w:val="FFFFFF" w:themeColor="background1"/>
                <w:sz w:val="24"/>
                <w:szCs w:val="24"/>
                <w:lang w:val="pt-PT"/>
              </w:rPr>
            </w:pPr>
            <w:r w:rsidRPr="00E6403B">
              <w:rPr>
                <w:b/>
                <w:color w:val="FFFFFF" w:themeColor="background1"/>
                <w:sz w:val="24"/>
                <w:szCs w:val="24"/>
                <w:lang w:val="pt-PT"/>
              </w:rPr>
              <w:t>Instrumentos</w:t>
            </w:r>
          </w:p>
        </w:tc>
        <w:tc>
          <w:tcPr>
            <w:tcW w:w="3870" w:type="pct"/>
            <w:shd w:val="clear" w:color="auto" w:fill="0070C0"/>
          </w:tcPr>
          <w:p w14:paraId="52C92F6A" w14:textId="417E700C" w:rsidR="009A0938" w:rsidRPr="00E6403B" w:rsidRDefault="00E07687" w:rsidP="009A0938">
            <w:pPr>
              <w:spacing w:before="60"/>
              <w:rPr>
                <w:b/>
                <w:color w:val="FFFFFF" w:themeColor="background1"/>
                <w:sz w:val="24"/>
                <w:szCs w:val="24"/>
                <w:lang w:val="pt-PT"/>
              </w:rPr>
            </w:pPr>
            <w:r w:rsidRPr="00E6403B">
              <w:rPr>
                <w:b/>
                <w:color w:val="FFFFFF" w:themeColor="background1"/>
                <w:sz w:val="24"/>
                <w:szCs w:val="24"/>
                <w:lang w:val="pt-PT"/>
              </w:rPr>
              <w:t>O que é</w:t>
            </w:r>
          </w:p>
        </w:tc>
      </w:tr>
      <w:tr w:rsidR="00AB778F" w:rsidRPr="00724FEC" w14:paraId="38DBC9DA" w14:textId="77777777" w:rsidTr="00724FEC">
        <w:tc>
          <w:tcPr>
            <w:tcW w:w="1130" w:type="pct"/>
            <w:shd w:val="clear" w:color="auto" w:fill="DAEEF3" w:themeFill="accent5" w:themeFillTint="33"/>
          </w:tcPr>
          <w:p w14:paraId="50BF5F24" w14:textId="71B00C4F" w:rsidR="00AB778F" w:rsidRPr="00E6403B" w:rsidRDefault="00E07687">
            <w:pPr>
              <w:rPr>
                <w:b/>
                <w:lang w:val="pt-PT"/>
              </w:rPr>
            </w:pPr>
            <w:r w:rsidRPr="00E6403B">
              <w:rPr>
                <w:b/>
                <w:lang w:val="pt-PT"/>
              </w:rPr>
              <w:t>Mapa da comunidade</w:t>
            </w:r>
          </w:p>
        </w:tc>
        <w:tc>
          <w:tcPr>
            <w:tcW w:w="3870" w:type="pct"/>
          </w:tcPr>
          <w:p w14:paraId="58B1D240" w14:textId="60A44C93" w:rsidR="00AB778F" w:rsidRPr="00E6403B" w:rsidRDefault="00E07687" w:rsidP="002A1A11">
            <w:pPr>
              <w:rPr>
                <w:lang w:val="pt-PT"/>
              </w:rPr>
            </w:pPr>
            <w:r w:rsidRPr="00E6403B">
              <w:rPr>
                <w:lang w:val="pt-PT"/>
              </w:rPr>
              <w:t>Os membros da comunidade desenham um mapa da sua comunidade</w:t>
            </w:r>
            <w:r w:rsidR="00AB778F" w:rsidRPr="00E6403B">
              <w:rPr>
                <w:lang w:val="pt-PT"/>
              </w:rPr>
              <w:t xml:space="preserve">, </w:t>
            </w:r>
            <w:r w:rsidRPr="00E6403B">
              <w:rPr>
                <w:lang w:val="pt-PT"/>
              </w:rPr>
              <w:t xml:space="preserve">mostrando as características </w:t>
            </w:r>
            <w:r w:rsidR="002A1A11" w:rsidRPr="00E6403B">
              <w:rPr>
                <w:lang w:val="pt-PT"/>
              </w:rPr>
              <w:t>geográficas e as unidade</w:t>
            </w:r>
            <w:r w:rsidRPr="00E6403B">
              <w:rPr>
                <w:lang w:val="pt-PT"/>
              </w:rPr>
              <w:t>s onde os residentes se devem dirigir durante um surto de doença ou outra calamidade</w:t>
            </w:r>
            <w:r w:rsidR="00AB778F" w:rsidRPr="00E6403B">
              <w:rPr>
                <w:lang w:val="pt-PT"/>
              </w:rPr>
              <w:t>.</w:t>
            </w:r>
          </w:p>
        </w:tc>
      </w:tr>
      <w:tr w:rsidR="00AB778F" w:rsidRPr="00724FEC" w14:paraId="6E5092FE" w14:textId="77777777" w:rsidTr="00724FEC">
        <w:tc>
          <w:tcPr>
            <w:tcW w:w="1130" w:type="pct"/>
            <w:shd w:val="clear" w:color="auto" w:fill="DAEEF3" w:themeFill="accent5" w:themeFillTint="33"/>
          </w:tcPr>
          <w:p w14:paraId="62DB798C" w14:textId="4809FE83" w:rsidR="00AB778F" w:rsidRPr="00E6403B" w:rsidRDefault="00E07687" w:rsidP="00E07687">
            <w:pPr>
              <w:rPr>
                <w:b/>
                <w:lang w:val="pt-PT"/>
              </w:rPr>
            </w:pPr>
            <w:r w:rsidRPr="00E6403B">
              <w:rPr>
                <w:b/>
                <w:lang w:val="pt-PT"/>
              </w:rPr>
              <w:t>Calendário sazonal</w:t>
            </w:r>
            <w:r w:rsidR="00AB778F" w:rsidRPr="00E6403B">
              <w:rPr>
                <w:b/>
                <w:lang w:val="pt-PT"/>
              </w:rPr>
              <w:t>/</w:t>
            </w:r>
            <w:r w:rsidRPr="00E6403B">
              <w:rPr>
                <w:b/>
                <w:lang w:val="pt-PT"/>
              </w:rPr>
              <w:t>Cronograma do evento</w:t>
            </w:r>
          </w:p>
        </w:tc>
        <w:tc>
          <w:tcPr>
            <w:tcW w:w="3870" w:type="pct"/>
          </w:tcPr>
          <w:p w14:paraId="18D2E965" w14:textId="669DCC9F" w:rsidR="00AB778F" w:rsidRPr="00E6403B" w:rsidRDefault="00E07687" w:rsidP="00AA622F">
            <w:pPr>
              <w:rPr>
                <w:lang w:val="pt-PT"/>
              </w:rPr>
            </w:pPr>
            <w:r w:rsidRPr="00E6403B">
              <w:rPr>
                <w:lang w:val="pt-PT"/>
              </w:rPr>
              <w:t xml:space="preserve">Os membros da comunidade </w:t>
            </w:r>
            <w:r w:rsidR="00AB778F" w:rsidRPr="00E6403B">
              <w:rPr>
                <w:lang w:val="pt-PT"/>
              </w:rPr>
              <w:t>descr</w:t>
            </w:r>
            <w:r w:rsidRPr="00E6403B">
              <w:rPr>
                <w:lang w:val="pt-PT"/>
              </w:rPr>
              <w:t>evem as alterações usando um calendário simples</w:t>
            </w:r>
            <w:r w:rsidR="00AB778F" w:rsidRPr="00E6403B">
              <w:rPr>
                <w:lang w:val="pt-PT"/>
              </w:rPr>
              <w:t xml:space="preserve"> </w:t>
            </w:r>
            <w:r w:rsidRPr="00E6403B">
              <w:rPr>
                <w:lang w:val="pt-PT"/>
              </w:rPr>
              <w:t xml:space="preserve">para </w:t>
            </w:r>
            <w:r w:rsidR="00AB778F" w:rsidRPr="00E6403B">
              <w:rPr>
                <w:lang w:val="pt-PT"/>
              </w:rPr>
              <w:t>identif</w:t>
            </w:r>
            <w:r w:rsidRPr="00E6403B">
              <w:rPr>
                <w:lang w:val="pt-PT"/>
              </w:rPr>
              <w:t>icar os períodos de maior dificuldade ou vulnerabilidade</w:t>
            </w:r>
            <w:r w:rsidR="00AB778F" w:rsidRPr="00E6403B">
              <w:rPr>
                <w:lang w:val="pt-PT"/>
              </w:rPr>
              <w:t xml:space="preserve">. </w:t>
            </w:r>
            <w:r w:rsidRPr="00E6403B">
              <w:rPr>
                <w:lang w:val="pt-PT"/>
              </w:rPr>
              <w:t>Esta actividade pode ser usada para criar um cronograma de um determinado evento</w:t>
            </w:r>
            <w:r w:rsidR="00AB778F" w:rsidRPr="00E6403B">
              <w:rPr>
                <w:lang w:val="pt-PT"/>
              </w:rPr>
              <w:t xml:space="preserve">, </w:t>
            </w:r>
            <w:r w:rsidRPr="00E6403B">
              <w:rPr>
                <w:lang w:val="pt-PT"/>
              </w:rPr>
              <w:t>designadamente um surto recente ou uma crise passada</w:t>
            </w:r>
            <w:r w:rsidR="00AB778F" w:rsidRPr="00E6403B">
              <w:rPr>
                <w:lang w:val="pt-PT"/>
              </w:rPr>
              <w:t xml:space="preserve">, </w:t>
            </w:r>
            <w:r w:rsidRPr="00E6403B">
              <w:rPr>
                <w:lang w:val="pt-PT"/>
              </w:rPr>
              <w:t>para revelar os pontos fortes da comunidade</w:t>
            </w:r>
            <w:r w:rsidR="00AB778F" w:rsidRPr="00E6403B">
              <w:rPr>
                <w:lang w:val="pt-PT"/>
              </w:rPr>
              <w:t>.</w:t>
            </w:r>
          </w:p>
        </w:tc>
      </w:tr>
      <w:tr w:rsidR="00AB778F" w:rsidRPr="00724FEC" w14:paraId="7F35DBEB" w14:textId="77777777" w:rsidTr="00724FEC">
        <w:tc>
          <w:tcPr>
            <w:tcW w:w="1130" w:type="pct"/>
            <w:shd w:val="clear" w:color="auto" w:fill="DAEEF3" w:themeFill="accent5" w:themeFillTint="33"/>
          </w:tcPr>
          <w:p w14:paraId="2424092B" w14:textId="170DCF95" w:rsidR="00AB778F" w:rsidRPr="00E6403B" w:rsidRDefault="00E07687">
            <w:pPr>
              <w:rPr>
                <w:b/>
                <w:lang w:val="pt-PT"/>
              </w:rPr>
            </w:pPr>
            <w:r w:rsidRPr="00E6403B">
              <w:rPr>
                <w:b/>
                <w:lang w:val="pt-PT"/>
              </w:rPr>
              <w:t>Passeio  pela comunidade e observações</w:t>
            </w:r>
          </w:p>
        </w:tc>
        <w:tc>
          <w:tcPr>
            <w:tcW w:w="3870" w:type="pct"/>
          </w:tcPr>
          <w:p w14:paraId="158089DF" w14:textId="399D25BD" w:rsidR="00AB778F" w:rsidRPr="00E6403B" w:rsidRDefault="00E07687" w:rsidP="00E07687">
            <w:pPr>
              <w:rPr>
                <w:lang w:val="pt-PT"/>
              </w:rPr>
            </w:pPr>
            <w:r w:rsidRPr="00E6403B">
              <w:rPr>
                <w:lang w:val="pt-PT"/>
              </w:rPr>
              <w:t>Passear pela comunidade e observar as práticas diárias e os recursos comunitários</w:t>
            </w:r>
            <w:r w:rsidR="00AB778F" w:rsidRPr="00E6403B">
              <w:rPr>
                <w:lang w:val="pt-PT"/>
              </w:rPr>
              <w:t>.</w:t>
            </w:r>
          </w:p>
        </w:tc>
      </w:tr>
      <w:tr w:rsidR="00AB778F" w:rsidRPr="00724FEC" w14:paraId="7AE2906E" w14:textId="77777777" w:rsidTr="00724FEC">
        <w:tc>
          <w:tcPr>
            <w:tcW w:w="1130" w:type="pct"/>
            <w:shd w:val="clear" w:color="auto" w:fill="DAEEF3" w:themeFill="accent5" w:themeFillTint="33"/>
          </w:tcPr>
          <w:p w14:paraId="5042B125" w14:textId="08F2661F" w:rsidR="00AB778F" w:rsidRPr="00E6403B" w:rsidRDefault="002A1A11" w:rsidP="002A1A11">
            <w:pPr>
              <w:rPr>
                <w:b/>
                <w:lang w:val="pt-PT"/>
              </w:rPr>
            </w:pPr>
            <w:r w:rsidRPr="00E6403B">
              <w:rPr>
                <w:b/>
                <w:lang w:val="pt-PT"/>
              </w:rPr>
              <w:t>Observação das habitações e das unidades de saúde</w:t>
            </w:r>
          </w:p>
        </w:tc>
        <w:tc>
          <w:tcPr>
            <w:tcW w:w="3870" w:type="pct"/>
          </w:tcPr>
          <w:p w14:paraId="2992AC23" w14:textId="17D14EF5" w:rsidR="00AB778F" w:rsidRPr="00E6403B" w:rsidRDefault="00AB778F" w:rsidP="002A1A11">
            <w:pPr>
              <w:rPr>
                <w:lang w:val="pt-PT"/>
              </w:rPr>
            </w:pPr>
            <w:r w:rsidRPr="00E6403B">
              <w:rPr>
                <w:lang w:val="pt-PT"/>
              </w:rPr>
              <w:t>Visit</w:t>
            </w:r>
            <w:r w:rsidR="002A1A11" w:rsidRPr="00E6403B">
              <w:rPr>
                <w:lang w:val="pt-PT"/>
              </w:rPr>
              <w:t>ar as habitações para observar as condições de saneamento, as práticas de higiene e/ou de prestação de cuidados</w:t>
            </w:r>
            <w:r w:rsidRPr="00E6403B">
              <w:rPr>
                <w:lang w:val="pt-PT"/>
              </w:rPr>
              <w:t>. Visit</w:t>
            </w:r>
            <w:r w:rsidR="002A1A11" w:rsidRPr="00E6403B">
              <w:rPr>
                <w:lang w:val="pt-PT"/>
              </w:rPr>
              <w:t>ar unidades específicas para observar os serviços de saúde e/ou as actividades de primeiros socorros</w:t>
            </w:r>
            <w:r w:rsidRPr="00E6403B">
              <w:rPr>
                <w:lang w:val="pt-PT"/>
              </w:rPr>
              <w:t>.</w:t>
            </w:r>
          </w:p>
        </w:tc>
      </w:tr>
      <w:tr w:rsidR="00AB778F" w:rsidRPr="00724FEC" w14:paraId="2450B718" w14:textId="77777777" w:rsidTr="00724FEC">
        <w:tc>
          <w:tcPr>
            <w:tcW w:w="1130" w:type="pct"/>
            <w:shd w:val="clear" w:color="auto" w:fill="DAEEF3" w:themeFill="accent5" w:themeFillTint="33"/>
          </w:tcPr>
          <w:p w14:paraId="60CBC45E" w14:textId="6EFFE4E3" w:rsidR="00AB778F" w:rsidRPr="00E6403B" w:rsidRDefault="002A1A11">
            <w:pPr>
              <w:rPr>
                <w:b/>
                <w:lang w:val="pt-PT"/>
              </w:rPr>
            </w:pPr>
            <w:r w:rsidRPr="00E6403B">
              <w:rPr>
                <w:b/>
                <w:lang w:val="pt-PT"/>
              </w:rPr>
              <w:t>Grupos de discussão</w:t>
            </w:r>
          </w:p>
        </w:tc>
        <w:tc>
          <w:tcPr>
            <w:tcW w:w="3870" w:type="pct"/>
          </w:tcPr>
          <w:p w14:paraId="04394675" w14:textId="7E25448F" w:rsidR="00AB778F" w:rsidRPr="00E6403B" w:rsidRDefault="002A1A11" w:rsidP="00AB123C">
            <w:pPr>
              <w:rPr>
                <w:lang w:val="pt-PT"/>
              </w:rPr>
            </w:pPr>
            <w:r w:rsidRPr="00E6403B">
              <w:rPr>
                <w:lang w:val="pt-PT"/>
              </w:rPr>
              <w:t xml:space="preserve">Uma discussão </w:t>
            </w:r>
            <w:r w:rsidR="00AB778F" w:rsidRPr="00E6403B">
              <w:rPr>
                <w:lang w:val="pt-PT"/>
              </w:rPr>
              <w:t>facilita</w:t>
            </w:r>
            <w:r w:rsidRPr="00E6403B">
              <w:rPr>
                <w:lang w:val="pt-PT"/>
              </w:rPr>
              <w:t>da entre um grupo de</w:t>
            </w:r>
            <w:r w:rsidR="00AB123C" w:rsidRPr="00E6403B">
              <w:rPr>
                <w:lang w:val="pt-PT"/>
              </w:rPr>
              <w:t xml:space="preserve"> pessoas da comunidade com afinidades</w:t>
            </w:r>
            <w:r w:rsidR="00AB778F" w:rsidRPr="00E6403B">
              <w:rPr>
                <w:lang w:val="pt-PT"/>
              </w:rPr>
              <w:t xml:space="preserve"> </w:t>
            </w:r>
            <w:r w:rsidR="00AB123C" w:rsidRPr="00E6403B">
              <w:rPr>
                <w:lang w:val="pt-PT"/>
              </w:rPr>
              <w:t xml:space="preserve">entre si </w:t>
            </w:r>
            <w:r w:rsidR="00AB778F" w:rsidRPr="00E6403B">
              <w:rPr>
                <w:lang w:val="pt-PT"/>
              </w:rPr>
              <w:t>(</w:t>
            </w:r>
            <w:r w:rsidR="00AB123C" w:rsidRPr="00E6403B">
              <w:rPr>
                <w:lang w:val="pt-PT"/>
              </w:rPr>
              <w:t>tais como, um grupo de homens, mulheres, professores, empresários, cuidadores ou prestadores de cuidados de saúde</w:t>
            </w:r>
            <w:r w:rsidR="00AB778F" w:rsidRPr="00E6403B">
              <w:rPr>
                <w:lang w:val="pt-PT"/>
              </w:rPr>
              <w:t>)</w:t>
            </w:r>
            <w:r w:rsidR="00AB123C" w:rsidRPr="00E6403B">
              <w:rPr>
                <w:lang w:val="pt-PT"/>
              </w:rPr>
              <w:t>, para melhor entender os conhecimentos, atitudes e percepções relativamente à higiene, doenças, comportamentos saudáveis</w:t>
            </w:r>
            <w:r w:rsidR="00AB778F" w:rsidRPr="00E6403B">
              <w:rPr>
                <w:lang w:val="pt-PT"/>
              </w:rPr>
              <w:t>,</w:t>
            </w:r>
            <w:r w:rsidR="00AB123C" w:rsidRPr="00E6403B">
              <w:rPr>
                <w:lang w:val="pt-PT"/>
              </w:rPr>
              <w:t xml:space="preserve"> preparação para catástrofes e </w:t>
            </w:r>
            <w:r w:rsidR="00AB778F" w:rsidRPr="00E6403B">
              <w:rPr>
                <w:i/>
                <w:lang w:val="pt-PT"/>
              </w:rPr>
              <w:t xml:space="preserve">feedback </w:t>
            </w:r>
            <w:r w:rsidR="00AB123C" w:rsidRPr="00E6403B">
              <w:rPr>
                <w:lang w:val="pt-PT"/>
              </w:rPr>
              <w:t>sobre acções específicas de preparação para emergências</w:t>
            </w:r>
            <w:r w:rsidR="00AB778F" w:rsidRPr="00E6403B">
              <w:rPr>
                <w:lang w:val="pt-PT"/>
              </w:rPr>
              <w:t>.</w:t>
            </w:r>
          </w:p>
        </w:tc>
      </w:tr>
      <w:tr w:rsidR="00AB778F" w:rsidRPr="00724FEC" w14:paraId="2F9878FD" w14:textId="77777777" w:rsidTr="00724FEC">
        <w:tc>
          <w:tcPr>
            <w:tcW w:w="1130" w:type="pct"/>
            <w:shd w:val="clear" w:color="auto" w:fill="DAEEF3" w:themeFill="accent5" w:themeFillTint="33"/>
          </w:tcPr>
          <w:p w14:paraId="478CDD39" w14:textId="5C734E85" w:rsidR="00AB778F" w:rsidRPr="00E6403B" w:rsidRDefault="00AB123C" w:rsidP="002A1A11">
            <w:pPr>
              <w:rPr>
                <w:b/>
                <w:lang w:val="pt-PT"/>
              </w:rPr>
            </w:pPr>
            <w:r w:rsidRPr="00E6403B">
              <w:rPr>
                <w:b/>
                <w:lang w:val="pt-PT"/>
              </w:rPr>
              <w:t>Entrevistas individuais</w:t>
            </w:r>
          </w:p>
        </w:tc>
        <w:tc>
          <w:tcPr>
            <w:tcW w:w="3870" w:type="pct"/>
          </w:tcPr>
          <w:p w14:paraId="020FB4D1" w14:textId="1DFA926A" w:rsidR="00AB778F" w:rsidRPr="00E6403B" w:rsidRDefault="00AB123C" w:rsidP="00AB123C">
            <w:pPr>
              <w:rPr>
                <w:lang w:val="pt-PT"/>
              </w:rPr>
            </w:pPr>
            <w:r w:rsidRPr="00E6403B">
              <w:rPr>
                <w:lang w:val="pt-PT"/>
              </w:rPr>
              <w:t>Fazer perguntas específicas a indivíduos da comunidade, para melhor compreender a preparação local para as emergências</w:t>
            </w:r>
            <w:r w:rsidR="00AB778F" w:rsidRPr="00E6403B">
              <w:rPr>
                <w:lang w:val="pt-PT"/>
              </w:rPr>
              <w:t xml:space="preserve"> </w:t>
            </w:r>
            <w:r w:rsidRPr="00E6403B">
              <w:rPr>
                <w:lang w:val="pt-PT"/>
              </w:rPr>
              <w:t xml:space="preserve">e obter </w:t>
            </w:r>
            <w:r w:rsidR="00AB778F" w:rsidRPr="00E6403B">
              <w:rPr>
                <w:i/>
                <w:lang w:val="pt-PT"/>
              </w:rPr>
              <w:t>feedback</w:t>
            </w:r>
            <w:r w:rsidR="00AB778F" w:rsidRPr="00E6403B">
              <w:rPr>
                <w:lang w:val="pt-PT"/>
              </w:rPr>
              <w:t xml:space="preserve"> </w:t>
            </w:r>
            <w:r w:rsidRPr="00E6403B">
              <w:rPr>
                <w:lang w:val="pt-PT"/>
              </w:rPr>
              <w:t>sobre as potenciais acções comunitárias</w:t>
            </w:r>
          </w:p>
        </w:tc>
      </w:tr>
      <w:tr w:rsidR="00AB778F" w:rsidRPr="00724FEC" w14:paraId="3BD86516" w14:textId="77777777" w:rsidTr="00724FEC">
        <w:tc>
          <w:tcPr>
            <w:tcW w:w="1130" w:type="pct"/>
            <w:shd w:val="clear" w:color="auto" w:fill="DAEEF3" w:themeFill="accent5" w:themeFillTint="33"/>
          </w:tcPr>
          <w:p w14:paraId="07664B32" w14:textId="3B57A821" w:rsidR="00AB778F" w:rsidRPr="00E6403B" w:rsidRDefault="00AA622F" w:rsidP="002A1A11">
            <w:pPr>
              <w:rPr>
                <w:b/>
                <w:lang w:val="pt-PT"/>
              </w:rPr>
            </w:pPr>
            <w:r>
              <w:rPr>
                <w:b/>
                <w:lang w:val="pt-PT"/>
              </w:rPr>
              <w:t>H</w:t>
            </w:r>
            <w:r w:rsidR="00AB123C" w:rsidRPr="00E6403B">
              <w:rPr>
                <w:b/>
                <w:lang w:val="pt-PT"/>
              </w:rPr>
              <w:t>istórias</w:t>
            </w:r>
            <w:r>
              <w:rPr>
                <w:b/>
                <w:lang w:val="pt-PT"/>
              </w:rPr>
              <w:t xml:space="preserve"> contadas</w:t>
            </w:r>
          </w:p>
        </w:tc>
        <w:tc>
          <w:tcPr>
            <w:tcW w:w="3870" w:type="pct"/>
          </w:tcPr>
          <w:p w14:paraId="7A5F7A01" w14:textId="2CD9CBE3" w:rsidR="00AB778F" w:rsidRPr="00E6403B" w:rsidRDefault="00AB123C" w:rsidP="00AA622F">
            <w:pPr>
              <w:rPr>
                <w:lang w:val="pt-PT"/>
              </w:rPr>
            </w:pPr>
            <w:r w:rsidRPr="00E6403B">
              <w:rPr>
                <w:lang w:val="pt-PT"/>
              </w:rPr>
              <w:t>Os membros da comunidade contam sobre uma catástrofe ou um surto de doença por que passaram para examinar a comunicação e as respostas</w:t>
            </w:r>
            <w:r w:rsidR="00AB778F" w:rsidRPr="00E6403B">
              <w:rPr>
                <w:lang w:val="pt-PT"/>
              </w:rPr>
              <w:t xml:space="preserve">. </w:t>
            </w:r>
            <w:r w:rsidRPr="00E6403B">
              <w:rPr>
                <w:lang w:val="pt-PT"/>
              </w:rPr>
              <w:t xml:space="preserve">Esta actividade pode também ser usada como uma discussão sobre </w:t>
            </w:r>
            <w:r w:rsidR="00AB778F" w:rsidRPr="00E6403B">
              <w:rPr>
                <w:lang w:val="pt-PT"/>
              </w:rPr>
              <w:t>“</w:t>
            </w:r>
            <w:r w:rsidRPr="00E6403B">
              <w:rPr>
                <w:lang w:val="pt-PT"/>
              </w:rPr>
              <w:t>lições aprendidas</w:t>
            </w:r>
            <w:r w:rsidR="00AB778F" w:rsidRPr="00E6403B">
              <w:rPr>
                <w:lang w:val="pt-PT"/>
              </w:rPr>
              <w:t>”</w:t>
            </w:r>
            <w:r w:rsidRPr="00E6403B">
              <w:rPr>
                <w:lang w:val="pt-PT"/>
              </w:rPr>
              <w:t xml:space="preserve">, para se falar </w:t>
            </w:r>
            <w:r w:rsidR="00AB778F" w:rsidRPr="00E6403B">
              <w:rPr>
                <w:lang w:val="pt-PT"/>
              </w:rPr>
              <w:t xml:space="preserve"> </w:t>
            </w:r>
            <w:r w:rsidRPr="00E6403B">
              <w:rPr>
                <w:lang w:val="pt-PT"/>
              </w:rPr>
              <w:t>sobre transformações na comunidade e aquilo que se aprendeu ao proceder a essas alterações</w:t>
            </w:r>
            <w:r w:rsidR="00AB778F" w:rsidRPr="00E6403B">
              <w:rPr>
                <w:lang w:val="pt-PT"/>
              </w:rPr>
              <w:t>.</w:t>
            </w:r>
          </w:p>
        </w:tc>
      </w:tr>
      <w:tr w:rsidR="00AB778F" w:rsidRPr="00724FEC" w14:paraId="5FE0D3C0" w14:textId="77777777" w:rsidTr="00724FEC">
        <w:tc>
          <w:tcPr>
            <w:tcW w:w="1130" w:type="pct"/>
            <w:shd w:val="clear" w:color="auto" w:fill="DAEEF3" w:themeFill="accent5" w:themeFillTint="33"/>
          </w:tcPr>
          <w:p w14:paraId="77AAC60B" w14:textId="4CADAB26" w:rsidR="00AB778F" w:rsidRPr="00E6403B" w:rsidRDefault="00AB778F" w:rsidP="00A354CC">
            <w:pPr>
              <w:rPr>
                <w:b/>
                <w:lang w:val="pt-PT"/>
              </w:rPr>
            </w:pPr>
            <w:r w:rsidRPr="00E6403B">
              <w:rPr>
                <w:b/>
                <w:lang w:val="pt-PT"/>
              </w:rPr>
              <w:t>Caus</w:t>
            </w:r>
            <w:r w:rsidR="00A354CC" w:rsidRPr="00E6403B">
              <w:rPr>
                <w:b/>
                <w:lang w:val="pt-PT"/>
              </w:rPr>
              <w:t>as e efeitos</w:t>
            </w:r>
          </w:p>
        </w:tc>
        <w:tc>
          <w:tcPr>
            <w:tcW w:w="3870" w:type="pct"/>
          </w:tcPr>
          <w:p w14:paraId="6D7C9804" w14:textId="64249077" w:rsidR="00AB778F" w:rsidRPr="00E6403B" w:rsidRDefault="008B34DB" w:rsidP="008B34DB">
            <w:pPr>
              <w:rPr>
                <w:lang w:val="pt-PT"/>
              </w:rPr>
            </w:pPr>
            <w:r w:rsidRPr="00E6403B">
              <w:rPr>
                <w:lang w:val="pt-PT"/>
              </w:rPr>
              <w:t>Os membros da comunidade descrevem a forma como veem as causas e os efeitos de uma doença, para explorar as percepções das causas</w:t>
            </w:r>
            <w:r w:rsidR="00AB778F" w:rsidRPr="00E6403B">
              <w:rPr>
                <w:lang w:val="pt-PT"/>
              </w:rPr>
              <w:t xml:space="preserve">, </w:t>
            </w:r>
            <w:r w:rsidRPr="00E6403B">
              <w:rPr>
                <w:lang w:val="pt-PT"/>
              </w:rPr>
              <w:t xml:space="preserve">as </w:t>
            </w:r>
            <w:r w:rsidR="00AB778F" w:rsidRPr="00E6403B">
              <w:rPr>
                <w:lang w:val="pt-PT"/>
              </w:rPr>
              <w:t>consequ</w:t>
            </w:r>
            <w:r w:rsidRPr="00E6403B">
              <w:rPr>
                <w:lang w:val="pt-PT"/>
              </w:rPr>
              <w:t>ências e as acções para prevenir doenças ou mitigar o impacto de um surto</w:t>
            </w:r>
            <w:r w:rsidR="00AB778F" w:rsidRPr="00E6403B">
              <w:rPr>
                <w:lang w:val="pt-PT"/>
              </w:rPr>
              <w:t>.</w:t>
            </w:r>
          </w:p>
        </w:tc>
      </w:tr>
      <w:tr w:rsidR="00AB778F" w:rsidRPr="00724FEC" w14:paraId="5173C373" w14:textId="77777777" w:rsidTr="00724FEC">
        <w:tc>
          <w:tcPr>
            <w:tcW w:w="1130" w:type="pct"/>
            <w:shd w:val="clear" w:color="auto" w:fill="DAEEF3" w:themeFill="accent5" w:themeFillTint="33"/>
          </w:tcPr>
          <w:p w14:paraId="4F286828" w14:textId="78D37B0D" w:rsidR="00AB778F" w:rsidRPr="00E6403B" w:rsidRDefault="008B34DB" w:rsidP="002A1A11">
            <w:pPr>
              <w:rPr>
                <w:b/>
                <w:lang w:val="pt-PT"/>
              </w:rPr>
            </w:pPr>
            <w:r w:rsidRPr="00E6403B">
              <w:rPr>
                <w:b/>
                <w:lang w:val="pt-PT"/>
              </w:rPr>
              <w:t>Cenário de uma emergência</w:t>
            </w:r>
          </w:p>
        </w:tc>
        <w:tc>
          <w:tcPr>
            <w:tcW w:w="3870" w:type="pct"/>
          </w:tcPr>
          <w:p w14:paraId="5C30A697" w14:textId="0D8438EC" w:rsidR="00AB778F" w:rsidRPr="00E6403B" w:rsidRDefault="008B34DB" w:rsidP="008B34DB">
            <w:pPr>
              <w:rPr>
                <w:lang w:val="pt-PT"/>
              </w:rPr>
            </w:pPr>
            <w:r w:rsidRPr="00E6403B">
              <w:rPr>
                <w:lang w:val="pt-PT"/>
              </w:rPr>
              <w:t xml:space="preserve">Ajudar os responsáveis comunitários, os líderes e os residentes </w:t>
            </w:r>
            <w:r w:rsidR="00AB778F" w:rsidRPr="00E6403B">
              <w:rPr>
                <w:lang w:val="pt-PT"/>
              </w:rPr>
              <w:t xml:space="preserve"> </w:t>
            </w:r>
            <w:r w:rsidRPr="00E6403B">
              <w:rPr>
                <w:lang w:val="pt-PT"/>
              </w:rPr>
              <w:t xml:space="preserve">a </w:t>
            </w:r>
            <w:r w:rsidR="00AB778F" w:rsidRPr="00E6403B">
              <w:rPr>
                <w:lang w:val="pt-PT"/>
              </w:rPr>
              <w:t>identif</w:t>
            </w:r>
            <w:r w:rsidRPr="00E6403B">
              <w:rPr>
                <w:lang w:val="pt-PT"/>
              </w:rPr>
              <w:t>icar</w:t>
            </w:r>
            <w:r w:rsidR="00AB778F" w:rsidRPr="00E6403B">
              <w:rPr>
                <w:lang w:val="pt-PT"/>
              </w:rPr>
              <w:t xml:space="preserve"> </w:t>
            </w:r>
            <w:r w:rsidRPr="00E6403B">
              <w:rPr>
                <w:lang w:val="pt-PT"/>
              </w:rPr>
              <w:t>os pontos fortes e as lacunas nos procedimentos, usando um cenário hipotético</w:t>
            </w:r>
            <w:r w:rsidR="00AB778F" w:rsidRPr="00E6403B">
              <w:rPr>
                <w:lang w:val="pt-PT"/>
              </w:rPr>
              <w:t>.</w:t>
            </w:r>
          </w:p>
        </w:tc>
      </w:tr>
      <w:tr w:rsidR="00AB778F" w:rsidRPr="00724FEC" w14:paraId="3E1348E2" w14:textId="77777777" w:rsidTr="00724FEC">
        <w:tc>
          <w:tcPr>
            <w:tcW w:w="1130" w:type="pct"/>
            <w:shd w:val="clear" w:color="auto" w:fill="DAEEF3" w:themeFill="accent5" w:themeFillTint="33"/>
          </w:tcPr>
          <w:p w14:paraId="611DEF63" w14:textId="21552604" w:rsidR="00AB778F" w:rsidRPr="00E6403B" w:rsidRDefault="0088233E" w:rsidP="00AA5D33">
            <w:pPr>
              <w:rPr>
                <w:b/>
                <w:lang w:val="pt-PT"/>
              </w:rPr>
            </w:pPr>
            <w:r w:rsidRPr="00E6403B">
              <w:rPr>
                <w:b/>
                <w:lang w:val="pt-PT"/>
              </w:rPr>
              <w:t xml:space="preserve">Classificação com </w:t>
            </w:r>
            <w:r w:rsidR="00AA5D33">
              <w:rPr>
                <w:b/>
                <w:lang w:val="pt-PT"/>
              </w:rPr>
              <w:t>feijões</w:t>
            </w:r>
          </w:p>
        </w:tc>
        <w:tc>
          <w:tcPr>
            <w:tcW w:w="3870" w:type="pct"/>
          </w:tcPr>
          <w:p w14:paraId="54759649" w14:textId="41C79520" w:rsidR="00AB778F" w:rsidRPr="00E6403B" w:rsidRDefault="0088233E" w:rsidP="00AA5D33">
            <w:pPr>
              <w:rPr>
                <w:lang w:val="pt-PT"/>
              </w:rPr>
            </w:pPr>
            <w:r w:rsidRPr="00E6403B">
              <w:rPr>
                <w:lang w:val="pt-PT"/>
              </w:rPr>
              <w:t xml:space="preserve">Usam-se </w:t>
            </w:r>
            <w:r w:rsidR="00AA5D33">
              <w:rPr>
                <w:lang w:val="pt-PT"/>
              </w:rPr>
              <w:t>feijões</w:t>
            </w:r>
            <w:r w:rsidRPr="00E6403B">
              <w:rPr>
                <w:lang w:val="pt-PT"/>
              </w:rPr>
              <w:t xml:space="preserve"> ou pequenas pedras para </w:t>
            </w:r>
            <w:r w:rsidR="00AB778F" w:rsidRPr="00E6403B">
              <w:rPr>
                <w:lang w:val="pt-PT"/>
              </w:rPr>
              <w:t>express</w:t>
            </w:r>
            <w:r w:rsidRPr="00E6403B">
              <w:rPr>
                <w:lang w:val="pt-PT"/>
              </w:rPr>
              <w:t>ar a importância e a viabilidade</w:t>
            </w:r>
            <w:r w:rsidR="00AB778F" w:rsidRPr="00E6403B">
              <w:rPr>
                <w:lang w:val="pt-PT"/>
              </w:rPr>
              <w:t xml:space="preserve"> </w:t>
            </w:r>
            <w:r w:rsidRPr="00E6403B">
              <w:rPr>
                <w:lang w:val="pt-PT"/>
              </w:rPr>
              <w:t>de várias soluções ou medidas a tomar</w:t>
            </w:r>
          </w:p>
        </w:tc>
      </w:tr>
      <w:tr w:rsidR="00AB778F" w:rsidRPr="00724FEC" w14:paraId="27FFB6D1" w14:textId="77777777" w:rsidTr="00724FEC">
        <w:tc>
          <w:tcPr>
            <w:tcW w:w="1130" w:type="pct"/>
            <w:shd w:val="clear" w:color="auto" w:fill="DAEEF3" w:themeFill="accent5" w:themeFillTint="33"/>
          </w:tcPr>
          <w:p w14:paraId="04DFE231" w14:textId="1A7A69D2" w:rsidR="00AB778F" w:rsidRPr="00E6403B" w:rsidRDefault="0088233E" w:rsidP="002A1A11">
            <w:pPr>
              <w:rPr>
                <w:b/>
                <w:lang w:val="pt-PT"/>
              </w:rPr>
            </w:pPr>
            <w:r w:rsidRPr="00E6403B">
              <w:rPr>
                <w:b/>
                <w:lang w:val="pt-PT"/>
              </w:rPr>
              <w:t>Círculos de comunicação</w:t>
            </w:r>
          </w:p>
        </w:tc>
        <w:tc>
          <w:tcPr>
            <w:tcW w:w="3870" w:type="pct"/>
          </w:tcPr>
          <w:p w14:paraId="1BF52E58" w14:textId="3F67E387" w:rsidR="00AB778F" w:rsidRPr="00E6403B" w:rsidRDefault="0088233E" w:rsidP="0088233E">
            <w:pPr>
              <w:rPr>
                <w:lang w:val="pt-PT"/>
              </w:rPr>
            </w:pPr>
            <w:r w:rsidRPr="00E6403B">
              <w:rPr>
                <w:lang w:val="pt-PT"/>
              </w:rPr>
              <w:t>Os membros da comunidade criam círculos para mostrar a interacção entre os diferentes grupos comunitários, especialmente em tempos de crise</w:t>
            </w:r>
            <w:r w:rsidR="00AB778F" w:rsidRPr="00E6403B">
              <w:rPr>
                <w:lang w:val="pt-PT"/>
              </w:rPr>
              <w:t>.</w:t>
            </w:r>
          </w:p>
        </w:tc>
      </w:tr>
      <w:tr w:rsidR="00AB778F" w:rsidRPr="00724FEC" w14:paraId="2BDD1A50" w14:textId="77777777" w:rsidTr="00724FEC">
        <w:tc>
          <w:tcPr>
            <w:tcW w:w="1130" w:type="pct"/>
            <w:shd w:val="clear" w:color="auto" w:fill="DAEEF3" w:themeFill="accent5" w:themeFillTint="33"/>
          </w:tcPr>
          <w:p w14:paraId="18154965" w14:textId="68737B9F" w:rsidR="00AB778F" w:rsidRPr="00E6403B" w:rsidRDefault="0088233E" w:rsidP="002A1A11">
            <w:pPr>
              <w:rPr>
                <w:b/>
                <w:lang w:val="pt-PT"/>
              </w:rPr>
            </w:pPr>
            <w:r w:rsidRPr="00E6403B">
              <w:rPr>
                <w:b/>
                <w:lang w:val="pt-PT"/>
              </w:rPr>
              <w:t>Visões para  a acção</w:t>
            </w:r>
          </w:p>
        </w:tc>
        <w:tc>
          <w:tcPr>
            <w:tcW w:w="3870" w:type="pct"/>
          </w:tcPr>
          <w:p w14:paraId="03AD5687" w14:textId="39FC1175" w:rsidR="00AB778F" w:rsidRPr="00E6403B" w:rsidRDefault="0088233E" w:rsidP="001E652D">
            <w:pPr>
              <w:rPr>
                <w:lang w:val="pt-PT"/>
              </w:rPr>
            </w:pPr>
            <w:r w:rsidRPr="00E6403B">
              <w:rPr>
                <w:lang w:val="pt-PT"/>
              </w:rPr>
              <w:t>Os p</w:t>
            </w:r>
            <w:r w:rsidR="00AB778F" w:rsidRPr="00E6403B">
              <w:rPr>
                <w:lang w:val="pt-PT"/>
              </w:rPr>
              <w:t>articipant</w:t>
            </w:r>
            <w:r w:rsidRPr="00E6403B">
              <w:rPr>
                <w:lang w:val="pt-PT"/>
              </w:rPr>
              <w:t>e</w:t>
            </w:r>
            <w:r w:rsidR="00AB778F" w:rsidRPr="00E6403B">
              <w:rPr>
                <w:lang w:val="pt-PT"/>
              </w:rPr>
              <w:t>s en</w:t>
            </w:r>
            <w:r w:rsidRPr="00E6403B">
              <w:rPr>
                <w:lang w:val="pt-PT"/>
              </w:rPr>
              <w:t>caram a sua comunid</w:t>
            </w:r>
            <w:r w:rsidR="001E652D" w:rsidRPr="00E6403B">
              <w:rPr>
                <w:lang w:val="pt-PT"/>
              </w:rPr>
              <w:t>ade no futuro como esperam que e</w:t>
            </w:r>
            <w:r w:rsidRPr="00E6403B">
              <w:rPr>
                <w:lang w:val="pt-PT"/>
              </w:rPr>
              <w:t xml:space="preserve">la </w:t>
            </w:r>
            <w:r w:rsidR="001E652D" w:rsidRPr="00E6403B">
              <w:rPr>
                <w:lang w:val="pt-PT"/>
              </w:rPr>
              <w:t>venha a ser</w:t>
            </w:r>
            <w:r w:rsidRPr="00E6403B">
              <w:rPr>
                <w:lang w:val="pt-PT"/>
              </w:rPr>
              <w:t xml:space="preserve"> e </w:t>
            </w:r>
            <w:r w:rsidR="00AB778F" w:rsidRPr="00E6403B">
              <w:rPr>
                <w:lang w:val="pt-PT"/>
              </w:rPr>
              <w:t>identif</w:t>
            </w:r>
            <w:r w:rsidRPr="00E6403B">
              <w:rPr>
                <w:lang w:val="pt-PT"/>
              </w:rPr>
              <w:t xml:space="preserve">icam os recursos e as acções que podem ser levadas a cabo </w:t>
            </w:r>
          </w:p>
        </w:tc>
      </w:tr>
    </w:tbl>
    <w:p w14:paraId="4875E0ED" w14:textId="380FE2E9" w:rsidR="00B61CAE" w:rsidRPr="00E6403B" w:rsidRDefault="00B61CAE">
      <w:pPr>
        <w:rPr>
          <w:lang w:val="pt-PT"/>
        </w:rPr>
        <w:sectPr w:rsidR="00B61CAE" w:rsidRPr="00E6403B">
          <w:footerReference w:type="default" r:id="rId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6D42BB9D" w14:textId="43485B7A" w:rsidR="00B61CAE" w:rsidRPr="00E6403B" w:rsidRDefault="00B61CAE" w:rsidP="00AE09F2">
      <w:pPr>
        <w:spacing w:after="0" w:line="240" w:lineRule="auto"/>
        <w:rPr>
          <w:b/>
          <w:lang w:val="pt-PT"/>
        </w:rPr>
      </w:pPr>
      <w:r w:rsidRPr="00E6403B">
        <w:rPr>
          <w:b/>
          <w:lang w:val="pt-PT"/>
        </w:rPr>
        <w:lastRenderedPageBreak/>
        <w:t>Exerc</w:t>
      </w:r>
      <w:r w:rsidR="0088233E" w:rsidRPr="00E6403B">
        <w:rPr>
          <w:b/>
          <w:lang w:val="pt-PT"/>
        </w:rPr>
        <w:t>ício</w:t>
      </w:r>
      <w:r w:rsidRPr="00E6403B">
        <w:rPr>
          <w:b/>
          <w:lang w:val="pt-PT"/>
        </w:rPr>
        <w:t>:</w:t>
      </w:r>
    </w:p>
    <w:p w14:paraId="342455DF" w14:textId="5E5EA561" w:rsidR="009A3CA6" w:rsidRPr="00E6403B" w:rsidRDefault="00025A83" w:rsidP="00AE09F2">
      <w:pPr>
        <w:numPr>
          <w:ilvl w:val="0"/>
          <w:numId w:val="2"/>
        </w:numPr>
        <w:spacing w:after="0" w:line="240" w:lineRule="auto"/>
        <w:rPr>
          <w:lang w:val="pt-PT"/>
        </w:rPr>
      </w:pPr>
      <w:r w:rsidRPr="00E6403B">
        <w:rPr>
          <w:lang w:val="pt-PT"/>
        </w:rPr>
        <w:t>Identif</w:t>
      </w:r>
      <w:r w:rsidR="0088233E" w:rsidRPr="00E6403B">
        <w:rPr>
          <w:lang w:val="pt-PT"/>
        </w:rPr>
        <w:t xml:space="preserve">icar actividades relacionadas com a resposta </w:t>
      </w:r>
      <w:r w:rsidRPr="00E6403B">
        <w:rPr>
          <w:lang w:val="pt-PT"/>
        </w:rPr>
        <w:t xml:space="preserve"> </w:t>
      </w:r>
      <w:r w:rsidR="0088233E" w:rsidRPr="00E6403B">
        <w:rPr>
          <w:lang w:val="pt-PT"/>
        </w:rPr>
        <w:t>em que a ERR terá de colaborar com as comunidades</w:t>
      </w:r>
      <w:r w:rsidR="009A0938" w:rsidRPr="00E6403B">
        <w:rPr>
          <w:lang w:val="pt-PT"/>
        </w:rPr>
        <w:t>.</w:t>
      </w:r>
    </w:p>
    <w:p w14:paraId="70FF0BC6" w14:textId="328864D4" w:rsidR="009A3CA6" w:rsidRPr="00E6403B" w:rsidRDefault="00025A83" w:rsidP="00AE09F2">
      <w:pPr>
        <w:numPr>
          <w:ilvl w:val="0"/>
          <w:numId w:val="2"/>
        </w:numPr>
        <w:spacing w:after="0" w:line="240" w:lineRule="auto"/>
        <w:rPr>
          <w:lang w:val="pt-PT"/>
        </w:rPr>
      </w:pPr>
      <w:r w:rsidRPr="00E6403B">
        <w:rPr>
          <w:lang w:val="pt-PT"/>
        </w:rPr>
        <w:t>Identif</w:t>
      </w:r>
      <w:r w:rsidR="0088233E" w:rsidRPr="00E6403B">
        <w:rPr>
          <w:lang w:val="pt-PT"/>
        </w:rPr>
        <w:t>icar os instrumentos apropriados a usar para suscitar uma discussão na comunidade</w:t>
      </w:r>
      <w:r w:rsidRPr="00E6403B">
        <w:rPr>
          <w:lang w:val="pt-PT"/>
        </w:rPr>
        <w:t xml:space="preserve"> (</w:t>
      </w:r>
      <w:r w:rsidR="0088233E" w:rsidRPr="00E6403B">
        <w:rPr>
          <w:lang w:val="pt-PT"/>
        </w:rPr>
        <w:t>ver tabela abaixo</w:t>
      </w:r>
      <w:r w:rsidR="00B61CAE" w:rsidRPr="00E6403B">
        <w:rPr>
          <w:lang w:val="pt-PT"/>
        </w:rPr>
        <w:t>)</w:t>
      </w:r>
      <w:r w:rsidRPr="00E6403B">
        <w:rPr>
          <w:lang w:val="pt-PT"/>
        </w:rPr>
        <w:t>.</w:t>
      </w:r>
    </w:p>
    <w:p w14:paraId="03739AE0" w14:textId="77777777" w:rsidR="00AE09F2" w:rsidRPr="00E6403B" w:rsidRDefault="00AE09F2" w:rsidP="00AE09F2">
      <w:pPr>
        <w:spacing w:after="0" w:line="240" w:lineRule="auto"/>
        <w:ind w:left="720"/>
        <w:rPr>
          <w:lang w:val="pt-PT"/>
        </w:rPr>
      </w:pPr>
    </w:p>
    <w:tbl>
      <w:tblPr>
        <w:tblStyle w:val="TableGrid"/>
        <w:tblW w:w="5150" w:type="pct"/>
        <w:tblLayout w:type="fixed"/>
        <w:tblLook w:val="0420" w:firstRow="1" w:lastRow="0" w:firstColumn="0" w:lastColumn="0" w:noHBand="0" w:noVBand="1"/>
      </w:tblPr>
      <w:tblGrid>
        <w:gridCol w:w="1243"/>
        <w:gridCol w:w="1279"/>
        <w:gridCol w:w="1288"/>
        <w:gridCol w:w="1139"/>
        <w:gridCol w:w="1136"/>
        <w:gridCol w:w="1136"/>
        <w:gridCol w:w="1136"/>
        <w:gridCol w:w="931"/>
        <w:gridCol w:w="1171"/>
        <w:gridCol w:w="1168"/>
        <w:gridCol w:w="902"/>
        <w:gridCol w:w="1080"/>
        <w:gridCol w:w="990"/>
      </w:tblGrid>
      <w:tr w:rsidR="009A0938" w:rsidRPr="00724FEC" w14:paraId="4FB20209" w14:textId="77777777" w:rsidTr="00AE09F2">
        <w:trPr>
          <w:trHeight w:val="451"/>
        </w:trPr>
        <w:tc>
          <w:tcPr>
            <w:tcW w:w="5000" w:type="pct"/>
            <w:gridSpan w:val="13"/>
            <w:shd w:val="clear" w:color="auto" w:fill="0070C0"/>
          </w:tcPr>
          <w:p w14:paraId="0509453E" w14:textId="7B9E4CF5" w:rsidR="009A0938" w:rsidRPr="00E6403B" w:rsidRDefault="0088233E" w:rsidP="0088233E">
            <w:pPr>
              <w:spacing w:before="60"/>
              <w:jc w:val="center"/>
              <w:rPr>
                <w:color w:val="FFFFFF" w:themeColor="background1"/>
                <w:sz w:val="24"/>
                <w:szCs w:val="24"/>
                <w:lang w:val="pt-PT"/>
              </w:rPr>
            </w:pPr>
            <w:r w:rsidRPr="00E6403B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Instrumentos para su</w:t>
            </w:r>
            <w:r w:rsidR="00F11A88" w:rsidRPr="00E6403B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s</w:t>
            </w:r>
            <w:r w:rsidRPr="00E6403B">
              <w:rPr>
                <w:b/>
                <w:bCs/>
                <w:color w:val="FFFFFF" w:themeColor="background1"/>
                <w:sz w:val="24"/>
                <w:szCs w:val="24"/>
                <w:lang w:val="pt-PT"/>
              </w:rPr>
              <w:t>citar discussão nas comunidades</w:t>
            </w:r>
          </w:p>
        </w:tc>
      </w:tr>
      <w:tr w:rsidR="00AE09F2" w:rsidRPr="00E6403B" w14:paraId="257476C7" w14:textId="77777777" w:rsidTr="00AE09F2">
        <w:trPr>
          <w:trHeight w:val="1331"/>
        </w:trPr>
        <w:tc>
          <w:tcPr>
            <w:tcW w:w="426" w:type="pct"/>
            <w:shd w:val="clear" w:color="auto" w:fill="DAEEF3" w:themeFill="accent5" w:themeFillTint="33"/>
            <w:hideMark/>
          </w:tcPr>
          <w:p w14:paraId="7B04FB0B" w14:textId="13D01819" w:rsidR="00B61CAE" w:rsidRPr="00E6403B" w:rsidRDefault="0088233E" w:rsidP="00590E65">
            <w:pPr>
              <w:rPr>
                <w:b/>
                <w:sz w:val="24"/>
                <w:szCs w:val="24"/>
                <w:lang w:val="pt-PT"/>
              </w:rPr>
            </w:pPr>
            <w:r w:rsidRPr="00E6403B">
              <w:rPr>
                <w:b/>
                <w:sz w:val="24"/>
                <w:szCs w:val="24"/>
                <w:lang w:val="pt-PT"/>
              </w:rPr>
              <w:t>Actividad</w:t>
            </w:r>
            <w:r w:rsidR="00B61CAE" w:rsidRPr="00E6403B">
              <w:rPr>
                <w:b/>
                <w:sz w:val="24"/>
                <w:szCs w:val="24"/>
                <w:lang w:val="pt-PT"/>
              </w:rPr>
              <w:t>es</w:t>
            </w:r>
          </w:p>
        </w:tc>
        <w:tc>
          <w:tcPr>
            <w:tcW w:w="438" w:type="pct"/>
            <w:hideMark/>
          </w:tcPr>
          <w:p w14:paraId="091FC4CB" w14:textId="7933C0D8" w:rsidR="00B61CAE" w:rsidRPr="00E6403B" w:rsidRDefault="0088233E" w:rsidP="00590E65">
            <w:pPr>
              <w:rPr>
                <w:sz w:val="20"/>
                <w:szCs w:val="20"/>
                <w:lang w:val="pt-PT"/>
              </w:rPr>
            </w:pPr>
            <w:r w:rsidRPr="00E6403B">
              <w:rPr>
                <w:b/>
                <w:bCs/>
                <w:sz w:val="20"/>
                <w:szCs w:val="20"/>
                <w:lang w:val="pt-PT"/>
              </w:rPr>
              <w:t>Mapa da comunidade</w:t>
            </w:r>
          </w:p>
        </w:tc>
        <w:tc>
          <w:tcPr>
            <w:tcW w:w="441" w:type="pct"/>
            <w:hideMark/>
          </w:tcPr>
          <w:p w14:paraId="22CD5386" w14:textId="6310316A" w:rsidR="00590E65" w:rsidRPr="00E6403B" w:rsidRDefault="0088233E" w:rsidP="00590E65">
            <w:pPr>
              <w:rPr>
                <w:b/>
                <w:bCs/>
                <w:sz w:val="20"/>
                <w:szCs w:val="20"/>
                <w:lang w:val="pt-PT"/>
              </w:rPr>
            </w:pPr>
            <w:r w:rsidRPr="00E6403B">
              <w:rPr>
                <w:b/>
                <w:bCs/>
                <w:sz w:val="20"/>
                <w:szCs w:val="20"/>
                <w:lang w:val="pt-PT"/>
              </w:rPr>
              <w:t>Calendário sazonal</w:t>
            </w:r>
            <w:r w:rsidR="00B61CAE" w:rsidRPr="00E6403B">
              <w:rPr>
                <w:b/>
                <w:bCs/>
                <w:sz w:val="20"/>
                <w:szCs w:val="20"/>
                <w:lang w:val="pt-PT"/>
              </w:rPr>
              <w:t>/</w:t>
            </w:r>
          </w:p>
          <w:p w14:paraId="3A0A02DD" w14:textId="0B4AF6B1" w:rsidR="00B61CAE" w:rsidRPr="00E6403B" w:rsidRDefault="0088233E" w:rsidP="00590E65">
            <w:pPr>
              <w:rPr>
                <w:sz w:val="20"/>
                <w:szCs w:val="20"/>
                <w:lang w:val="pt-PT"/>
              </w:rPr>
            </w:pPr>
            <w:r w:rsidRPr="00E6403B">
              <w:rPr>
                <w:b/>
                <w:bCs/>
                <w:sz w:val="20"/>
                <w:szCs w:val="20"/>
                <w:lang w:val="pt-PT"/>
              </w:rPr>
              <w:t>Cronograma do evento</w:t>
            </w:r>
          </w:p>
        </w:tc>
        <w:tc>
          <w:tcPr>
            <w:tcW w:w="390" w:type="pct"/>
            <w:hideMark/>
          </w:tcPr>
          <w:p w14:paraId="2D1CA131" w14:textId="6F375355" w:rsidR="00B61CAE" w:rsidRPr="00E6403B" w:rsidRDefault="0088233E" w:rsidP="001E652D">
            <w:pPr>
              <w:rPr>
                <w:sz w:val="20"/>
                <w:szCs w:val="20"/>
                <w:lang w:val="pt-PT"/>
              </w:rPr>
            </w:pPr>
            <w:r w:rsidRPr="00E6403B">
              <w:rPr>
                <w:b/>
                <w:bCs/>
                <w:sz w:val="20"/>
                <w:szCs w:val="20"/>
                <w:lang w:val="pt-PT"/>
              </w:rPr>
              <w:t xml:space="preserve">Passeio </w:t>
            </w:r>
            <w:r w:rsidR="001E652D" w:rsidRPr="00E6403B">
              <w:rPr>
                <w:b/>
                <w:bCs/>
                <w:sz w:val="20"/>
                <w:szCs w:val="20"/>
                <w:lang w:val="pt-PT"/>
              </w:rPr>
              <w:t>n</w:t>
            </w:r>
            <w:r w:rsidRPr="00E6403B">
              <w:rPr>
                <w:b/>
                <w:bCs/>
                <w:sz w:val="20"/>
                <w:szCs w:val="20"/>
                <w:lang w:val="pt-PT"/>
              </w:rPr>
              <w:t>a comunidade e observações</w:t>
            </w:r>
          </w:p>
        </w:tc>
        <w:tc>
          <w:tcPr>
            <w:tcW w:w="389" w:type="pct"/>
            <w:hideMark/>
          </w:tcPr>
          <w:p w14:paraId="3E60A486" w14:textId="013B88D2" w:rsidR="00B61CAE" w:rsidRPr="00E6403B" w:rsidRDefault="0088233E" w:rsidP="00590E65">
            <w:pPr>
              <w:rPr>
                <w:sz w:val="20"/>
                <w:szCs w:val="20"/>
                <w:lang w:val="pt-PT"/>
              </w:rPr>
            </w:pPr>
            <w:r w:rsidRPr="00E6403B">
              <w:rPr>
                <w:b/>
                <w:bCs/>
                <w:sz w:val="20"/>
                <w:szCs w:val="20"/>
                <w:lang w:val="pt-PT"/>
              </w:rPr>
              <w:t>Observação das habitações e das unidades de saúde</w:t>
            </w:r>
          </w:p>
        </w:tc>
        <w:tc>
          <w:tcPr>
            <w:tcW w:w="389" w:type="pct"/>
            <w:hideMark/>
          </w:tcPr>
          <w:p w14:paraId="1C948CB6" w14:textId="7C835428" w:rsidR="00B61CAE" w:rsidRPr="00E6403B" w:rsidRDefault="0088233E" w:rsidP="00590E65">
            <w:pPr>
              <w:rPr>
                <w:sz w:val="20"/>
                <w:szCs w:val="20"/>
                <w:lang w:val="pt-PT"/>
              </w:rPr>
            </w:pPr>
            <w:r w:rsidRPr="00E6403B">
              <w:rPr>
                <w:b/>
                <w:bCs/>
                <w:sz w:val="20"/>
                <w:szCs w:val="20"/>
                <w:lang w:val="pt-PT"/>
              </w:rPr>
              <w:t>Grupos de discussão</w:t>
            </w:r>
          </w:p>
        </w:tc>
        <w:tc>
          <w:tcPr>
            <w:tcW w:w="389" w:type="pct"/>
            <w:hideMark/>
          </w:tcPr>
          <w:p w14:paraId="09E6E867" w14:textId="2546E24F" w:rsidR="00B61CAE" w:rsidRPr="00E6403B" w:rsidRDefault="0088233E" w:rsidP="0088233E">
            <w:pPr>
              <w:rPr>
                <w:sz w:val="20"/>
                <w:szCs w:val="20"/>
                <w:lang w:val="pt-PT"/>
              </w:rPr>
            </w:pPr>
            <w:r w:rsidRPr="00E6403B">
              <w:rPr>
                <w:b/>
                <w:bCs/>
                <w:sz w:val="20"/>
                <w:szCs w:val="20"/>
                <w:lang w:val="pt-PT"/>
              </w:rPr>
              <w:t xml:space="preserve">Entrevistas individuais </w:t>
            </w:r>
          </w:p>
        </w:tc>
        <w:tc>
          <w:tcPr>
            <w:tcW w:w="319" w:type="pct"/>
            <w:hideMark/>
          </w:tcPr>
          <w:p w14:paraId="7A6E796D" w14:textId="4FA2CF6C" w:rsidR="00B61CAE" w:rsidRPr="00E6403B" w:rsidRDefault="001E652D" w:rsidP="00590E65">
            <w:pPr>
              <w:rPr>
                <w:sz w:val="20"/>
                <w:szCs w:val="20"/>
                <w:lang w:val="pt-PT"/>
              </w:rPr>
            </w:pPr>
            <w:r w:rsidRPr="00E6403B">
              <w:rPr>
                <w:b/>
                <w:bCs/>
                <w:sz w:val="20"/>
                <w:szCs w:val="20"/>
                <w:lang w:val="pt-PT"/>
              </w:rPr>
              <w:t>H</w:t>
            </w:r>
            <w:r w:rsidR="0088233E" w:rsidRPr="00E6403B">
              <w:rPr>
                <w:b/>
                <w:bCs/>
                <w:sz w:val="20"/>
                <w:szCs w:val="20"/>
                <w:lang w:val="pt-PT"/>
              </w:rPr>
              <w:t>istórias</w:t>
            </w:r>
            <w:r w:rsidRPr="00E6403B">
              <w:rPr>
                <w:b/>
                <w:bCs/>
                <w:sz w:val="20"/>
                <w:szCs w:val="20"/>
                <w:lang w:val="pt-PT"/>
              </w:rPr>
              <w:t xml:space="preserve"> contadas</w:t>
            </w:r>
          </w:p>
        </w:tc>
        <w:tc>
          <w:tcPr>
            <w:tcW w:w="401" w:type="pct"/>
            <w:hideMark/>
          </w:tcPr>
          <w:p w14:paraId="7B354BC5" w14:textId="3DE78992" w:rsidR="00B61CAE" w:rsidRPr="00E6403B" w:rsidRDefault="0088233E" w:rsidP="00590E65">
            <w:pPr>
              <w:rPr>
                <w:sz w:val="20"/>
                <w:szCs w:val="20"/>
                <w:lang w:val="pt-PT"/>
              </w:rPr>
            </w:pPr>
            <w:r w:rsidRPr="00E6403B">
              <w:rPr>
                <w:b/>
                <w:bCs/>
                <w:sz w:val="20"/>
                <w:szCs w:val="20"/>
                <w:lang w:val="pt-PT"/>
              </w:rPr>
              <w:t>Causas e efeitos</w:t>
            </w:r>
          </w:p>
        </w:tc>
        <w:tc>
          <w:tcPr>
            <w:tcW w:w="400" w:type="pct"/>
            <w:hideMark/>
          </w:tcPr>
          <w:p w14:paraId="46A8CA77" w14:textId="700C45E3" w:rsidR="00B61CAE" w:rsidRPr="00E6403B" w:rsidRDefault="001E652D" w:rsidP="00590E65">
            <w:pPr>
              <w:rPr>
                <w:b/>
                <w:sz w:val="20"/>
                <w:szCs w:val="20"/>
                <w:lang w:val="pt-PT"/>
              </w:rPr>
            </w:pPr>
            <w:r w:rsidRPr="00E6403B">
              <w:rPr>
                <w:b/>
                <w:sz w:val="20"/>
                <w:szCs w:val="20"/>
                <w:lang w:val="pt-PT"/>
              </w:rPr>
              <w:t>Cenário da</w:t>
            </w:r>
            <w:r w:rsidR="0088233E" w:rsidRPr="00E6403B">
              <w:rPr>
                <w:b/>
                <w:sz w:val="20"/>
                <w:szCs w:val="20"/>
                <w:lang w:val="pt-PT"/>
              </w:rPr>
              <w:t xml:space="preserve"> emergência</w:t>
            </w:r>
          </w:p>
        </w:tc>
        <w:tc>
          <w:tcPr>
            <w:tcW w:w="309" w:type="pct"/>
            <w:hideMark/>
          </w:tcPr>
          <w:p w14:paraId="4E4453CD" w14:textId="77777777" w:rsidR="0088233E" w:rsidRPr="00E6403B" w:rsidRDefault="0088233E" w:rsidP="00590E65">
            <w:pPr>
              <w:rPr>
                <w:b/>
                <w:sz w:val="20"/>
                <w:szCs w:val="20"/>
                <w:lang w:val="pt-PT"/>
              </w:rPr>
            </w:pPr>
            <w:r w:rsidRPr="00E6403B">
              <w:rPr>
                <w:b/>
                <w:sz w:val="20"/>
                <w:szCs w:val="20"/>
                <w:lang w:val="pt-PT"/>
              </w:rPr>
              <w:t>Classifi</w:t>
            </w:r>
          </w:p>
          <w:p w14:paraId="546C017C" w14:textId="2E4FCCB8" w:rsidR="00B61CAE" w:rsidRPr="00E6403B" w:rsidRDefault="0088233E" w:rsidP="00590E65">
            <w:pPr>
              <w:rPr>
                <w:b/>
                <w:sz w:val="20"/>
                <w:szCs w:val="20"/>
                <w:lang w:val="pt-PT"/>
              </w:rPr>
            </w:pPr>
            <w:r w:rsidRPr="00E6403B">
              <w:rPr>
                <w:b/>
                <w:sz w:val="20"/>
                <w:szCs w:val="20"/>
                <w:lang w:val="pt-PT"/>
              </w:rPr>
              <w:t>cação por grãos</w:t>
            </w:r>
          </w:p>
        </w:tc>
        <w:tc>
          <w:tcPr>
            <w:tcW w:w="370" w:type="pct"/>
            <w:hideMark/>
          </w:tcPr>
          <w:p w14:paraId="4E81CC1C" w14:textId="7301F2F3" w:rsidR="00B61CAE" w:rsidRPr="00E6403B" w:rsidRDefault="0088233E" w:rsidP="0088233E">
            <w:pPr>
              <w:rPr>
                <w:b/>
                <w:sz w:val="20"/>
                <w:szCs w:val="20"/>
                <w:lang w:val="pt-PT"/>
              </w:rPr>
            </w:pPr>
            <w:r w:rsidRPr="00E6403B">
              <w:rPr>
                <w:b/>
                <w:sz w:val="20"/>
                <w:szCs w:val="20"/>
                <w:lang w:val="pt-PT"/>
              </w:rPr>
              <w:t>Círculos de comunicação</w:t>
            </w:r>
          </w:p>
        </w:tc>
        <w:tc>
          <w:tcPr>
            <w:tcW w:w="339" w:type="pct"/>
          </w:tcPr>
          <w:p w14:paraId="648034BF" w14:textId="1F889608" w:rsidR="00B61CAE" w:rsidRPr="00E6403B" w:rsidRDefault="0088233E" w:rsidP="00590E65">
            <w:pPr>
              <w:rPr>
                <w:b/>
                <w:sz w:val="20"/>
                <w:szCs w:val="20"/>
                <w:lang w:val="pt-PT"/>
              </w:rPr>
            </w:pPr>
            <w:r w:rsidRPr="00E6403B">
              <w:rPr>
                <w:b/>
                <w:sz w:val="20"/>
                <w:szCs w:val="20"/>
                <w:lang w:val="pt-PT"/>
              </w:rPr>
              <w:t>Visões para a acção</w:t>
            </w:r>
          </w:p>
        </w:tc>
      </w:tr>
      <w:tr w:rsidR="00AE09F2" w:rsidRPr="00E6403B" w14:paraId="13135F0F" w14:textId="77777777" w:rsidTr="00AE09F2">
        <w:trPr>
          <w:trHeight w:val="620"/>
        </w:trPr>
        <w:tc>
          <w:tcPr>
            <w:tcW w:w="426" w:type="pct"/>
            <w:shd w:val="clear" w:color="auto" w:fill="DAEEF3" w:themeFill="accent5" w:themeFillTint="33"/>
            <w:hideMark/>
          </w:tcPr>
          <w:p w14:paraId="7FFD7FA3" w14:textId="77777777" w:rsidR="00B61CAE" w:rsidRPr="00E6403B" w:rsidRDefault="00B61CAE" w:rsidP="00B61CAE">
            <w:pPr>
              <w:spacing w:after="200" w:line="276" w:lineRule="auto"/>
              <w:rPr>
                <w:b/>
                <w:sz w:val="24"/>
                <w:szCs w:val="24"/>
                <w:lang w:val="pt-PT"/>
              </w:rPr>
            </w:pPr>
            <w:r w:rsidRPr="00E6403B">
              <w:rPr>
                <w:b/>
                <w:sz w:val="24"/>
                <w:szCs w:val="24"/>
                <w:lang w:val="pt-PT"/>
              </w:rPr>
              <w:t>1.</w:t>
            </w:r>
          </w:p>
        </w:tc>
        <w:tc>
          <w:tcPr>
            <w:tcW w:w="438" w:type="pct"/>
            <w:hideMark/>
          </w:tcPr>
          <w:p w14:paraId="3B169E21" w14:textId="77777777" w:rsidR="00B61CAE" w:rsidRPr="00E6403B" w:rsidRDefault="00B61CAE" w:rsidP="00B61CAE">
            <w:pPr>
              <w:spacing w:after="200" w:line="276" w:lineRule="auto"/>
              <w:rPr>
                <w:sz w:val="20"/>
                <w:szCs w:val="20"/>
                <w:lang w:val="pt-PT"/>
              </w:rPr>
            </w:pPr>
          </w:p>
        </w:tc>
        <w:tc>
          <w:tcPr>
            <w:tcW w:w="441" w:type="pct"/>
            <w:hideMark/>
          </w:tcPr>
          <w:p w14:paraId="6DBD3306" w14:textId="77777777" w:rsidR="00B61CAE" w:rsidRPr="00E6403B" w:rsidRDefault="00B61CAE" w:rsidP="00B61CAE">
            <w:pPr>
              <w:spacing w:after="200" w:line="276" w:lineRule="auto"/>
              <w:rPr>
                <w:sz w:val="20"/>
                <w:szCs w:val="20"/>
                <w:lang w:val="pt-PT"/>
              </w:rPr>
            </w:pPr>
          </w:p>
        </w:tc>
        <w:tc>
          <w:tcPr>
            <w:tcW w:w="390" w:type="pct"/>
            <w:hideMark/>
          </w:tcPr>
          <w:p w14:paraId="0E5B619F" w14:textId="77777777" w:rsidR="00B61CAE" w:rsidRPr="00E6403B" w:rsidRDefault="00B61CAE" w:rsidP="00B61CAE">
            <w:pPr>
              <w:spacing w:after="200" w:line="276" w:lineRule="auto"/>
              <w:rPr>
                <w:sz w:val="20"/>
                <w:szCs w:val="20"/>
                <w:lang w:val="pt-PT"/>
              </w:rPr>
            </w:pPr>
          </w:p>
        </w:tc>
        <w:tc>
          <w:tcPr>
            <w:tcW w:w="389" w:type="pct"/>
            <w:hideMark/>
          </w:tcPr>
          <w:p w14:paraId="62BCCEBA" w14:textId="77777777" w:rsidR="00B61CAE" w:rsidRPr="00E6403B" w:rsidRDefault="00B61CAE" w:rsidP="00B61CAE">
            <w:pPr>
              <w:spacing w:after="200" w:line="276" w:lineRule="auto"/>
              <w:rPr>
                <w:sz w:val="20"/>
                <w:szCs w:val="20"/>
                <w:lang w:val="pt-PT"/>
              </w:rPr>
            </w:pPr>
          </w:p>
        </w:tc>
        <w:tc>
          <w:tcPr>
            <w:tcW w:w="389" w:type="pct"/>
            <w:hideMark/>
          </w:tcPr>
          <w:p w14:paraId="005397BB" w14:textId="77777777" w:rsidR="00B61CAE" w:rsidRPr="00E6403B" w:rsidRDefault="00B61CAE" w:rsidP="00B61CAE">
            <w:pPr>
              <w:spacing w:after="200" w:line="276" w:lineRule="auto"/>
              <w:rPr>
                <w:sz w:val="20"/>
                <w:szCs w:val="20"/>
                <w:lang w:val="pt-PT"/>
              </w:rPr>
            </w:pPr>
          </w:p>
        </w:tc>
        <w:tc>
          <w:tcPr>
            <w:tcW w:w="389" w:type="pct"/>
            <w:hideMark/>
          </w:tcPr>
          <w:p w14:paraId="21F09277" w14:textId="77777777" w:rsidR="00B61CAE" w:rsidRPr="00E6403B" w:rsidRDefault="00B61CAE" w:rsidP="00B61CAE">
            <w:pPr>
              <w:spacing w:after="200" w:line="276" w:lineRule="auto"/>
              <w:rPr>
                <w:sz w:val="20"/>
                <w:szCs w:val="20"/>
                <w:lang w:val="pt-PT"/>
              </w:rPr>
            </w:pPr>
          </w:p>
        </w:tc>
        <w:tc>
          <w:tcPr>
            <w:tcW w:w="319" w:type="pct"/>
            <w:hideMark/>
          </w:tcPr>
          <w:p w14:paraId="252F952F" w14:textId="77777777" w:rsidR="00B61CAE" w:rsidRPr="00E6403B" w:rsidRDefault="00B61CAE" w:rsidP="00B61CAE">
            <w:pPr>
              <w:spacing w:after="200" w:line="276" w:lineRule="auto"/>
              <w:rPr>
                <w:sz w:val="20"/>
                <w:szCs w:val="20"/>
                <w:lang w:val="pt-PT"/>
              </w:rPr>
            </w:pPr>
          </w:p>
        </w:tc>
        <w:tc>
          <w:tcPr>
            <w:tcW w:w="401" w:type="pct"/>
            <w:hideMark/>
          </w:tcPr>
          <w:p w14:paraId="2D7AE58C" w14:textId="77777777" w:rsidR="00B61CAE" w:rsidRPr="00E6403B" w:rsidRDefault="00B61CAE" w:rsidP="00B61CAE">
            <w:pPr>
              <w:spacing w:after="200" w:line="276" w:lineRule="auto"/>
              <w:rPr>
                <w:sz w:val="20"/>
                <w:szCs w:val="20"/>
                <w:lang w:val="pt-PT"/>
              </w:rPr>
            </w:pPr>
          </w:p>
        </w:tc>
        <w:tc>
          <w:tcPr>
            <w:tcW w:w="400" w:type="pct"/>
            <w:hideMark/>
          </w:tcPr>
          <w:p w14:paraId="5EC4EB8C" w14:textId="77777777" w:rsidR="00B61CAE" w:rsidRPr="00E6403B" w:rsidRDefault="00B61CAE" w:rsidP="00B61CAE">
            <w:pPr>
              <w:spacing w:after="200" w:line="276" w:lineRule="auto"/>
              <w:rPr>
                <w:sz w:val="20"/>
                <w:szCs w:val="20"/>
                <w:lang w:val="pt-PT"/>
              </w:rPr>
            </w:pPr>
          </w:p>
        </w:tc>
        <w:tc>
          <w:tcPr>
            <w:tcW w:w="309" w:type="pct"/>
            <w:hideMark/>
          </w:tcPr>
          <w:p w14:paraId="438D42D6" w14:textId="77777777" w:rsidR="00B61CAE" w:rsidRPr="00E6403B" w:rsidRDefault="00B61CAE" w:rsidP="00B61CAE">
            <w:pPr>
              <w:spacing w:after="200" w:line="276" w:lineRule="auto"/>
              <w:rPr>
                <w:sz w:val="20"/>
                <w:szCs w:val="20"/>
                <w:lang w:val="pt-PT"/>
              </w:rPr>
            </w:pPr>
          </w:p>
        </w:tc>
        <w:tc>
          <w:tcPr>
            <w:tcW w:w="370" w:type="pct"/>
            <w:hideMark/>
          </w:tcPr>
          <w:p w14:paraId="1D49D194" w14:textId="77777777" w:rsidR="00B61CAE" w:rsidRPr="00E6403B" w:rsidRDefault="00B61CAE" w:rsidP="00B61CAE">
            <w:pPr>
              <w:spacing w:after="200" w:line="276" w:lineRule="auto"/>
              <w:rPr>
                <w:sz w:val="20"/>
                <w:szCs w:val="20"/>
                <w:lang w:val="pt-PT"/>
              </w:rPr>
            </w:pPr>
          </w:p>
        </w:tc>
        <w:tc>
          <w:tcPr>
            <w:tcW w:w="339" w:type="pct"/>
          </w:tcPr>
          <w:p w14:paraId="33F9D955" w14:textId="77777777" w:rsidR="00B61CAE" w:rsidRPr="00E6403B" w:rsidRDefault="00B61CAE" w:rsidP="00B61CAE">
            <w:pPr>
              <w:rPr>
                <w:sz w:val="20"/>
                <w:szCs w:val="20"/>
                <w:lang w:val="pt-PT"/>
              </w:rPr>
            </w:pPr>
          </w:p>
        </w:tc>
      </w:tr>
      <w:tr w:rsidR="00AE09F2" w:rsidRPr="00E6403B" w14:paraId="43CF9C1B" w14:textId="77777777" w:rsidTr="00AE09F2">
        <w:trPr>
          <w:trHeight w:val="629"/>
        </w:trPr>
        <w:tc>
          <w:tcPr>
            <w:tcW w:w="426" w:type="pct"/>
            <w:shd w:val="clear" w:color="auto" w:fill="DAEEF3" w:themeFill="accent5" w:themeFillTint="33"/>
            <w:hideMark/>
          </w:tcPr>
          <w:p w14:paraId="6932795F" w14:textId="77777777" w:rsidR="00B61CAE" w:rsidRPr="00E6403B" w:rsidRDefault="00B61CAE" w:rsidP="00B61CAE">
            <w:pPr>
              <w:spacing w:after="200" w:line="276" w:lineRule="auto"/>
              <w:rPr>
                <w:b/>
                <w:sz w:val="24"/>
                <w:szCs w:val="24"/>
                <w:lang w:val="pt-PT"/>
              </w:rPr>
            </w:pPr>
            <w:r w:rsidRPr="00E6403B">
              <w:rPr>
                <w:b/>
                <w:sz w:val="24"/>
                <w:szCs w:val="24"/>
                <w:lang w:val="pt-PT"/>
              </w:rPr>
              <w:t>2.</w:t>
            </w:r>
          </w:p>
        </w:tc>
        <w:tc>
          <w:tcPr>
            <w:tcW w:w="438" w:type="pct"/>
            <w:hideMark/>
          </w:tcPr>
          <w:p w14:paraId="506710D2" w14:textId="77777777" w:rsidR="00B61CAE" w:rsidRPr="00E6403B" w:rsidRDefault="00B61CAE" w:rsidP="00B61CAE">
            <w:pPr>
              <w:spacing w:after="200" w:line="276" w:lineRule="auto"/>
              <w:rPr>
                <w:sz w:val="20"/>
                <w:szCs w:val="20"/>
                <w:lang w:val="pt-PT"/>
              </w:rPr>
            </w:pPr>
          </w:p>
        </w:tc>
        <w:tc>
          <w:tcPr>
            <w:tcW w:w="441" w:type="pct"/>
            <w:hideMark/>
          </w:tcPr>
          <w:p w14:paraId="1CFD23EE" w14:textId="77777777" w:rsidR="00B61CAE" w:rsidRPr="00E6403B" w:rsidRDefault="00B61CAE" w:rsidP="00B61CAE">
            <w:pPr>
              <w:spacing w:after="200" w:line="276" w:lineRule="auto"/>
              <w:rPr>
                <w:sz w:val="20"/>
                <w:szCs w:val="20"/>
                <w:lang w:val="pt-PT"/>
              </w:rPr>
            </w:pPr>
          </w:p>
        </w:tc>
        <w:tc>
          <w:tcPr>
            <w:tcW w:w="390" w:type="pct"/>
            <w:hideMark/>
          </w:tcPr>
          <w:p w14:paraId="36581A8F" w14:textId="77777777" w:rsidR="00B61CAE" w:rsidRPr="00E6403B" w:rsidRDefault="00B61CAE" w:rsidP="00B61CAE">
            <w:pPr>
              <w:spacing w:after="200" w:line="276" w:lineRule="auto"/>
              <w:rPr>
                <w:sz w:val="20"/>
                <w:szCs w:val="20"/>
                <w:lang w:val="pt-PT"/>
              </w:rPr>
            </w:pPr>
          </w:p>
        </w:tc>
        <w:tc>
          <w:tcPr>
            <w:tcW w:w="389" w:type="pct"/>
            <w:hideMark/>
          </w:tcPr>
          <w:p w14:paraId="6CFFA328" w14:textId="77777777" w:rsidR="00B61CAE" w:rsidRPr="00E6403B" w:rsidRDefault="00B61CAE" w:rsidP="00B61CAE">
            <w:pPr>
              <w:spacing w:after="200" w:line="276" w:lineRule="auto"/>
              <w:rPr>
                <w:sz w:val="20"/>
                <w:szCs w:val="20"/>
                <w:lang w:val="pt-PT"/>
              </w:rPr>
            </w:pPr>
          </w:p>
        </w:tc>
        <w:tc>
          <w:tcPr>
            <w:tcW w:w="389" w:type="pct"/>
            <w:hideMark/>
          </w:tcPr>
          <w:p w14:paraId="2623331D" w14:textId="77777777" w:rsidR="00B61CAE" w:rsidRPr="00E6403B" w:rsidRDefault="00B61CAE" w:rsidP="00B61CAE">
            <w:pPr>
              <w:spacing w:after="200" w:line="276" w:lineRule="auto"/>
              <w:rPr>
                <w:sz w:val="20"/>
                <w:szCs w:val="20"/>
                <w:lang w:val="pt-PT"/>
              </w:rPr>
            </w:pPr>
          </w:p>
        </w:tc>
        <w:tc>
          <w:tcPr>
            <w:tcW w:w="389" w:type="pct"/>
            <w:hideMark/>
          </w:tcPr>
          <w:p w14:paraId="2F6CA37F" w14:textId="77777777" w:rsidR="00B61CAE" w:rsidRPr="00E6403B" w:rsidRDefault="00B61CAE" w:rsidP="00B61CAE">
            <w:pPr>
              <w:spacing w:after="200" w:line="276" w:lineRule="auto"/>
              <w:rPr>
                <w:sz w:val="20"/>
                <w:szCs w:val="20"/>
                <w:lang w:val="pt-PT"/>
              </w:rPr>
            </w:pPr>
          </w:p>
        </w:tc>
        <w:tc>
          <w:tcPr>
            <w:tcW w:w="319" w:type="pct"/>
            <w:hideMark/>
          </w:tcPr>
          <w:p w14:paraId="75C90F4F" w14:textId="77777777" w:rsidR="00B61CAE" w:rsidRPr="00E6403B" w:rsidRDefault="00B61CAE" w:rsidP="00B61CAE">
            <w:pPr>
              <w:spacing w:after="200" w:line="276" w:lineRule="auto"/>
              <w:rPr>
                <w:sz w:val="20"/>
                <w:szCs w:val="20"/>
                <w:lang w:val="pt-PT"/>
              </w:rPr>
            </w:pPr>
          </w:p>
        </w:tc>
        <w:tc>
          <w:tcPr>
            <w:tcW w:w="401" w:type="pct"/>
            <w:hideMark/>
          </w:tcPr>
          <w:p w14:paraId="3D5D312D" w14:textId="77777777" w:rsidR="00B61CAE" w:rsidRPr="00E6403B" w:rsidRDefault="00B61CAE" w:rsidP="00B61CAE">
            <w:pPr>
              <w:spacing w:after="200" w:line="276" w:lineRule="auto"/>
              <w:rPr>
                <w:sz w:val="20"/>
                <w:szCs w:val="20"/>
                <w:lang w:val="pt-PT"/>
              </w:rPr>
            </w:pPr>
          </w:p>
        </w:tc>
        <w:tc>
          <w:tcPr>
            <w:tcW w:w="400" w:type="pct"/>
            <w:hideMark/>
          </w:tcPr>
          <w:p w14:paraId="3B345F58" w14:textId="77777777" w:rsidR="00B61CAE" w:rsidRPr="00E6403B" w:rsidRDefault="00B61CAE" w:rsidP="00B61CAE">
            <w:pPr>
              <w:spacing w:after="200" w:line="276" w:lineRule="auto"/>
              <w:rPr>
                <w:sz w:val="20"/>
                <w:szCs w:val="20"/>
                <w:lang w:val="pt-PT"/>
              </w:rPr>
            </w:pPr>
          </w:p>
        </w:tc>
        <w:tc>
          <w:tcPr>
            <w:tcW w:w="309" w:type="pct"/>
            <w:hideMark/>
          </w:tcPr>
          <w:p w14:paraId="633A7E32" w14:textId="77777777" w:rsidR="00B61CAE" w:rsidRPr="00E6403B" w:rsidRDefault="00B61CAE" w:rsidP="00B61CAE">
            <w:pPr>
              <w:spacing w:after="200" w:line="276" w:lineRule="auto"/>
              <w:rPr>
                <w:sz w:val="20"/>
                <w:szCs w:val="20"/>
                <w:lang w:val="pt-PT"/>
              </w:rPr>
            </w:pPr>
          </w:p>
        </w:tc>
        <w:tc>
          <w:tcPr>
            <w:tcW w:w="370" w:type="pct"/>
            <w:hideMark/>
          </w:tcPr>
          <w:p w14:paraId="56082C17" w14:textId="77777777" w:rsidR="00B61CAE" w:rsidRPr="00E6403B" w:rsidRDefault="00B61CAE" w:rsidP="00B61CAE">
            <w:pPr>
              <w:spacing w:after="200" w:line="276" w:lineRule="auto"/>
              <w:rPr>
                <w:sz w:val="20"/>
                <w:szCs w:val="20"/>
                <w:lang w:val="pt-PT"/>
              </w:rPr>
            </w:pPr>
          </w:p>
        </w:tc>
        <w:tc>
          <w:tcPr>
            <w:tcW w:w="339" w:type="pct"/>
          </w:tcPr>
          <w:p w14:paraId="129045BA" w14:textId="77777777" w:rsidR="00B61CAE" w:rsidRPr="00E6403B" w:rsidRDefault="00B61CAE" w:rsidP="00B61CAE">
            <w:pPr>
              <w:rPr>
                <w:sz w:val="20"/>
                <w:szCs w:val="20"/>
                <w:lang w:val="pt-PT"/>
              </w:rPr>
            </w:pPr>
          </w:p>
        </w:tc>
      </w:tr>
      <w:tr w:rsidR="00AE09F2" w:rsidRPr="00E6403B" w14:paraId="5EA107F0" w14:textId="77777777" w:rsidTr="00AE09F2">
        <w:trPr>
          <w:trHeight w:val="620"/>
        </w:trPr>
        <w:tc>
          <w:tcPr>
            <w:tcW w:w="426" w:type="pct"/>
            <w:shd w:val="clear" w:color="auto" w:fill="DAEEF3" w:themeFill="accent5" w:themeFillTint="33"/>
            <w:hideMark/>
          </w:tcPr>
          <w:p w14:paraId="0EA47FBE" w14:textId="77777777" w:rsidR="00B61CAE" w:rsidRPr="00E6403B" w:rsidRDefault="00B61CAE" w:rsidP="00B61CAE">
            <w:pPr>
              <w:spacing w:after="200" w:line="276" w:lineRule="auto"/>
              <w:rPr>
                <w:b/>
                <w:sz w:val="24"/>
                <w:szCs w:val="24"/>
                <w:lang w:val="pt-PT"/>
              </w:rPr>
            </w:pPr>
            <w:r w:rsidRPr="00E6403B">
              <w:rPr>
                <w:b/>
                <w:sz w:val="24"/>
                <w:szCs w:val="24"/>
                <w:lang w:val="pt-PT"/>
              </w:rPr>
              <w:t>3.</w:t>
            </w:r>
          </w:p>
        </w:tc>
        <w:tc>
          <w:tcPr>
            <w:tcW w:w="438" w:type="pct"/>
            <w:hideMark/>
          </w:tcPr>
          <w:p w14:paraId="57C55DE2" w14:textId="77777777" w:rsidR="00B61CAE" w:rsidRPr="00E6403B" w:rsidRDefault="00B61CAE" w:rsidP="00B61CAE">
            <w:pPr>
              <w:spacing w:after="200" w:line="276" w:lineRule="auto"/>
              <w:rPr>
                <w:sz w:val="20"/>
                <w:szCs w:val="20"/>
                <w:lang w:val="pt-PT"/>
              </w:rPr>
            </w:pPr>
          </w:p>
        </w:tc>
        <w:tc>
          <w:tcPr>
            <w:tcW w:w="441" w:type="pct"/>
            <w:hideMark/>
          </w:tcPr>
          <w:p w14:paraId="49AF9A57" w14:textId="77777777" w:rsidR="00B61CAE" w:rsidRPr="00E6403B" w:rsidRDefault="00B61CAE" w:rsidP="00B61CAE">
            <w:pPr>
              <w:spacing w:after="200" w:line="276" w:lineRule="auto"/>
              <w:rPr>
                <w:sz w:val="20"/>
                <w:szCs w:val="20"/>
                <w:lang w:val="pt-PT"/>
              </w:rPr>
            </w:pPr>
          </w:p>
        </w:tc>
        <w:tc>
          <w:tcPr>
            <w:tcW w:w="390" w:type="pct"/>
            <w:hideMark/>
          </w:tcPr>
          <w:p w14:paraId="70C0E361" w14:textId="77777777" w:rsidR="00B61CAE" w:rsidRPr="00E6403B" w:rsidRDefault="00B61CAE" w:rsidP="00B61CAE">
            <w:pPr>
              <w:spacing w:after="200" w:line="276" w:lineRule="auto"/>
              <w:rPr>
                <w:sz w:val="20"/>
                <w:szCs w:val="20"/>
                <w:lang w:val="pt-PT"/>
              </w:rPr>
            </w:pPr>
          </w:p>
        </w:tc>
        <w:tc>
          <w:tcPr>
            <w:tcW w:w="389" w:type="pct"/>
            <w:hideMark/>
          </w:tcPr>
          <w:p w14:paraId="32DFF008" w14:textId="77777777" w:rsidR="00B61CAE" w:rsidRPr="00E6403B" w:rsidRDefault="00B61CAE" w:rsidP="00B61CAE">
            <w:pPr>
              <w:spacing w:after="200" w:line="276" w:lineRule="auto"/>
              <w:rPr>
                <w:sz w:val="20"/>
                <w:szCs w:val="20"/>
                <w:lang w:val="pt-PT"/>
              </w:rPr>
            </w:pPr>
          </w:p>
        </w:tc>
        <w:tc>
          <w:tcPr>
            <w:tcW w:w="389" w:type="pct"/>
            <w:hideMark/>
          </w:tcPr>
          <w:p w14:paraId="54083D0B" w14:textId="77777777" w:rsidR="00B61CAE" w:rsidRPr="00E6403B" w:rsidRDefault="00B61CAE" w:rsidP="00B61CAE">
            <w:pPr>
              <w:spacing w:after="200" w:line="276" w:lineRule="auto"/>
              <w:rPr>
                <w:sz w:val="20"/>
                <w:szCs w:val="20"/>
                <w:lang w:val="pt-PT"/>
              </w:rPr>
            </w:pPr>
          </w:p>
        </w:tc>
        <w:tc>
          <w:tcPr>
            <w:tcW w:w="389" w:type="pct"/>
            <w:hideMark/>
          </w:tcPr>
          <w:p w14:paraId="5B1ABC8A" w14:textId="77777777" w:rsidR="00B61CAE" w:rsidRPr="00E6403B" w:rsidRDefault="00B61CAE" w:rsidP="00B61CAE">
            <w:pPr>
              <w:spacing w:after="200" w:line="276" w:lineRule="auto"/>
              <w:rPr>
                <w:sz w:val="20"/>
                <w:szCs w:val="20"/>
                <w:lang w:val="pt-PT"/>
              </w:rPr>
            </w:pPr>
          </w:p>
        </w:tc>
        <w:tc>
          <w:tcPr>
            <w:tcW w:w="319" w:type="pct"/>
            <w:hideMark/>
          </w:tcPr>
          <w:p w14:paraId="2BBFE967" w14:textId="77777777" w:rsidR="00B61CAE" w:rsidRPr="00E6403B" w:rsidRDefault="00B61CAE" w:rsidP="00B61CAE">
            <w:pPr>
              <w:spacing w:after="200" w:line="276" w:lineRule="auto"/>
              <w:rPr>
                <w:sz w:val="20"/>
                <w:szCs w:val="20"/>
                <w:lang w:val="pt-PT"/>
              </w:rPr>
            </w:pPr>
          </w:p>
        </w:tc>
        <w:tc>
          <w:tcPr>
            <w:tcW w:w="401" w:type="pct"/>
            <w:hideMark/>
          </w:tcPr>
          <w:p w14:paraId="7C69E423" w14:textId="77777777" w:rsidR="00B61CAE" w:rsidRPr="00E6403B" w:rsidRDefault="00B61CAE" w:rsidP="00B61CAE">
            <w:pPr>
              <w:spacing w:after="200" w:line="276" w:lineRule="auto"/>
              <w:rPr>
                <w:sz w:val="20"/>
                <w:szCs w:val="20"/>
                <w:lang w:val="pt-PT"/>
              </w:rPr>
            </w:pPr>
          </w:p>
        </w:tc>
        <w:tc>
          <w:tcPr>
            <w:tcW w:w="400" w:type="pct"/>
            <w:hideMark/>
          </w:tcPr>
          <w:p w14:paraId="05621D1C" w14:textId="77777777" w:rsidR="00B61CAE" w:rsidRPr="00E6403B" w:rsidRDefault="00B61CAE" w:rsidP="00B61CAE">
            <w:pPr>
              <w:spacing w:after="200" w:line="276" w:lineRule="auto"/>
              <w:rPr>
                <w:sz w:val="20"/>
                <w:szCs w:val="20"/>
                <w:lang w:val="pt-PT"/>
              </w:rPr>
            </w:pPr>
          </w:p>
        </w:tc>
        <w:tc>
          <w:tcPr>
            <w:tcW w:w="309" w:type="pct"/>
            <w:hideMark/>
          </w:tcPr>
          <w:p w14:paraId="20038188" w14:textId="77777777" w:rsidR="00B61CAE" w:rsidRPr="00E6403B" w:rsidRDefault="00B61CAE" w:rsidP="00B61CAE">
            <w:pPr>
              <w:spacing w:after="200" w:line="276" w:lineRule="auto"/>
              <w:rPr>
                <w:sz w:val="20"/>
                <w:szCs w:val="20"/>
                <w:lang w:val="pt-PT"/>
              </w:rPr>
            </w:pPr>
          </w:p>
        </w:tc>
        <w:tc>
          <w:tcPr>
            <w:tcW w:w="370" w:type="pct"/>
            <w:hideMark/>
          </w:tcPr>
          <w:p w14:paraId="418D0763" w14:textId="77777777" w:rsidR="00B61CAE" w:rsidRPr="00E6403B" w:rsidRDefault="00B61CAE" w:rsidP="00B61CAE">
            <w:pPr>
              <w:spacing w:after="200" w:line="276" w:lineRule="auto"/>
              <w:rPr>
                <w:sz w:val="20"/>
                <w:szCs w:val="20"/>
                <w:lang w:val="pt-PT"/>
              </w:rPr>
            </w:pPr>
          </w:p>
        </w:tc>
        <w:tc>
          <w:tcPr>
            <w:tcW w:w="339" w:type="pct"/>
          </w:tcPr>
          <w:p w14:paraId="5A6137A8" w14:textId="77777777" w:rsidR="00B61CAE" w:rsidRPr="00E6403B" w:rsidRDefault="00B61CAE" w:rsidP="00B61CAE">
            <w:pPr>
              <w:rPr>
                <w:sz w:val="20"/>
                <w:szCs w:val="20"/>
                <w:lang w:val="pt-PT"/>
              </w:rPr>
            </w:pPr>
          </w:p>
        </w:tc>
      </w:tr>
      <w:tr w:rsidR="00AE09F2" w:rsidRPr="00E6403B" w14:paraId="21EFFC04" w14:textId="77777777" w:rsidTr="00AE09F2">
        <w:trPr>
          <w:trHeight w:val="620"/>
        </w:trPr>
        <w:tc>
          <w:tcPr>
            <w:tcW w:w="426" w:type="pct"/>
            <w:shd w:val="clear" w:color="auto" w:fill="DAEEF3" w:themeFill="accent5" w:themeFillTint="33"/>
            <w:hideMark/>
          </w:tcPr>
          <w:p w14:paraId="62BA6F35" w14:textId="77777777" w:rsidR="00B61CAE" w:rsidRPr="00E6403B" w:rsidRDefault="00B61CAE" w:rsidP="00B61CAE">
            <w:pPr>
              <w:spacing w:after="200" w:line="276" w:lineRule="auto"/>
              <w:rPr>
                <w:b/>
                <w:sz w:val="24"/>
                <w:szCs w:val="24"/>
                <w:lang w:val="pt-PT"/>
              </w:rPr>
            </w:pPr>
            <w:r w:rsidRPr="00E6403B">
              <w:rPr>
                <w:b/>
                <w:sz w:val="24"/>
                <w:szCs w:val="24"/>
                <w:lang w:val="pt-PT"/>
              </w:rPr>
              <w:t>4.</w:t>
            </w:r>
          </w:p>
        </w:tc>
        <w:tc>
          <w:tcPr>
            <w:tcW w:w="438" w:type="pct"/>
            <w:hideMark/>
          </w:tcPr>
          <w:p w14:paraId="2549291C" w14:textId="77777777" w:rsidR="00B61CAE" w:rsidRPr="00E6403B" w:rsidRDefault="00B61CAE" w:rsidP="00B61CAE">
            <w:pPr>
              <w:spacing w:after="200" w:line="276" w:lineRule="auto"/>
              <w:rPr>
                <w:sz w:val="20"/>
                <w:szCs w:val="20"/>
                <w:lang w:val="pt-PT"/>
              </w:rPr>
            </w:pPr>
          </w:p>
        </w:tc>
        <w:tc>
          <w:tcPr>
            <w:tcW w:w="441" w:type="pct"/>
            <w:hideMark/>
          </w:tcPr>
          <w:p w14:paraId="02BADD62" w14:textId="77777777" w:rsidR="00B61CAE" w:rsidRPr="00E6403B" w:rsidRDefault="00B61CAE" w:rsidP="00B61CAE">
            <w:pPr>
              <w:spacing w:after="200" w:line="276" w:lineRule="auto"/>
              <w:rPr>
                <w:sz w:val="20"/>
                <w:szCs w:val="20"/>
                <w:lang w:val="pt-PT"/>
              </w:rPr>
            </w:pPr>
          </w:p>
        </w:tc>
        <w:tc>
          <w:tcPr>
            <w:tcW w:w="390" w:type="pct"/>
            <w:hideMark/>
          </w:tcPr>
          <w:p w14:paraId="55CBB3A5" w14:textId="77777777" w:rsidR="00B61CAE" w:rsidRPr="00E6403B" w:rsidRDefault="00B61CAE" w:rsidP="00B61CAE">
            <w:pPr>
              <w:spacing w:after="200" w:line="276" w:lineRule="auto"/>
              <w:rPr>
                <w:sz w:val="20"/>
                <w:szCs w:val="20"/>
                <w:lang w:val="pt-PT"/>
              </w:rPr>
            </w:pPr>
          </w:p>
        </w:tc>
        <w:tc>
          <w:tcPr>
            <w:tcW w:w="389" w:type="pct"/>
            <w:hideMark/>
          </w:tcPr>
          <w:p w14:paraId="02B79FE2" w14:textId="77777777" w:rsidR="00B61CAE" w:rsidRPr="00E6403B" w:rsidRDefault="00B61CAE" w:rsidP="00B61CAE">
            <w:pPr>
              <w:spacing w:after="200" w:line="276" w:lineRule="auto"/>
              <w:rPr>
                <w:sz w:val="20"/>
                <w:szCs w:val="20"/>
                <w:lang w:val="pt-PT"/>
              </w:rPr>
            </w:pPr>
          </w:p>
        </w:tc>
        <w:tc>
          <w:tcPr>
            <w:tcW w:w="389" w:type="pct"/>
            <w:hideMark/>
          </w:tcPr>
          <w:p w14:paraId="597D4A89" w14:textId="77777777" w:rsidR="00B61CAE" w:rsidRPr="00E6403B" w:rsidRDefault="00B61CAE" w:rsidP="00B61CAE">
            <w:pPr>
              <w:spacing w:after="200" w:line="276" w:lineRule="auto"/>
              <w:rPr>
                <w:sz w:val="20"/>
                <w:szCs w:val="20"/>
                <w:lang w:val="pt-PT"/>
              </w:rPr>
            </w:pPr>
          </w:p>
        </w:tc>
        <w:tc>
          <w:tcPr>
            <w:tcW w:w="389" w:type="pct"/>
            <w:hideMark/>
          </w:tcPr>
          <w:p w14:paraId="36A154C5" w14:textId="77777777" w:rsidR="00B61CAE" w:rsidRPr="00E6403B" w:rsidRDefault="00B61CAE" w:rsidP="00B61CAE">
            <w:pPr>
              <w:spacing w:after="200" w:line="276" w:lineRule="auto"/>
              <w:rPr>
                <w:sz w:val="20"/>
                <w:szCs w:val="20"/>
                <w:lang w:val="pt-PT"/>
              </w:rPr>
            </w:pPr>
          </w:p>
        </w:tc>
        <w:tc>
          <w:tcPr>
            <w:tcW w:w="319" w:type="pct"/>
            <w:hideMark/>
          </w:tcPr>
          <w:p w14:paraId="663DE2BB" w14:textId="77777777" w:rsidR="00B61CAE" w:rsidRPr="00E6403B" w:rsidRDefault="00B61CAE" w:rsidP="00B61CAE">
            <w:pPr>
              <w:spacing w:after="200" w:line="276" w:lineRule="auto"/>
              <w:rPr>
                <w:sz w:val="20"/>
                <w:szCs w:val="20"/>
                <w:lang w:val="pt-PT"/>
              </w:rPr>
            </w:pPr>
          </w:p>
        </w:tc>
        <w:tc>
          <w:tcPr>
            <w:tcW w:w="401" w:type="pct"/>
            <w:hideMark/>
          </w:tcPr>
          <w:p w14:paraId="6F2FFF9D" w14:textId="77777777" w:rsidR="00B61CAE" w:rsidRPr="00E6403B" w:rsidRDefault="00B61CAE" w:rsidP="00B61CAE">
            <w:pPr>
              <w:spacing w:after="200" w:line="276" w:lineRule="auto"/>
              <w:rPr>
                <w:sz w:val="20"/>
                <w:szCs w:val="20"/>
                <w:lang w:val="pt-PT"/>
              </w:rPr>
            </w:pPr>
          </w:p>
        </w:tc>
        <w:tc>
          <w:tcPr>
            <w:tcW w:w="400" w:type="pct"/>
            <w:hideMark/>
          </w:tcPr>
          <w:p w14:paraId="1F6E2884" w14:textId="77777777" w:rsidR="00B61CAE" w:rsidRPr="00E6403B" w:rsidRDefault="00B61CAE" w:rsidP="00B61CAE">
            <w:pPr>
              <w:spacing w:after="200" w:line="276" w:lineRule="auto"/>
              <w:rPr>
                <w:sz w:val="20"/>
                <w:szCs w:val="20"/>
                <w:lang w:val="pt-PT"/>
              </w:rPr>
            </w:pPr>
          </w:p>
        </w:tc>
        <w:tc>
          <w:tcPr>
            <w:tcW w:w="309" w:type="pct"/>
            <w:hideMark/>
          </w:tcPr>
          <w:p w14:paraId="60151ACE" w14:textId="77777777" w:rsidR="00B61CAE" w:rsidRPr="00E6403B" w:rsidRDefault="00B61CAE" w:rsidP="00B61CAE">
            <w:pPr>
              <w:spacing w:after="200" w:line="276" w:lineRule="auto"/>
              <w:rPr>
                <w:sz w:val="20"/>
                <w:szCs w:val="20"/>
                <w:lang w:val="pt-PT"/>
              </w:rPr>
            </w:pPr>
          </w:p>
        </w:tc>
        <w:tc>
          <w:tcPr>
            <w:tcW w:w="370" w:type="pct"/>
            <w:hideMark/>
          </w:tcPr>
          <w:p w14:paraId="24B23C49" w14:textId="77777777" w:rsidR="00B61CAE" w:rsidRPr="00E6403B" w:rsidRDefault="00B61CAE" w:rsidP="00B61CAE">
            <w:pPr>
              <w:spacing w:after="200" w:line="276" w:lineRule="auto"/>
              <w:rPr>
                <w:sz w:val="20"/>
                <w:szCs w:val="20"/>
                <w:lang w:val="pt-PT"/>
              </w:rPr>
            </w:pPr>
          </w:p>
        </w:tc>
        <w:tc>
          <w:tcPr>
            <w:tcW w:w="339" w:type="pct"/>
          </w:tcPr>
          <w:p w14:paraId="64BF8220" w14:textId="77777777" w:rsidR="00B61CAE" w:rsidRPr="00E6403B" w:rsidRDefault="00B61CAE" w:rsidP="00B61CAE">
            <w:pPr>
              <w:rPr>
                <w:sz w:val="20"/>
                <w:szCs w:val="20"/>
                <w:lang w:val="pt-PT"/>
              </w:rPr>
            </w:pPr>
          </w:p>
        </w:tc>
      </w:tr>
    </w:tbl>
    <w:p w14:paraId="0EA3D8A2" w14:textId="77777777" w:rsidR="00B61CAE" w:rsidRPr="00E6403B" w:rsidRDefault="00B61CAE">
      <w:pPr>
        <w:rPr>
          <w:lang w:val="pt-PT"/>
        </w:rPr>
      </w:pPr>
    </w:p>
    <w:p w14:paraId="7E7DC8DF" w14:textId="59EC3940" w:rsidR="00AE09F2" w:rsidRPr="00E6403B" w:rsidRDefault="00E07687">
      <w:pPr>
        <w:rPr>
          <w:lang w:val="pt-PT"/>
        </w:rPr>
      </w:pPr>
      <w:bookmarkStart w:id="0" w:name="_GoBack"/>
      <w:bookmarkEnd w:id="0"/>
      <w:r w:rsidRPr="00E6403B">
        <w:rPr>
          <w:noProof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5D2231" wp14:editId="756D6AFA">
                <wp:simplePos x="0" y="0"/>
                <wp:positionH relativeFrom="column">
                  <wp:posOffset>-457200</wp:posOffset>
                </wp:positionH>
                <wp:positionV relativeFrom="paragraph">
                  <wp:posOffset>-457200</wp:posOffset>
                </wp:positionV>
                <wp:extent cx="9715500" cy="2638425"/>
                <wp:effectExtent l="0" t="0" r="19050" b="28575"/>
                <wp:wrapSquare wrapText="bothSides"/>
                <wp:docPr id="7" name="Content Placeholder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Grp="1"/>
                      </wps:cNvSpPr>
                      <wps:spPr bwMode="auto">
                        <a:xfrm>
                          <a:off x="0" y="0"/>
                          <a:ext cx="9715500" cy="26384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A464B65" w14:textId="3223BA76" w:rsidR="00E6403B" w:rsidRPr="00724FEC" w:rsidRDefault="00E6403B" w:rsidP="00724FEC">
                            <w:pPr>
                              <w:pStyle w:val="NormalWeb"/>
                              <w:kinsoku w:val="0"/>
                              <w:overflowPunct w:val="0"/>
                              <w:spacing w:before="53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724FEC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FF"/>
                                <w:kern w:val="24"/>
                                <w:sz w:val="22"/>
                                <w:szCs w:val="22"/>
                              </w:rPr>
                              <w:t> </w:t>
                            </w:r>
                            <w:r w:rsidRPr="00724FEC">
                              <w:rPr>
                                <w:rFonts w:asciiTheme="minorHAnsi" w:hAnsiTheme="minorHAnsi" w:cstheme="minorHAnsi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Plataforma</w:t>
                            </w:r>
                            <w:r w:rsidRPr="00724FEC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 xml:space="preserve"> da OMS para a Aprendizagem sobre Segurança Sanitária – Materiais de Formação</w:t>
                            </w:r>
                          </w:p>
                          <w:p w14:paraId="25C75828" w14:textId="77777777" w:rsidR="00E6403B" w:rsidRPr="00724FEC" w:rsidRDefault="00E6403B" w:rsidP="00E07687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  <w:p w14:paraId="6B8DB0AC" w14:textId="77777777" w:rsidR="00E6403B" w:rsidRPr="00724FEC" w:rsidRDefault="00E6403B" w:rsidP="00E07687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724FEC">
                              <w:rPr>
                                <w:rFonts w:asciiTheme="minorHAnsi" w:hAnsiTheme="minorHAnsi" w:cstheme="minorHAnsi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Estes Materiais de Formação da OMS são propriedade da © Organização Mundial da Saúde (WHO) 2018. Todos os direitos reservados.</w:t>
                            </w:r>
                          </w:p>
                          <w:p w14:paraId="35BFB4E4" w14:textId="77777777" w:rsidR="00E6403B" w:rsidRPr="00724FEC" w:rsidRDefault="00E6403B" w:rsidP="00E07687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724FEC">
                              <w:rPr>
                                <w:rFonts w:asciiTheme="minorHAnsi" w:hAnsiTheme="minorHAnsi" w:cstheme="minorHAnsi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A sua utilização destes materiais está sujeita aos “</w:t>
                            </w:r>
                            <w:r w:rsidRPr="00724FEC">
                              <w:rPr>
                                <w:rFonts w:asciiTheme="minorHAnsi" w:hAnsiTheme="minorHAnsi" w:cstheme="minorHAnsi"/>
                                <w:color w:val="0000FF"/>
                                <w:kern w:val="24"/>
                                <w:sz w:val="22"/>
                                <w:szCs w:val="22"/>
                              </w:rPr>
                              <w:t xml:space="preserve">Termos de Utilização dos Materiais </w:t>
                            </w:r>
                          </w:p>
                          <w:p w14:paraId="168B52CA" w14:textId="56F1B8A3" w:rsidR="00E6403B" w:rsidRPr="00724FEC" w:rsidRDefault="00E6403B" w:rsidP="00E07687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724FEC">
                              <w:rPr>
                                <w:rFonts w:asciiTheme="minorHAnsi" w:hAnsiTheme="minorHAnsi" w:cstheme="minorHAnsi"/>
                                <w:color w:val="0000FF"/>
                                <w:kern w:val="24"/>
                                <w:sz w:val="22"/>
                                <w:szCs w:val="22"/>
                              </w:rPr>
                              <w:t>de Formação da Plataforma da OMS para a Aprendizagem sobre Segurança Sanitária</w:t>
                            </w:r>
                            <w:r w:rsidRPr="00724FEC">
                              <w:rPr>
                                <w:rFonts w:asciiTheme="minorHAnsi" w:hAnsiTheme="minorHAnsi" w:cstheme="minorHAnsi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 xml:space="preserve">”, que aceitou ao descarregá-los e que estão disponíveis na Plataforma da OMS para a Aprendizagem sobre Segurança Sanitária em: </w:t>
                            </w:r>
                            <w:hyperlink r:id="rId9" w:history="1">
                              <w:r w:rsidRPr="00724FEC">
                                <w:rPr>
                                  <w:rStyle w:val="Hyperlink"/>
                                  <w:rFonts w:asciiTheme="minorHAnsi" w:hAnsiTheme="minorHAnsi" w:cstheme="minorHAnsi"/>
                                  <w:kern w:val="24"/>
                                  <w:sz w:val="22"/>
                                  <w:szCs w:val="22"/>
                                </w:rPr>
                                <w:t>https://extranet.who.int/hslp</w:t>
                              </w:r>
                            </w:hyperlink>
                            <w:r w:rsidR="00724FEC">
                              <w:rPr>
                                <w:rFonts w:asciiTheme="minorHAnsi" w:hAnsiTheme="minorHAnsi" w:cstheme="minorHAnsi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79F3DF8E" w14:textId="77777777" w:rsidR="00E6403B" w:rsidRPr="00724FEC" w:rsidRDefault="00E6403B" w:rsidP="00E07687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724FEC">
                              <w:rPr>
                                <w:rFonts w:asciiTheme="minorHAnsi" w:hAnsiTheme="minorHAnsi" w:cstheme="minorHAnsi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 </w:t>
                            </w:r>
                          </w:p>
                          <w:p w14:paraId="1BD43210" w14:textId="77777777" w:rsidR="00E6403B" w:rsidRPr="00724FEC" w:rsidRDefault="00E6403B" w:rsidP="00E07687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724FEC">
                              <w:rPr>
                                <w:rFonts w:asciiTheme="minorHAnsi" w:hAnsiTheme="minorHAnsi" w:cstheme="minorHAnsi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>Caso adapte, modifique, traduza ou de alguma forma altere o conteúdo destes materiais, não poderá sugerir que a OMS de algum modo aprova essas modificações, como não poderá usar o nome ou o símbolo da OMS nos materiais modificados.</w:t>
                            </w:r>
                          </w:p>
                          <w:p w14:paraId="369163CF" w14:textId="77777777" w:rsidR="00E6403B" w:rsidRPr="00724FEC" w:rsidRDefault="00E6403B" w:rsidP="00E07687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724FEC">
                              <w:rPr>
                                <w:rFonts w:asciiTheme="minorHAnsi" w:hAnsiTheme="minorHAnsi" w:cstheme="minorHAnsi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  <w:p w14:paraId="02AEC76E" w14:textId="5F9C009B" w:rsidR="00E6403B" w:rsidRPr="00724FEC" w:rsidRDefault="00E6403B" w:rsidP="00E07687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724FEC">
                              <w:rPr>
                                <w:rFonts w:asciiTheme="minorHAnsi" w:hAnsiTheme="minorHAnsi" w:cstheme="minorHAnsi"/>
                                <w:color w:val="000000"/>
                                <w:kern w:val="24"/>
                                <w:sz w:val="22"/>
                                <w:szCs w:val="22"/>
                              </w:rPr>
                              <w:t xml:space="preserve">Solicita-se ainda que informe a OMS de quaisquer alterações que tenha efectuado para utilização pública destes materiais, para fins de manutenção de registos e desenvolvimento contínuo, através do endereço electrónico </w:t>
                            </w:r>
                            <w:hyperlink r:id="rId10" w:history="1">
                              <w:r w:rsidRPr="00724FEC">
                                <w:rPr>
                                  <w:rStyle w:val="Hyperlink"/>
                                  <w:rFonts w:asciiTheme="minorHAnsi" w:hAnsiTheme="minorHAnsi" w:cstheme="minorHAnsi"/>
                                  <w:kern w:val="24"/>
                                  <w:sz w:val="22"/>
                                  <w:szCs w:val="22"/>
                                </w:rPr>
                                <w:t>ihrhrt@who.int</w:t>
                              </w:r>
                            </w:hyperlink>
                          </w:p>
                          <w:p w14:paraId="06258887" w14:textId="1ED71B2C" w:rsidR="00E6403B" w:rsidRPr="00724FEC" w:rsidRDefault="00E6403B" w:rsidP="00E07687">
                            <w:pPr>
                              <w:pStyle w:val="NormalWeb"/>
                              <w:kinsoku w:val="0"/>
                              <w:overflowPunct w:val="0"/>
                              <w:spacing w:before="77" w:beforeAutospacing="0" w:after="0" w:afterAutospacing="0"/>
                              <w:textAlignment w:val="baseline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5D2231" id="_x0000_t202" coordsize="21600,21600" o:spt="202" path="m,l,21600r21600,l21600,xe">
                <v:stroke joinstyle="miter"/>
                <v:path gradientshapeok="t" o:connecttype="rect"/>
              </v:shapetype>
              <v:shape id="Content Placeholder 2" o:spid="_x0000_s1026" type="#_x0000_t202" style="position:absolute;margin-left:-36pt;margin-top:-36pt;width:765pt;height:20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CZ3cAIAALEEAAAOAAAAZHJzL2Uyb0RvYy54bWysVNtu2zAMfR+wfxD0nvpS52bUKbpcigFd&#10;VyAd9qzIcixMljRJid0N+/dRspNm3duwPAiSSR6S55C5ue0agY7MWK5kgZOrGCMmqSq53Bf4y/Nm&#10;NMPIOiJLIpRkBX5hFt8u3r+7aXXOUlUrUTKDAETavNUFrp3TeRRZWrOG2CulmQRjpUxDHDzNPioN&#10;aQG9EVEax5OoVabURlFmLXxd9Ua8CPhVxaj7XFWWOSQKDLW5cJpw7vwZLW5IvjdE15wOZZB/qKIh&#10;XELSM9SKOIIOhv8F1XBqlFWVu6KqiVRVccpCD9BNEr/pZlsTzUIvQI7VZ5rs/4Olj8cng3hZ4ClG&#10;kjQg0VJJx6RDT4JQNgiUeqJabXPw32qIcN0H1YHgoWmrHxT9ZpFU9wY0TLxzdOHdh1oft2s/qRKS&#10;kINTIbarTOOJAyoQAIJGL2ddWOcQhY/zaTIex2CiYEsn17MsHYccJD+Fa2PdPVMN8pcCGxA+wJPj&#10;g3W+HJKfXHw2qTZciCC+kKiFFGOA9BarBC+9MTzMfrcUBh2JH5/wG/L+4dZwB0MseFPg2dmJ5DUj&#10;5VqWIYsjXPR3qERIDw7dQW3DrR+Wn/N4vp6tZ9koSyfrURaX5ehus8xGk00yHa+uV8vlKvk1lHCK&#10;D0x7cnuaXbfrIKWnf6fKF+Ac1hMoqZX5gVELo15g+/1ADMNIfJQwS/Mky/xuhEc2nqbwMJeW3aVF&#10;HpqlAjoSjIikgFpgd7ouXb9aMNuauAe51fQ0I5795+4rMXqQyEH9j+o04iR/o1Tv69mR6g6GpeJB&#10;xte2hhGDvQjqDjvsF+/yHbxe/2kWvwEAAP//AwBQSwMEFAAGAAgAAAAhABxx0yzcAAAADAEAAA8A&#10;AABkcnMvZG93bnJldi54bWxMj0FPwzAMhe9I/IfISNy2lK5lVWk6wSQunKDA3WtMW61xqiZbw78n&#10;OyC42X5Pz9+rdsGM4kyzGywruFsnIIhbqwfuFHy8P68KEM4jaxwtk4JvcrCrr68qLLVd+I3Oje9E&#10;DGFXooLe+6mU0rU9GXRrOxFH7cvOBn1c507qGZcYbkaZJsm9NDhw/NDjRPue2mNzMgqypcg/O+Sg&#10;h2afHfE1bNOXJ6Vub8LjAwhPwf+Z4YIf0aGOTAd7Yu3EqGC1TWMX/ztcHFlexNNBwSbb5CDrSv4v&#10;Uf8AAAD//wMAUEsBAi0AFAAGAAgAAAAhALaDOJL+AAAA4QEAABMAAAAAAAAAAAAAAAAAAAAAAFtD&#10;b250ZW50X1R5cGVzXS54bWxQSwECLQAUAAYACAAAACEAOP0h/9YAAACUAQAACwAAAAAAAAAAAAAA&#10;AAAvAQAAX3JlbHMvLnJlbHNQSwECLQAUAAYACAAAACEA4qAmd3ACAACxBAAADgAAAAAAAAAAAAAA&#10;AAAuAgAAZHJzL2Uyb0RvYy54bWxQSwECLQAUAAYACAAAACEAHHHTLNwAAAAMAQAADwAAAAAAAAAA&#10;AAAAAADKBAAAZHJzL2Rvd25yZXYueG1sUEsFBgAAAAAEAAQA8wAAANMFAAAAAA==&#10;" filled="f">
                <v:path arrowok="t"/>
                <o:lock v:ext="edit" grouping="t"/>
                <v:textbox>
                  <w:txbxContent>
                    <w:p w14:paraId="6A464B65" w14:textId="3223BA76" w:rsidR="00E6403B" w:rsidRPr="00724FEC" w:rsidRDefault="00E6403B" w:rsidP="00724FEC">
                      <w:pPr>
                        <w:pStyle w:val="NormalWeb"/>
                        <w:kinsoku w:val="0"/>
                        <w:overflowPunct w:val="0"/>
                        <w:spacing w:before="53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724FEC">
                        <w:rPr>
                          <w:rFonts w:asciiTheme="minorHAnsi" w:hAnsiTheme="minorHAnsi" w:cstheme="minorHAnsi"/>
                          <w:b/>
                          <w:bCs/>
                          <w:color w:val="0000FF"/>
                          <w:kern w:val="24"/>
                          <w:sz w:val="22"/>
                          <w:szCs w:val="22"/>
                        </w:rPr>
                        <w:t> </w:t>
                      </w:r>
                      <w:r w:rsidRPr="00724FEC">
                        <w:rPr>
                          <w:rFonts w:asciiTheme="minorHAnsi" w:hAnsiTheme="minorHAnsi" w:cstheme="minorHAnsi"/>
                          <w:color w:val="000000"/>
                          <w:kern w:val="24"/>
                          <w:sz w:val="22"/>
                          <w:szCs w:val="22"/>
                        </w:rPr>
                        <w:t>Plataforma</w:t>
                      </w:r>
                      <w:r w:rsidRPr="00724FEC"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kern w:val="24"/>
                          <w:sz w:val="22"/>
                          <w:szCs w:val="22"/>
                        </w:rPr>
                        <w:t xml:space="preserve"> da OMS para a Aprendizagem sobre Segurança Sanitária – Materiais de Formação</w:t>
                      </w:r>
                    </w:p>
                    <w:p w14:paraId="25C75828" w14:textId="77777777" w:rsidR="00E6403B" w:rsidRPr="00724FEC" w:rsidRDefault="00E6403B" w:rsidP="00E07687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  <w:p w14:paraId="6B8DB0AC" w14:textId="77777777" w:rsidR="00E6403B" w:rsidRPr="00724FEC" w:rsidRDefault="00E6403B" w:rsidP="00E07687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724FEC">
                        <w:rPr>
                          <w:rFonts w:asciiTheme="minorHAnsi" w:hAnsiTheme="minorHAnsi" w:cstheme="minorHAnsi"/>
                          <w:color w:val="000000"/>
                          <w:kern w:val="24"/>
                          <w:sz w:val="22"/>
                          <w:szCs w:val="22"/>
                        </w:rPr>
                        <w:t>Estes Materiais de Formação da OMS são propriedade da © Organização Mundial da Saúde (WHO) 2018. Todos os direitos reservados.</w:t>
                      </w:r>
                    </w:p>
                    <w:p w14:paraId="35BFB4E4" w14:textId="77777777" w:rsidR="00E6403B" w:rsidRPr="00724FEC" w:rsidRDefault="00E6403B" w:rsidP="00E07687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724FEC">
                        <w:rPr>
                          <w:rFonts w:asciiTheme="minorHAnsi" w:hAnsiTheme="minorHAnsi" w:cstheme="minorHAnsi"/>
                          <w:color w:val="000000"/>
                          <w:kern w:val="24"/>
                          <w:sz w:val="22"/>
                          <w:szCs w:val="22"/>
                        </w:rPr>
                        <w:t>A sua utilização destes materiais está sujeita aos “</w:t>
                      </w:r>
                      <w:r w:rsidRPr="00724FEC">
                        <w:rPr>
                          <w:rFonts w:asciiTheme="minorHAnsi" w:hAnsiTheme="minorHAnsi" w:cstheme="minorHAnsi"/>
                          <w:color w:val="0000FF"/>
                          <w:kern w:val="24"/>
                          <w:sz w:val="22"/>
                          <w:szCs w:val="22"/>
                        </w:rPr>
                        <w:t xml:space="preserve">Termos de Utilização dos Materiais </w:t>
                      </w:r>
                    </w:p>
                    <w:p w14:paraId="168B52CA" w14:textId="56F1B8A3" w:rsidR="00E6403B" w:rsidRPr="00724FEC" w:rsidRDefault="00E6403B" w:rsidP="00E07687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724FEC">
                        <w:rPr>
                          <w:rFonts w:asciiTheme="minorHAnsi" w:hAnsiTheme="minorHAnsi" w:cstheme="minorHAnsi"/>
                          <w:color w:val="0000FF"/>
                          <w:kern w:val="24"/>
                          <w:sz w:val="22"/>
                          <w:szCs w:val="22"/>
                        </w:rPr>
                        <w:t>de Formação da Plataforma da OMS para a Aprendizagem sobre Segurança Sanitária</w:t>
                      </w:r>
                      <w:r w:rsidRPr="00724FEC">
                        <w:rPr>
                          <w:rFonts w:asciiTheme="minorHAnsi" w:hAnsiTheme="minorHAnsi" w:cstheme="minorHAnsi"/>
                          <w:color w:val="000000"/>
                          <w:kern w:val="24"/>
                          <w:sz w:val="22"/>
                          <w:szCs w:val="22"/>
                        </w:rPr>
                        <w:t xml:space="preserve">”, que aceitou ao descarregá-los e que estão disponíveis na Plataforma da OMS para a Aprendizagem sobre Segurança Sanitária em: </w:t>
                      </w:r>
                      <w:hyperlink r:id="rId11" w:history="1">
                        <w:r w:rsidRPr="00724FEC">
                          <w:rPr>
                            <w:rStyle w:val="Hyperlink"/>
                            <w:rFonts w:asciiTheme="minorHAnsi" w:hAnsiTheme="minorHAnsi" w:cstheme="minorHAnsi"/>
                            <w:kern w:val="24"/>
                            <w:sz w:val="22"/>
                            <w:szCs w:val="22"/>
                          </w:rPr>
                          <w:t>https://extranet.who.int/hslp</w:t>
                        </w:r>
                      </w:hyperlink>
                      <w:r w:rsidR="00724FEC">
                        <w:rPr>
                          <w:rFonts w:asciiTheme="minorHAnsi" w:hAnsiTheme="minorHAnsi" w:cstheme="minorHAnsi"/>
                          <w:color w:val="000000"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79F3DF8E" w14:textId="77777777" w:rsidR="00E6403B" w:rsidRPr="00724FEC" w:rsidRDefault="00E6403B" w:rsidP="00E07687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724FEC">
                        <w:rPr>
                          <w:rFonts w:asciiTheme="minorHAnsi" w:hAnsiTheme="minorHAnsi" w:cstheme="minorHAnsi"/>
                          <w:color w:val="000000"/>
                          <w:kern w:val="24"/>
                          <w:sz w:val="22"/>
                          <w:szCs w:val="22"/>
                        </w:rPr>
                        <w:t> </w:t>
                      </w:r>
                    </w:p>
                    <w:p w14:paraId="1BD43210" w14:textId="77777777" w:rsidR="00E6403B" w:rsidRPr="00724FEC" w:rsidRDefault="00E6403B" w:rsidP="00E07687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724FEC">
                        <w:rPr>
                          <w:rFonts w:asciiTheme="minorHAnsi" w:hAnsiTheme="minorHAnsi" w:cstheme="minorHAnsi"/>
                          <w:color w:val="000000"/>
                          <w:kern w:val="24"/>
                          <w:sz w:val="22"/>
                          <w:szCs w:val="22"/>
                        </w:rPr>
                        <w:t>Caso adapte, modifique, traduza ou de alguma forma altere o conteúdo destes materiais, não poderá sugerir que a OMS de algum modo aprova essas modificações, como não poderá usar o nome ou o símbolo da OMS nos materiais modificados.</w:t>
                      </w:r>
                    </w:p>
                    <w:p w14:paraId="369163CF" w14:textId="77777777" w:rsidR="00E6403B" w:rsidRPr="00724FEC" w:rsidRDefault="00E6403B" w:rsidP="00E07687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724FEC">
                        <w:rPr>
                          <w:rFonts w:asciiTheme="minorHAnsi" w:hAnsiTheme="minorHAnsi" w:cstheme="minorHAnsi"/>
                          <w:color w:val="000000"/>
                          <w:kern w:val="24"/>
                          <w:sz w:val="22"/>
                          <w:szCs w:val="22"/>
                        </w:rPr>
                        <w:t xml:space="preserve">  </w:t>
                      </w:r>
                    </w:p>
                    <w:p w14:paraId="02AEC76E" w14:textId="5F9C009B" w:rsidR="00E6403B" w:rsidRPr="00724FEC" w:rsidRDefault="00E6403B" w:rsidP="00E07687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724FEC">
                        <w:rPr>
                          <w:rFonts w:asciiTheme="minorHAnsi" w:hAnsiTheme="minorHAnsi" w:cstheme="minorHAnsi"/>
                          <w:color w:val="000000"/>
                          <w:kern w:val="24"/>
                          <w:sz w:val="22"/>
                          <w:szCs w:val="22"/>
                        </w:rPr>
                        <w:t xml:space="preserve">Solicita-se ainda que informe a OMS de quaisquer alterações que tenha efectuado para utilização pública destes materiais, para fins de manutenção de registos e desenvolvimento contínuo, através do endereço electrónico </w:t>
                      </w:r>
                      <w:hyperlink r:id="rId12" w:history="1">
                        <w:r w:rsidRPr="00724FEC">
                          <w:rPr>
                            <w:rStyle w:val="Hyperlink"/>
                            <w:rFonts w:asciiTheme="minorHAnsi" w:hAnsiTheme="minorHAnsi" w:cstheme="minorHAnsi"/>
                            <w:kern w:val="24"/>
                            <w:sz w:val="22"/>
                            <w:szCs w:val="22"/>
                          </w:rPr>
                          <w:t>ihrhrt@who.int</w:t>
                        </w:r>
                      </w:hyperlink>
                    </w:p>
                    <w:p w14:paraId="06258887" w14:textId="1ED71B2C" w:rsidR="00E6403B" w:rsidRPr="00724FEC" w:rsidRDefault="00E6403B" w:rsidP="00E07687">
                      <w:pPr>
                        <w:pStyle w:val="NormalWeb"/>
                        <w:kinsoku w:val="0"/>
                        <w:overflowPunct w:val="0"/>
                        <w:spacing w:before="77" w:beforeAutospacing="0" w:after="0" w:afterAutospacing="0"/>
                        <w:textAlignment w:val="baseline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E09F2" w:rsidRPr="00E6403B" w:rsidSect="00B61CAE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DB098A" w14:textId="77777777" w:rsidR="00E6403B" w:rsidRDefault="00E6403B" w:rsidP="00F06ED1">
      <w:pPr>
        <w:spacing w:after="0" w:line="240" w:lineRule="auto"/>
      </w:pPr>
      <w:r>
        <w:separator/>
      </w:r>
    </w:p>
  </w:endnote>
  <w:endnote w:type="continuationSeparator" w:id="0">
    <w:p w14:paraId="6CE76DB8" w14:textId="77777777" w:rsidR="00E6403B" w:rsidRDefault="00E6403B" w:rsidP="00F06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0E39AA" w14:textId="77777777" w:rsidR="00E6403B" w:rsidRPr="00AE09F2" w:rsidRDefault="00E6403B">
    <w:pPr>
      <w:pBdr>
        <w:left w:val="single" w:sz="12" w:space="11" w:color="4F81BD" w:themeColor="accent1"/>
      </w:pBdr>
      <w:tabs>
        <w:tab w:val="left" w:pos="622"/>
      </w:tabs>
      <w:spacing w:after="0"/>
      <w:rPr>
        <w:rFonts w:asciiTheme="majorHAnsi" w:eastAsiaTheme="majorEastAsia" w:hAnsiTheme="majorHAnsi" w:cstheme="majorBidi"/>
        <w:color w:val="002060"/>
        <w:sz w:val="20"/>
        <w:szCs w:val="20"/>
      </w:rPr>
    </w:pPr>
    <w:r w:rsidRPr="00AE09F2">
      <w:rPr>
        <w:rFonts w:asciiTheme="majorHAnsi" w:eastAsiaTheme="majorEastAsia" w:hAnsiTheme="majorHAnsi" w:cstheme="majorBidi"/>
        <w:color w:val="002060"/>
        <w:sz w:val="20"/>
        <w:szCs w:val="20"/>
      </w:rPr>
      <w:fldChar w:fldCharType="begin"/>
    </w:r>
    <w:r w:rsidRPr="00AE09F2">
      <w:rPr>
        <w:rFonts w:asciiTheme="majorHAnsi" w:eastAsiaTheme="majorEastAsia" w:hAnsiTheme="majorHAnsi" w:cstheme="majorBidi"/>
        <w:color w:val="002060"/>
        <w:sz w:val="20"/>
        <w:szCs w:val="20"/>
      </w:rPr>
      <w:instrText xml:space="preserve"> PAGE   \* MERGEFORMAT </w:instrText>
    </w:r>
    <w:r w:rsidRPr="00AE09F2">
      <w:rPr>
        <w:rFonts w:asciiTheme="majorHAnsi" w:eastAsiaTheme="majorEastAsia" w:hAnsiTheme="majorHAnsi" w:cstheme="majorBidi"/>
        <w:color w:val="002060"/>
        <w:sz w:val="20"/>
        <w:szCs w:val="20"/>
      </w:rPr>
      <w:fldChar w:fldCharType="separate"/>
    </w:r>
    <w:r w:rsidR="00AA622F">
      <w:rPr>
        <w:rFonts w:asciiTheme="majorHAnsi" w:eastAsiaTheme="majorEastAsia" w:hAnsiTheme="majorHAnsi" w:cstheme="majorBidi"/>
        <w:noProof/>
        <w:color w:val="002060"/>
        <w:sz w:val="20"/>
        <w:szCs w:val="20"/>
      </w:rPr>
      <w:t>4</w:t>
    </w:r>
    <w:r w:rsidRPr="00AE09F2">
      <w:rPr>
        <w:rFonts w:asciiTheme="majorHAnsi" w:eastAsiaTheme="majorEastAsia" w:hAnsiTheme="majorHAnsi" w:cstheme="majorBidi"/>
        <w:noProof/>
        <w:color w:val="002060"/>
        <w:sz w:val="20"/>
        <w:szCs w:val="20"/>
      </w:rPr>
      <w:fldChar w:fldCharType="end"/>
    </w:r>
    <w:r>
      <w:rPr>
        <w:rFonts w:asciiTheme="majorHAnsi" w:eastAsiaTheme="majorEastAsia" w:hAnsiTheme="majorHAnsi" w:cstheme="majorBidi"/>
        <w:noProof/>
        <w:color w:val="002060"/>
        <w:sz w:val="20"/>
        <w:szCs w:val="20"/>
      </w:rPr>
      <w:t xml:space="preserve"> WHO RRT training package – B8 Community Engagement and Social Mobilization – V003 16/05</w:t>
    </w:r>
    <w:r w:rsidRPr="00AE09F2">
      <w:rPr>
        <w:rFonts w:asciiTheme="majorHAnsi" w:eastAsiaTheme="majorEastAsia" w:hAnsiTheme="majorHAnsi" w:cstheme="majorBidi"/>
        <w:noProof/>
        <w:color w:val="002060"/>
        <w:sz w:val="20"/>
        <w:szCs w:val="20"/>
      </w:rPr>
      <w:t>/2018</w:t>
    </w:r>
  </w:p>
  <w:p w14:paraId="38C6F0D8" w14:textId="77777777" w:rsidR="00E6403B" w:rsidRDefault="00E640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901AA2" w14:textId="77777777" w:rsidR="00E6403B" w:rsidRDefault="00E6403B" w:rsidP="00F06ED1">
      <w:pPr>
        <w:spacing w:after="0" w:line="240" w:lineRule="auto"/>
      </w:pPr>
      <w:r>
        <w:separator/>
      </w:r>
    </w:p>
  </w:footnote>
  <w:footnote w:type="continuationSeparator" w:id="0">
    <w:p w14:paraId="3D6CF0FA" w14:textId="77777777" w:rsidR="00E6403B" w:rsidRDefault="00E6403B" w:rsidP="00F06ED1">
      <w:pPr>
        <w:spacing w:after="0" w:line="240" w:lineRule="auto"/>
      </w:pPr>
      <w:r>
        <w:continuationSeparator/>
      </w:r>
    </w:p>
  </w:footnote>
  <w:footnote w:id="1">
    <w:p w14:paraId="1D639E50" w14:textId="11A2F9C8" w:rsidR="00E6403B" w:rsidRDefault="00E6403B" w:rsidP="00F06ED1">
      <w:pPr>
        <w:pStyle w:val="FootnoteText"/>
      </w:pPr>
      <w:r>
        <w:rPr>
          <w:rStyle w:val="FootnoteReference"/>
        </w:rPr>
        <w:footnoteRef/>
      </w:r>
      <w:r>
        <w:t xml:space="preserve"> Fonte:  Bringing the community together to plan for Disease Outbreaks and other Emergencies: A step-by-step guide for community leaders. AI.COMM project.  </w:t>
      </w:r>
      <w:r w:rsidRPr="00F06ED1">
        <w:t>http://www.globalhealthcommunication.org/tool_docs/94/bringing_the_community_together....pdf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F77226"/>
    <w:multiLevelType w:val="hybridMultilevel"/>
    <w:tmpl w:val="C9881B3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4A03C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BC75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309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5CC8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3E63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1CC3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12C2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5870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749F5838"/>
    <w:multiLevelType w:val="hybridMultilevel"/>
    <w:tmpl w:val="4006ACE6"/>
    <w:lvl w:ilvl="0" w:tplc="81E0ED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A03C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BC75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309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5CC8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3E63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1CC3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12C2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5870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19DD"/>
    <w:rsid w:val="00025A83"/>
    <w:rsid w:val="001804CA"/>
    <w:rsid w:val="001E652D"/>
    <w:rsid w:val="002019DD"/>
    <w:rsid w:val="002175E4"/>
    <w:rsid w:val="002A1A11"/>
    <w:rsid w:val="002B0E5C"/>
    <w:rsid w:val="00371A0E"/>
    <w:rsid w:val="00386FAC"/>
    <w:rsid w:val="00590E65"/>
    <w:rsid w:val="00724FEC"/>
    <w:rsid w:val="0088233E"/>
    <w:rsid w:val="008B34DB"/>
    <w:rsid w:val="00945A09"/>
    <w:rsid w:val="009A0938"/>
    <w:rsid w:val="009A3CA6"/>
    <w:rsid w:val="009D6BE2"/>
    <w:rsid w:val="00A354CC"/>
    <w:rsid w:val="00AA5D33"/>
    <w:rsid w:val="00AA622F"/>
    <w:rsid w:val="00AB123C"/>
    <w:rsid w:val="00AB778F"/>
    <w:rsid w:val="00AE09F2"/>
    <w:rsid w:val="00B61CAE"/>
    <w:rsid w:val="00E07687"/>
    <w:rsid w:val="00E518FA"/>
    <w:rsid w:val="00E6403B"/>
    <w:rsid w:val="00F06ED1"/>
    <w:rsid w:val="00F11A88"/>
    <w:rsid w:val="00F2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0A3E39"/>
  <w15:docId w15:val="{254D0574-FD26-449B-BCCF-2D866DE92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F06ED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6ED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06ED1"/>
    <w:rPr>
      <w:vertAlign w:val="superscript"/>
    </w:rPr>
  </w:style>
  <w:style w:type="table" w:styleId="TableGrid">
    <w:name w:val="Table Grid"/>
    <w:basedOn w:val="TableNormal"/>
    <w:uiPriority w:val="59"/>
    <w:rsid w:val="00AB7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A09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0938"/>
  </w:style>
  <w:style w:type="paragraph" w:styleId="Footer">
    <w:name w:val="footer"/>
    <w:basedOn w:val="Normal"/>
    <w:link w:val="FooterChar"/>
    <w:uiPriority w:val="99"/>
    <w:unhideWhenUsed/>
    <w:rsid w:val="009A09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0938"/>
  </w:style>
  <w:style w:type="character" w:styleId="Hyperlink">
    <w:name w:val="Hyperlink"/>
    <w:basedOn w:val="DefaultParagraphFont"/>
    <w:uiPriority w:val="99"/>
    <w:unhideWhenUsed/>
    <w:rsid w:val="00AE09F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E09F2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E07687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0"/>
      <w:szCs w:val="20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2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4038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50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91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hrhrt@who.in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xtranet.who.int/hsl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hrhrt@who.in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xtranet.who.int/hsl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85D91-A615-424C-85C2-E8F767AB6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WHO</Company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BAYUGO, Yolanda</dc:creator>
  <cp:lastModifiedBy>GOMEZ, Paula</cp:lastModifiedBy>
  <cp:revision>11</cp:revision>
  <dcterms:created xsi:type="dcterms:W3CDTF">2019-03-15T16:43:00Z</dcterms:created>
  <dcterms:modified xsi:type="dcterms:W3CDTF">2019-06-19T14:03:00Z</dcterms:modified>
</cp:coreProperties>
</file>