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EE94C" w14:textId="77777777" w:rsidR="0006267D" w:rsidRPr="00205BC3" w:rsidRDefault="0006267D" w:rsidP="0006267D">
      <w:pPr>
        <w:jc w:val="center"/>
        <w:rPr>
          <w:rFonts w:asciiTheme="minorHAnsi" w:hAnsiTheme="minorHAnsi" w:cstheme="minorHAnsi"/>
          <w:b/>
          <w:bCs/>
          <w:lang w:val="pt-PT"/>
        </w:rPr>
      </w:pPr>
      <w:bookmarkStart w:id="0" w:name="_Toc286925030"/>
      <w:bookmarkStart w:id="1" w:name="_Toc287010140"/>
      <w:r w:rsidRPr="00205BC3">
        <w:rPr>
          <w:rFonts w:asciiTheme="minorHAnsi" w:hAnsiTheme="minorHAnsi" w:cstheme="minorHAnsi"/>
          <w:b/>
          <w:bCs/>
          <w:lang w:val="pt-PT"/>
        </w:rPr>
        <w:t>Pacote de Formação das ERR</w:t>
      </w:r>
    </w:p>
    <w:p w14:paraId="59D8F3D5" w14:textId="77777777" w:rsidR="0006267D" w:rsidRPr="00205BC3" w:rsidRDefault="0006267D" w:rsidP="0006267D">
      <w:pPr>
        <w:jc w:val="center"/>
        <w:rPr>
          <w:rFonts w:asciiTheme="minorHAnsi" w:hAnsiTheme="minorHAnsi" w:cstheme="minorHAnsi"/>
          <w:b/>
          <w:bCs/>
          <w:lang w:val="pt-PT"/>
        </w:rPr>
      </w:pPr>
    </w:p>
    <w:p w14:paraId="730F0971" w14:textId="77777777" w:rsidR="008275C6" w:rsidRPr="00205BC3" w:rsidRDefault="003E4D7A" w:rsidP="008275C6">
      <w:pPr>
        <w:pStyle w:val="Heading2"/>
        <w:spacing w:before="0" w:after="0"/>
        <w:jc w:val="center"/>
        <w:rPr>
          <w:rFonts w:asciiTheme="minorHAnsi" w:hAnsiTheme="minorHAnsi" w:cstheme="minorHAnsi"/>
          <w:i w:val="0"/>
          <w:sz w:val="24"/>
          <w:szCs w:val="24"/>
          <w:lang w:val="pt-PT"/>
        </w:rPr>
      </w:pPr>
      <w:r w:rsidRPr="00205BC3">
        <w:rPr>
          <w:rFonts w:asciiTheme="minorHAnsi" w:hAnsiTheme="minorHAnsi" w:cstheme="minorHAnsi"/>
          <w:i w:val="0"/>
          <w:sz w:val="24"/>
          <w:szCs w:val="24"/>
          <w:lang w:val="pt-PT"/>
        </w:rPr>
        <w:t>A4.1</w:t>
      </w:r>
      <w:r w:rsidR="00FC7528" w:rsidRPr="00205BC3">
        <w:rPr>
          <w:rFonts w:asciiTheme="minorHAnsi" w:hAnsiTheme="minorHAnsi" w:cstheme="minorHAnsi"/>
          <w:i w:val="0"/>
          <w:sz w:val="24"/>
          <w:szCs w:val="24"/>
          <w:lang w:val="pt-PT"/>
        </w:rPr>
        <w:t>d</w:t>
      </w:r>
      <w:r w:rsidR="0006267D" w:rsidRPr="00205BC3">
        <w:rPr>
          <w:rFonts w:asciiTheme="minorHAnsi" w:hAnsiTheme="minorHAnsi" w:cstheme="minorHAnsi"/>
          <w:i w:val="0"/>
          <w:sz w:val="24"/>
          <w:szCs w:val="24"/>
          <w:lang w:val="pt-PT"/>
        </w:rPr>
        <w:t xml:space="preserve"> Modelo de relatório da investigação</w:t>
      </w:r>
    </w:p>
    <w:p w14:paraId="22EA36CE" w14:textId="77777777" w:rsidR="008275C6" w:rsidRPr="0006267D" w:rsidRDefault="008275C6" w:rsidP="008275C6">
      <w:pPr>
        <w:pStyle w:val="Heading2"/>
        <w:spacing w:before="0" w:after="0"/>
        <w:rPr>
          <w:rFonts w:ascii="Century Gothic" w:hAnsi="Century Gothic"/>
          <w:i w:val="0"/>
          <w:sz w:val="20"/>
          <w:szCs w:val="20"/>
          <w:lang w:val="pt-PT"/>
        </w:rPr>
      </w:pPr>
    </w:p>
    <w:p w14:paraId="0E452EF7" w14:textId="77777777" w:rsidR="008275C6" w:rsidRPr="0006267D" w:rsidRDefault="008275C6" w:rsidP="008275C6">
      <w:pPr>
        <w:pStyle w:val="Heading2"/>
        <w:spacing w:before="0" w:after="0"/>
        <w:rPr>
          <w:rFonts w:ascii="Century Gothic" w:hAnsi="Century Gothic"/>
          <w:i w:val="0"/>
          <w:sz w:val="20"/>
          <w:szCs w:val="20"/>
          <w:lang w:val="pt-PT"/>
        </w:rPr>
      </w:pPr>
    </w:p>
    <w:p w14:paraId="0F278111" w14:textId="77777777" w:rsidR="00E12422" w:rsidRPr="0006267D" w:rsidRDefault="0006267D" w:rsidP="008275C6">
      <w:pPr>
        <w:pStyle w:val="Heading2"/>
        <w:spacing w:before="0" w:after="0"/>
        <w:rPr>
          <w:rFonts w:ascii="Century Gothic" w:hAnsi="Century Gothic"/>
          <w:i w:val="0"/>
          <w:sz w:val="20"/>
          <w:szCs w:val="20"/>
          <w:lang w:val="pt-PT"/>
        </w:rPr>
      </w:pPr>
      <w:r w:rsidRPr="0006267D">
        <w:rPr>
          <w:rFonts w:ascii="Century Gothic" w:hAnsi="Century Gothic"/>
          <w:i w:val="0"/>
          <w:sz w:val="20"/>
          <w:szCs w:val="20"/>
          <w:lang w:val="pt-PT"/>
        </w:rPr>
        <w:t>An</w:t>
      </w:r>
      <w:r w:rsidR="00E12422" w:rsidRPr="0006267D">
        <w:rPr>
          <w:rFonts w:ascii="Century Gothic" w:hAnsi="Century Gothic"/>
          <w:i w:val="0"/>
          <w:sz w:val="20"/>
          <w:szCs w:val="20"/>
          <w:lang w:val="pt-PT"/>
        </w:rPr>
        <w:t>ex</w:t>
      </w:r>
      <w:r w:rsidRPr="0006267D">
        <w:rPr>
          <w:rFonts w:ascii="Century Gothic" w:hAnsi="Century Gothic"/>
          <w:i w:val="0"/>
          <w:sz w:val="20"/>
          <w:szCs w:val="20"/>
          <w:lang w:val="pt-PT"/>
        </w:rPr>
        <w:t>o</w:t>
      </w:r>
      <w:r w:rsidR="00E12422" w:rsidRPr="0006267D">
        <w:rPr>
          <w:rFonts w:ascii="Century Gothic" w:hAnsi="Century Gothic"/>
          <w:i w:val="0"/>
          <w:sz w:val="20"/>
          <w:szCs w:val="20"/>
          <w:lang w:val="pt-PT"/>
        </w:rPr>
        <w:t xml:space="preserve"> 7A: </w:t>
      </w:r>
      <w:r w:rsidRPr="0006267D">
        <w:rPr>
          <w:rFonts w:ascii="Century Gothic" w:hAnsi="Century Gothic"/>
          <w:i w:val="0"/>
          <w:sz w:val="20"/>
          <w:szCs w:val="20"/>
          <w:lang w:val="pt-PT"/>
        </w:rPr>
        <w:t xml:space="preserve">Quadro para o modelo de relatório distrital sobre os surtos </w:t>
      </w:r>
      <w:bookmarkEnd w:id="0"/>
      <w:bookmarkEnd w:id="1"/>
      <w:r w:rsidR="008275C6" w:rsidRPr="0006267D">
        <w:rPr>
          <w:rFonts w:ascii="Century Gothic" w:hAnsi="Century Gothic"/>
          <w:i w:val="0"/>
          <w:sz w:val="20"/>
          <w:szCs w:val="20"/>
          <w:lang w:val="pt-PT"/>
        </w:rPr>
        <w:t>(</w:t>
      </w:r>
      <w:r w:rsidRPr="0006267D">
        <w:rPr>
          <w:rFonts w:ascii="Century Gothic" w:hAnsi="Century Gothic"/>
          <w:i w:val="0"/>
          <w:sz w:val="20"/>
          <w:szCs w:val="20"/>
          <w:lang w:val="pt-PT"/>
        </w:rPr>
        <w:t>das orientações da VRID</w:t>
      </w:r>
      <w:r w:rsidR="008275C6" w:rsidRPr="0006267D">
        <w:rPr>
          <w:rFonts w:ascii="Century Gothic" w:hAnsi="Century Gothic"/>
          <w:i w:val="0"/>
          <w:sz w:val="20"/>
          <w:szCs w:val="20"/>
          <w:lang w:val="pt-PT"/>
        </w:rPr>
        <w:t>).</w:t>
      </w:r>
    </w:p>
    <w:p w14:paraId="798F19A7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sz w:val="12"/>
          <w:szCs w:val="12"/>
          <w:lang w:val="pt-PT"/>
        </w:rPr>
      </w:pPr>
    </w:p>
    <w:p w14:paraId="01D80984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sz w:val="12"/>
          <w:szCs w:val="12"/>
          <w:lang w:val="pt-PT"/>
        </w:rPr>
      </w:pPr>
    </w:p>
    <w:p w14:paraId="57F1CB84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T</w:t>
      </w:r>
      <w:r w:rsidR="0006267D" w:rsidRPr="0006267D">
        <w:rPr>
          <w:rFonts w:ascii="Century Gothic" w:hAnsi="Century Gothic"/>
          <w:sz w:val="20"/>
          <w:szCs w:val="20"/>
          <w:lang w:val="pt-PT"/>
        </w:rPr>
        <w:t>ítulo</w:t>
      </w:r>
      <w:r w:rsidRPr="0006267D">
        <w:rPr>
          <w:rFonts w:ascii="Century Gothic" w:hAnsi="Century Gothic"/>
          <w:sz w:val="20"/>
          <w:szCs w:val="20"/>
          <w:lang w:val="pt-PT"/>
        </w:rPr>
        <w:t>/Descri</w:t>
      </w:r>
      <w:r w:rsidR="0006267D" w:rsidRPr="0006267D">
        <w:rPr>
          <w:rFonts w:ascii="Century Gothic" w:hAnsi="Century Gothic"/>
          <w:sz w:val="20"/>
          <w:szCs w:val="20"/>
          <w:lang w:val="pt-PT"/>
        </w:rPr>
        <w:t>ção</w:t>
      </w:r>
      <w:r w:rsidRPr="0006267D">
        <w:rPr>
          <w:rFonts w:ascii="Century Gothic" w:hAnsi="Century Gothic"/>
          <w:sz w:val="20"/>
          <w:szCs w:val="20"/>
          <w:lang w:val="pt-PT"/>
        </w:rPr>
        <w:t xml:space="preserve"> (inclu</w:t>
      </w:r>
      <w:r w:rsidR="0006267D" w:rsidRPr="0006267D">
        <w:rPr>
          <w:rFonts w:ascii="Century Gothic" w:hAnsi="Century Gothic"/>
          <w:sz w:val="20"/>
          <w:szCs w:val="20"/>
          <w:lang w:val="pt-PT"/>
        </w:rPr>
        <w:t>ir</w:t>
      </w:r>
      <w:r w:rsidRPr="0006267D">
        <w:rPr>
          <w:rFonts w:ascii="Century Gothic" w:hAnsi="Century Gothic"/>
          <w:sz w:val="20"/>
          <w:szCs w:val="20"/>
          <w:lang w:val="pt-PT"/>
        </w:rPr>
        <w:t xml:space="preserve"> d</w:t>
      </w:r>
      <w:r w:rsidR="0006267D" w:rsidRPr="0006267D">
        <w:rPr>
          <w:rFonts w:ascii="Century Gothic" w:hAnsi="Century Gothic"/>
          <w:sz w:val="20"/>
          <w:szCs w:val="20"/>
          <w:lang w:val="pt-PT"/>
        </w:rPr>
        <w:t>oença</w:t>
      </w:r>
      <w:r w:rsidRPr="0006267D">
        <w:rPr>
          <w:rFonts w:ascii="Century Gothic" w:hAnsi="Century Gothic"/>
          <w:sz w:val="20"/>
          <w:szCs w:val="20"/>
          <w:lang w:val="pt-PT"/>
        </w:rPr>
        <w:t>/</w:t>
      </w:r>
      <w:r w:rsidR="0006267D" w:rsidRPr="0006267D">
        <w:rPr>
          <w:rFonts w:ascii="Century Gothic" w:hAnsi="Century Gothic"/>
          <w:sz w:val="20"/>
          <w:szCs w:val="20"/>
          <w:lang w:val="pt-PT"/>
        </w:rPr>
        <w:t xml:space="preserve">enfermidade </w:t>
      </w:r>
      <w:r w:rsidRPr="0006267D">
        <w:rPr>
          <w:rFonts w:ascii="Century Gothic" w:hAnsi="Century Gothic"/>
          <w:sz w:val="20"/>
          <w:szCs w:val="20"/>
          <w:lang w:val="pt-PT"/>
        </w:rPr>
        <w:t>investiga</w:t>
      </w:r>
      <w:r w:rsidR="0006267D" w:rsidRPr="0006267D">
        <w:rPr>
          <w:rFonts w:ascii="Century Gothic" w:hAnsi="Century Gothic"/>
          <w:sz w:val="20"/>
          <w:szCs w:val="20"/>
          <w:lang w:val="pt-PT"/>
        </w:rPr>
        <w:t>da</w:t>
      </w:r>
      <w:r w:rsidRPr="0006267D">
        <w:rPr>
          <w:rFonts w:ascii="Century Gothic" w:hAnsi="Century Gothic"/>
          <w:sz w:val="20"/>
          <w:szCs w:val="20"/>
          <w:lang w:val="pt-PT"/>
        </w:rPr>
        <w:t>)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 xml:space="preserve"> </w:t>
      </w:r>
      <w:r w:rsidRPr="0006267D">
        <w:rPr>
          <w:rFonts w:ascii="Century Gothic" w:hAnsi="Century Gothic"/>
          <w:sz w:val="20"/>
          <w:szCs w:val="20"/>
          <w:lang w:val="pt-PT"/>
        </w:rPr>
        <w:t>_______________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>_____________________________________________________________________________________________________________________________________________________________________</w:t>
      </w:r>
    </w:p>
    <w:p w14:paraId="72197A7E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567D2810" w14:textId="77777777" w:rsidR="00E12422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Per</w:t>
      </w:r>
      <w:r w:rsidR="0006267D">
        <w:rPr>
          <w:rFonts w:ascii="Century Gothic" w:hAnsi="Century Gothic"/>
          <w:sz w:val="20"/>
          <w:szCs w:val="20"/>
          <w:lang w:val="pt-PT"/>
        </w:rPr>
        <w:t>íodo</w:t>
      </w:r>
      <w:r w:rsidRPr="0006267D">
        <w:rPr>
          <w:rFonts w:ascii="Century Gothic" w:hAnsi="Century Gothic"/>
          <w:sz w:val="20"/>
          <w:szCs w:val="20"/>
          <w:lang w:val="pt-PT"/>
        </w:rPr>
        <w:t>__________________________________________________________________________________</w:t>
      </w:r>
      <w:r w:rsidR="0006267D">
        <w:rPr>
          <w:rFonts w:ascii="Century Gothic" w:hAnsi="Century Gothic"/>
          <w:sz w:val="20"/>
          <w:szCs w:val="20"/>
          <w:lang w:val="pt-PT"/>
        </w:rPr>
        <w:t>Local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 (</w:t>
      </w:r>
      <w:r w:rsidR="0006267D">
        <w:rPr>
          <w:rFonts w:ascii="Century Gothic" w:hAnsi="Century Gothic"/>
          <w:sz w:val="20"/>
          <w:szCs w:val="20"/>
          <w:lang w:val="pt-PT"/>
        </w:rPr>
        <w:t>aldeias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</w:t>
      </w:r>
      <w:r w:rsidR="0006267D">
        <w:rPr>
          <w:rFonts w:ascii="Century Gothic" w:hAnsi="Century Gothic"/>
          <w:sz w:val="20"/>
          <w:szCs w:val="20"/>
          <w:lang w:val="pt-PT"/>
        </w:rPr>
        <w:t>bairros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</w:t>
      </w:r>
      <w:r w:rsidR="0006267D">
        <w:rPr>
          <w:rFonts w:ascii="Century Gothic" w:hAnsi="Century Gothic"/>
          <w:sz w:val="20"/>
          <w:szCs w:val="20"/>
          <w:lang w:val="pt-PT"/>
        </w:rPr>
        <w:t>distrito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</w:t>
      </w:r>
      <w:r w:rsidR="0006267D">
        <w:rPr>
          <w:rFonts w:ascii="Century Gothic" w:hAnsi="Century Gothic"/>
          <w:sz w:val="20"/>
          <w:szCs w:val="20"/>
          <w:lang w:val="pt-PT"/>
        </w:rPr>
        <w:t>província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)</w:t>
      </w:r>
      <w:r w:rsidRPr="0006267D">
        <w:rPr>
          <w:rFonts w:ascii="Century Gothic" w:hAnsi="Century Gothic"/>
          <w:sz w:val="20"/>
          <w:szCs w:val="20"/>
          <w:lang w:val="pt-PT"/>
        </w:rPr>
        <w:t>_________________________________________</w:t>
      </w:r>
    </w:p>
    <w:p w14:paraId="1A76C40F" w14:textId="77777777" w:rsidR="00E12422" w:rsidRPr="0006267D" w:rsidRDefault="00E12422" w:rsidP="008275C6">
      <w:pPr>
        <w:autoSpaceDE w:val="0"/>
        <w:autoSpaceDN w:val="0"/>
        <w:adjustRightInd w:val="0"/>
        <w:ind w:left="720"/>
        <w:rPr>
          <w:rFonts w:ascii="Century Gothic" w:hAnsi="Century Gothic"/>
          <w:sz w:val="20"/>
          <w:szCs w:val="20"/>
          <w:lang w:val="pt-PT"/>
        </w:rPr>
      </w:pPr>
    </w:p>
    <w:p w14:paraId="594C298C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sz w:val="20"/>
          <w:szCs w:val="20"/>
          <w:lang w:val="pt-PT"/>
        </w:rPr>
      </w:pPr>
    </w:p>
    <w:p w14:paraId="59E2BF3E" w14:textId="77777777" w:rsidR="00E12422" w:rsidRPr="0006267D" w:rsidRDefault="0006267D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b/>
          <w:sz w:val="20"/>
          <w:szCs w:val="20"/>
          <w:lang w:val="pt-PT"/>
        </w:rPr>
        <w:t>Resumo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: _____________________________________________________________________</w:t>
      </w:r>
    </w:p>
    <w:p w14:paraId="6ACF9020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37D91D54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_____________________________________________________________________</w:t>
      </w:r>
    </w:p>
    <w:p w14:paraId="1F46E32E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7D861002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</w:p>
    <w:p w14:paraId="1B2114B0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I. Introdu</w:t>
      </w:r>
      <w:r w:rsidR="0006267D">
        <w:rPr>
          <w:rFonts w:ascii="Century Gothic" w:hAnsi="Century Gothic"/>
          <w:b/>
          <w:bCs/>
          <w:sz w:val="20"/>
          <w:szCs w:val="20"/>
          <w:lang w:val="pt-PT"/>
        </w:rPr>
        <w:t>ção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:</w:t>
      </w:r>
    </w:p>
    <w:p w14:paraId="5F23766F" w14:textId="77777777" w:rsidR="00E12422" w:rsidRPr="0006267D" w:rsidRDefault="0006267D" w:rsidP="008275C6">
      <w:pPr>
        <w:pStyle w:val="ListParagraph"/>
        <w:numPr>
          <w:ilvl w:val="1"/>
          <w:numId w:val="1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Contexto</w:t>
      </w:r>
    </w:p>
    <w:p w14:paraId="6E8359A3" w14:textId="77777777" w:rsidR="008275C6" w:rsidRPr="0006267D" w:rsidRDefault="008275C6" w:rsidP="008275C6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4012AFD6" w14:textId="77777777" w:rsidR="00E12422" w:rsidRPr="0006267D" w:rsidRDefault="0006267D" w:rsidP="008275C6">
      <w:pPr>
        <w:pStyle w:val="ListParagraph"/>
        <w:numPr>
          <w:ilvl w:val="1"/>
          <w:numId w:val="1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Razões para a investigação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 (</w:t>
      </w:r>
      <w:r>
        <w:rPr>
          <w:rFonts w:ascii="Century Gothic" w:hAnsi="Century Gothic"/>
          <w:sz w:val="20"/>
          <w:szCs w:val="20"/>
          <w:lang w:val="pt-PT"/>
        </w:rPr>
        <w:t>importância da saúde pública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</w:t>
      </w:r>
      <w:r>
        <w:rPr>
          <w:rFonts w:ascii="Century Gothic" w:hAnsi="Century Gothic"/>
          <w:sz w:val="20"/>
          <w:szCs w:val="20"/>
          <w:lang w:val="pt-PT"/>
        </w:rPr>
        <w:t>limiar alcançado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, etc.)</w:t>
      </w:r>
    </w:p>
    <w:p w14:paraId="27F074B1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4EB97CDF" w14:textId="77777777" w:rsidR="00E12422" w:rsidRPr="0006267D" w:rsidRDefault="00E12422" w:rsidP="008275C6">
      <w:pPr>
        <w:pStyle w:val="ListParagraph"/>
        <w:numPr>
          <w:ilvl w:val="1"/>
          <w:numId w:val="1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Investiga</w:t>
      </w:r>
      <w:r w:rsidR="0006267D">
        <w:rPr>
          <w:rFonts w:ascii="Century Gothic" w:hAnsi="Century Gothic"/>
          <w:sz w:val="20"/>
          <w:szCs w:val="20"/>
          <w:lang w:val="pt-PT"/>
        </w:rPr>
        <w:t>ção e preparação para os surtos</w:t>
      </w:r>
    </w:p>
    <w:p w14:paraId="3CF8574C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1E39C1BF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II. M</w:t>
      </w:r>
      <w:r w:rsidR="0006267D">
        <w:rPr>
          <w:rFonts w:ascii="Century Gothic" w:hAnsi="Century Gothic"/>
          <w:b/>
          <w:bCs/>
          <w:sz w:val="20"/>
          <w:szCs w:val="20"/>
          <w:lang w:val="pt-PT"/>
        </w:rPr>
        <w:t>étodos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:</w:t>
      </w:r>
    </w:p>
    <w:p w14:paraId="28CA8CA3" w14:textId="77777777" w:rsidR="00E12422" w:rsidRPr="0006267D" w:rsidRDefault="00E12422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Dat</w:t>
      </w:r>
      <w:r w:rsidR="0006267D">
        <w:rPr>
          <w:rFonts w:ascii="Century Gothic" w:hAnsi="Century Gothic"/>
          <w:sz w:val="20"/>
          <w:szCs w:val="20"/>
          <w:lang w:val="pt-PT"/>
        </w:rPr>
        <w:t>a</w:t>
      </w:r>
      <w:r w:rsidRPr="0006267D">
        <w:rPr>
          <w:rFonts w:ascii="Century Gothic" w:hAnsi="Century Gothic"/>
          <w:sz w:val="20"/>
          <w:szCs w:val="20"/>
          <w:lang w:val="pt-PT"/>
        </w:rPr>
        <w:t xml:space="preserve">s </w:t>
      </w:r>
      <w:r w:rsidR="0006267D">
        <w:rPr>
          <w:rFonts w:ascii="Century Gothic" w:hAnsi="Century Gothic"/>
          <w:sz w:val="20"/>
          <w:szCs w:val="20"/>
          <w:lang w:val="pt-PT"/>
        </w:rPr>
        <w:t>da investigação</w:t>
      </w:r>
    </w:p>
    <w:p w14:paraId="7D82114B" w14:textId="77777777" w:rsidR="008275C6" w:rsidRPr="0006267D" w:rsidRDefault="008275C6" w:rsidP="008275C6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01DE606A" w14:textId="77777777" w:rsidR="00E12422" w:rsidRPr="0006267D" w:rsidRDefault="0006267D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Local da investigação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 (</w:t>
      </w:r>
      <w:r>
        <w:rPr>
          <w:rFonts w:ascii="Century Gothic" w:hAnsi="Century Gothic"/>
          <w:sz w:val="20"/>
          <w:szCs w:val="20"/>
          <w:lang w:val="pt-PT"/>
        </w:rPr>
        <w:t>unidades de cuidados de saúde, aldeias, outro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>)</w:t>
      </w:r>
    </w:p>
    <w:p w14:paraId="4B2560DA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74017AB0" w14:textId="77777777" w:rsidR="00E12422" w:rsidRPr="0006267D" w:rsidRDefault="0006267D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Busca de casos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 (indica</w:t>
      </w:r>
      <w:r>
        <w:rPr>
          <w:rFonts w:ascii="Century Gothic" w:hAnsi="Century Gothic"/>
          <w:sz w:val="20"/>
          <w:szCs w:val="20"/>
          <w:lang w:val="pt-PT"/>
        </w:rPr>
        <w:t>r o que foi feito em relação à busca de casos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e.g., </w:t>
      </w:r>
      <w:r>
        <w:rPr>
          <w:rFonts w:ascii="Century Gothic" w:hAnsi="Century Gothic"/>
          <w:sz w:val="20"/>
          <w:szCs w:val="20"/>
          <w:lang w:val="pt-PT"/>
        </w:rPr>
        <w:t>análise dos registos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</w:t>
      </w:r>
      <w:r>
        <w:rPr>
          <w:rFonts w:ascii="Century Gothic" w:hAnsi="Century Gothic"/>
          <w:sz w:val="20"/>
          <w:szCs w:val="20"/>
          <w:lang w:val="pt-PT"/>
        </w:rPr>
        <w:t>investigação dos contactos, alerta de outras unidades de saúde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, o</w:t>
      </w:r>
      <w:r>
        <w:rPr>
          <w:rFonts w:ascii="Century Gothic" w:hAnsi="Century Gothic"/>
          <w:sz w:val="20"/>
          <w:szCs w:val="20"/>
          <w:lang w:val="pt-PT"/>
        </w:rPr>
        <w:t>utros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)</w:t>
      </w:r>
    </w:p>
    <w:p w14:paraId="77CCAD91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022B88CB" w14:textId="77777777" w:rsidR="00E12422" w:rsidRPr="0006267D" w:rsidRDefault="0006267D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 xml:space="preserve">Colheita de amostras laboratoriais </w:t>
      </w:r>
    </w:p>
    <w:p w14:paraId="5B2B83A0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2F656D97" w14:textId="77777777" w:rsidR="00E12422" w:rsidRPr="0006267D" w:rsidRDefault="00E12422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Descri</w:t>
      </w:r>
      <w:r w:rsidR="0006267D">
        <w:rPr>
          <w:rFonts w:ascii="Century Gothic" w:hAnsi="Century Gothic"/>
          <w:sz w:val="20"/>
          <w:szCs w:val="20"/>
          <w:lang w:val="pt-PT"/>
        </w:rPr>
        <w:t xml:space="preserve">ção da resposta e da intervenção </w:t>
      </w:r>
      <w:r w:rsidRPr="0006267D">
        <w:rPr>
          <w:rFonts w:ascii="Century Gothic" w:hAnsi="Century Gothic"/>
          <w:sz w:val="20"/>
          <w:szCs w:val="20"/>
          <w:lang w:val="pt-PT"/>
        </w:rPr>
        <w:t>(inclu</w:t>
      </w:r>
      <w:r w:rsidR="0006267D">
        <w:rPr>
          <w:rFonts w:ascii="Century Gothic" w:hAnsi="Century Gothic"/>
          <w:sz w:val="20"/>
          <w:szCs w:val="20"/>
          <w:lang w:val="pt-PT"/>
        </w:rPr>
        <w:t>ir datas</w:t>
      </w:r>
      <w:r w:rsidRPr="0006267D">
        <w:rPr>
          <w:rFonts w:ascii="Century Gothic" w:hAnsi="Century Gothic"/>
          <w:sz w:val="20"/>
          <w:szCs w:val="20"/>
          <w:lang w:val="pt-PT"/>
        </w:rPr>
        <w:t>)</w:t>
      </w:r>
    </w:p>
    <w:p w14:paraId="612A09E1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24C9D648" w14:textId="77777777" w:rsidR="00E12422" w:rsidRPr="0006267D" w:rsidRDefault="0006267D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Gestão dos dados</w:t>
      </w:r>
    </w:p>
    <w:p w14:paraId="6E2E3DF4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7F0BA383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III. Result</w:t>
      </w:r>
      <w:r w:rsidR="0006267D">
        <w:rPr>
          <w:rFonts w:ascii="Century Gothic" w:hAnsi="Century Gothic"/>
          <w:b/>
          <w:bCs/>
          <w:sz w:val="20"/>
          <w:szCs w:val="20"/>
          <w:lang w:val="pt-PT"/>
        </w:rPr>
        <w:t>ado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s:</w:t>
      </w:r>
    </w:p>
    <w:p w14:paraId="7C8CCBC0" w14:textId="77777777" w:rsidR="00E12422" w:rsidRPr="0006267D" w:rsidRDefault="0006267D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 xml:space="preserve">Data e local do primeiro caso conhecido (caso índice) </w:t>
      </w:r>
    </w:p>
    <w:p w14:paraId="40718BFF" w14:textId="77777777" w:rsidR="008275C6" w:rsidRPr="0006267D" w:rsidRDefault="008275C6" w:rsidP="008275C6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5F148A3B" w14:textId="77777777" w:rsidR="00E12422" w:rsidRPr="0006267D" w:rsidRDefault="00E12422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Dat</w:t>
      </w:r>
      <w:r w:rsidR="0006267D">
        <w:rPr>
          <w:rFonts w:ascii="Century Gothic" w:hAnsi="Century Gothic"/>
          <w:sz w:val="20"/>
          <w:szCs w:val="20"/>
          <w:lang w:val="pt-PT"/>
        </w:rPr>
        <w:t xml:space="preserve">a e unidade de saúde onde </w:t>
      </w:r>
      <w:r w:rsidR="00483BE3">
        <w:rPr>
          <w:rFonts w:ascii="Century Gothic" w:hAnsi="Century Gothic"/>
          <w:sz w:val="20"/>
          <w:szCs w:val="20"/>
          <w:lang w:val="pt-PT"/>
        </w:rPr>
        <w:t xml:space="preserve">o primeiro caso foi observado pelo </w:t>
      </w:r>
      <w:r w:rsidR="0006267D">
        <w:rPr>
          <w:rFonts w:ascii="Century Gothic" w:hAnsi="Century Gothic"/>
          <w:sz w:val="20"/>
          <w:szCs w:val="20"/>
          <w:lang w:val="pt-PT"/>
        </w:rPr>
        <w:t xml:space="preserve">sistema de cuidados de saúde </w:t>
      </w:r>
    </w:p>
    <w:p w14:paraId="3207D60C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71AB5150" w14:textId="77777777" w:rsidR="00E12422" w:rsidRPr="0006267D" w:rsidRDefault="00E12422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Result</w:t>
      </w:r>
      <w:r w:rsidR="00483BE3">
        <w:rPr>
          <w:rFonts w:ascii="Century Gothic" w:hAnsi="Century Gothic"/>
          <w:sz w:val="20"/>
          <w:szCs w:val="20"/>
          <w:lang w:val="pt-PT"/>
        </w:rPr>
        <w:t>ado</w:t>
      </w:r>
      <w:r w:rsidRPr="0006267D">
        <w:rPr>
          <w:rFonts w:ascii="Century Gothic" w:hAnsi="Century Gothic"/>
          <w:sz w:val="20"/>
          <w:szCs w:val="20"/>
          <w:lang w:val="pt-PT"/>
        </w:rPr>
        <w:t xml:space="preserve">s </w:t>
      </w:r>
      <w:r w:rsidR="00483BE3">
        <w:rPr>
          <w:rFonts w:ascii="Century Gothic" w:hAnsi="Century Gothic"/>
          <w:sz w:val="20"/>
          <w:szCs w:val="20"/>
          <w:lang w:val="pt-PT"/>
        </w:rPr>
        <w:t>de outras buscas de casos</w:t>
      </w:r>
    </w:p>
    <w:p w14:paraId="545B6ACA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521CA39E" w14:textId="77777777" w:rsidR="00E12422" w:rsidRPr="0006267D" w:rsidRDefault="00483BE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 xml:space="preserve">Análise laboratorial e resultados </w:t>
      </w:r>
    </w:p>
    <w:p w14:paraId="2FBDD53E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20AA7422" w14:textId="212F7E5C" w:rsidR="00E12422" w:rsidRPr="0006267D" w:rsidRDefault="00FE248F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Por escrito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, </w:t>
      </w:r>
      <w:r w:rsidR="00483BE3">
        <w:rPr>
          <w:rFonts w:ascii="Century Gothic" w:hAnsi="Century Gothic"/>
          <w:sz w:val="20"/>
          <w:szCs w:val="20"/>
          <w:lang w:val="pt-PT"/>
        </w:rPr>
        <w:t xml:space="preserve">descrever as principais características dos resultados da análise de tempo, lugar e pessoa </w:t>
      </w:r>
    </w:p>
    <w:p w14:paraId="4635F034" w14:textId="77777777" w:rsidR="008275C6" w:rsidRPr="0006267D" w:rsidRDefault="008275C6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</w:p>
    <w:p w14:paraId="1E4CC90B" w14:textId="2AA3127B" w:rsidR="00E12422" w:rsidRPr="0006267D" w:rsidRDefault="008159AD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Para resultados detalhados por tempo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 </w:t>
      </w:r>
      <w:r>
        <w:rPr>
          <w:rFonts w:ascii="Century Gothic" w:hAnsi="Century Gothic"/>
          <w:sz w:val="20"/>
          <w:szCs w:val="20"/>
          <w:lang w:val="pt-PT"/>
        </w:rPr>
        <w:t>(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>curv</w:t>
      </w:r>
      <w:r>
        <w:rPr>
          <w:rFonts w:ascii="Century Gothic" w:hAnsi="Century Gothic"/>
          <w:sz w:val="20"/>
          <w:szCs w:val="20"/>
          <w:lang w:val="pt-PT"/>
        </w:rPr>
        <w:t>a epidémica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 xml:space="preserve">), </w:t>
      </w:r>
      <w:r>
        <w:rPr>
          <w:rFonts w:ascii="Century Gothic" w:hAnsi="Century Gothic"/>
          <w:sz w:val="20"/>
          <w:szCs w:val="20"/>
          <w:lang w:val="pt-PT"/>
        </w:rPr>
        <w:t xml:space="preserve">local 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>(map</w:t>
      </w:r>
      <w:r>
        <w:rPr>
          <w:rFonts w:ascii="Century Gothic" w:hAnsi="Century Gothic"/>
          <w:sz w:val="20"/>
          <w:szCs w:val="20"/>
          <w:lang w:val="pt-PT"/>
        </w:rPr>
        <w:t>a</w:t>
      </w:r>
      <w:r w:rsidR="008275C6" w:rsidRPr="0006267D">
        <w:rPr>
          <w:rFonts w:ascii="Century Gothic" w:hAnsi="Century Gothic"/>
          <w:sz w:val="20"/>
          <w:szCs w:val="20"/>
          <w:lang w:val="pt-PT"/>
        </w:rPr>
        <w:t>)</w:t>
      </w:r>
      <w:r>
        <w:rPr>
          <w:rFonts w:ascii="Century Gothic" w:hAnsi="Century Gothic"/>
          <w:sz w:val="20"/>
          <w:szCs w:val="20"/>
          <w:lang w:val="pt-PT"/>
        </w:rPr>
        <w:t xml:space="preserve"> e características pessoais 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(tab</w:t>
      </w:r>
      <w:r>
        <w:rPr>
          <w:rFonts w:ascii="Century Gothic" w:hAnsi="Century Gothic"/>
          <w:sz w:val="20"/>
          <w:szCs w:val="20"/>
          <w:lang w:val="pt-PT"/>
        </w:rPr>
        <w:t>ela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 xml:space="preserve">s) </w:t>
      </w:r>
      <w:r>
        <w:rPr>
          <w:rFonts w:ascii="Century Gothic" w:hAnsi="Century Gothic"/>
          <w:sz w:val="20"/>
          <w:szCs w:val="20"/>
          <w:lang w:val="pt-PT"/>
        </w:rPr>
        <w:t>e listas ordenadas</w:t>
      </w:r>
    </w:p>
    <w:p w14:paraId="360F4333" w14:textId="77777777" w:rsidR="00FE248F" w:rsidRDefault="00E12422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Result</w:t>
      </w:r>
      <w:r w:rsidR="008159AD">
        <w:rPr>
          <w:rFonts w:ascii="Century Gothic" w:hAnsi="Century Gothic"/>
          <w:sz w:val="20"/>
          <w:szCs w:val="20"/>
          <w:lang w:val="pt-PT"/>
        </w:rPr>
        <w:t>ados da resposta e evidências do impacto</w:t>
      </w:r>
    </w:p>
    <w:p w14:paraId="02C96FC9" w14:textId="0291C2B7" w:rsidR="008275C6" w:rsidRPr="0006267D" w:rsidRDefault="008159AD" w:rsidP="00FE248F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 xml:space="preserve"> </w:t>
      </w:r>
    </w:p>
    <w:p w14:paraId="04D21BC2" w14:textId="7712DA9C" w:rsidR="00E12422" w:rsidRDefault="00E12422" w:rsidP="008275C6">
      <w:pPr>
        <w:pStyle w:val="text"/>
        <w:tabs>
          <w:tab w:val="left" w:pos="0"/>
        </w:tabs>
        <w:spacing w:line="240" w:lineRule="auto"/>
        <w:ind w:left="0"/>
        <w:rPr>
          <w:rFonts w:ascii="Century Gothic" w:hAnsi="Century Gothic"/>
          <w:i/>
          <w:sz w:val="20"/>
          <w:szCs w:val="20"/>
          <w:lang w:val="pt-PT"/>
        </w:rPr>
      </w:pPr>
      <w:r w:rsidRPr="0006267D">
        <w:rPr>
          <w:rFonts w:ascii="Century Gothic" w:hAnsi="Century Gothic"/>
          <w:i/>
          <w:sz w:val="20"/>
          <w:szCs w:val="20"/>
          <w:lang w:val="pt-PT"/>
        </w:rPr>
        <w:t>NB: Inclu</w:t>
      </w:r>
      <w:r w:rsidR="008159AD">
        <w:rPr>
          <w:rFonts w:ascii="Century Gothic" w:hAnsi="Century Gothic"/>
          <w:i/>
          <w:sz w:val="20"/>
          <w:szCs w:val="20"/>
          <w:lang w:val="pt-PT"/>
        </w:rPr>
        <w:t>ir o seguinte no relatório</w:t>
      </w:r>
      <w:r w:rsidR="008275C6" w:rsidRPr="0006267D">
        <w:rPr>
          <w:rFonts w:ascii="Century Gothic" w:hAnsi="Century Gothic"/>
          <w:i/>
          <w:sz w:val="20"/>
          <w:szCs w:val="20"/>
          <w:lang w:val="pt-PT"/>
        </w:rPr>
        <w:t>: curv</w:t>
      </w:r>
      <w:r w:rsidR="008159AD">
        <w:rPr>
          <w:rFonts w:ascii="Century Gothic" w:hAnsi="Century Gothic"/>
          <w:i/>
          <w:sz w:val="20"/>
          <w:szCs w:val="20"/>
          <w:lang w:val="pt-PT"/>
        </w:rPr>
        <w:t>a epidémica</w:t>
      </w:r>
      <w:r w:rsidR="008275C6" w:rsidRPr="0006267D">
        <w:rPr>
          <w:rFonts w:ascii="Century Gothic" w:hAnsi="Century Gothic"/>
          <w:i/>
          <w:sz w:val="20"/>
          <w:szCs w:val="20"/>
          <w:lang w:val="pt-PT"/>
        </w:rPr>
        <w:t xml:space="preserve">; </w:t>
      </w:r>
      <w:r w:rsidR="008159AD">
        <w:rPr>
          <w:rFonts w:ascii="Century Gothic" w:hAnsi="Century Gothic"/>
          <w:i/>
          <w:sz w:val="20"/>
          <w:szCs w:val="20"/>
          <w:lang w:val="pt-PT"/>
        </w:rPr>
        <w:t xml:space="preserve">local </w:t>
      </w:r>
      <w:r w:rsidR="008275C6" w:rsidRPr="0006267D">
        <w:rPr>
          <w:rFonts w:ascii="Century Gothic" w:hAnsi="Century Gothic"/>
          <w:i/>
          <w:sz w:val="20"/>
          <w:szCs w:val="20"/>
          <w:lang w:val="pt-PT"/>
        </w:rPr>
        <w:t>(</w:t>
      </w:r>
      <w:r w:rsidR="008159AD">
        <w:rPr>
          <w:rFonts w:ascii="Century Gothic" w:hAnsi="Century Gothic"/>
          <w:i/>
          <w:sz w:val="20"/>
          <w:szCs w:val="20"/>
          <w:lang w:val="pt-PT"/>
        </w:rPr>
        <w:t>mapa de localização</w:t>
      </w:r>
      <w:r w:rsidRPr="0006267D">
        <w:rPr>
          <w:rFonts w:ascii="Century Gothic" w:hAnsi="Century Gothic"/>
          <w:i/>
          <w:sz w:val="20"/>
          <w:szCs w:val="20"/>
          <w:lang w:val="pt-PT"/>
        </w:rPr>
        <w:t xml:space="preserve">); </w:t>
      </w:r>
      <w:r w:rsidR="008159AD">
        <w:rPr>
          <w:rFonts w:ascii="Century Gothic" w:hAnsi="Century Gothic"/>
          <w:i/>
          <w:sz w:val="20"/>
          <w:szCs w:val="20"/>
          <w:lang w:val="pt-PT"/>
        </w:rPr>
        <w:t xml:space="preserve">características pessoais </w:t>
      </w:r>
      <w:r w:rsidR="008275C6" w:rsidRPr="0006267D">
        <w:rPr>
          <w:rFonts w:ascii="Century Gothic" w:hAnsi="Century Gothic"/>
          <w:i/>
          <w:sz w:val="20"/>
          <w:szCs w:val="20"/>
          <w:lang w:val="pt-PT"/>
        </w:rPr>
        <w:t>(</w:t>
      </w:r>
      <w:r w:rsidR="008159AD">
        <w:rPr>
          <w:rFonts w:ascii="Century Gothic" w:hAnsi="Century Gothic"/>
          <w:i/>
          <w:sz w:val="20"/>
          <w:szCs w:val="20"/>
          <w:lang w:val="pt-PT"/>
        </w:rPr>
        <w:t>tabela</w:t>
      </w:r>
      <w:r w:rsidR="008275C6" w:rsidRPr="0006267D">
        <w:rPr>
          <w:rFonts w:ascii="Century Gothic" w:hAnsi="Century Gothic"/>
          <w:i/>
          <w:sz w:val="20"/>
          <w:szCs w:val="20"/>
          <w:lang w:val="pt-PT"/>
        </w:rPr>
        <w:t xml:space="preserve">) </w:t>
      </w:r>
      <w:r w:rsidR="008159AD">
        <w:rPr>
          <w:rFonts w:ascii="Century Gothic" w:hAnsi="Century Gothic"/>
          <w:i/>
          <w:sz w:val="20"/>
          <w:szCs w:val="20"/>
          <w:lang w:val="pt-PT"/>
        </w:rPr>
        <w:t>e listas ordenadas</w:t>
      </w:r>
      <w:r w:rsidR="008275C6" w:rsidRPr="0006267D">
        <w:rPr>
          <w:rFonts w:ascii="Century Gothic" w:hAnsi="Century Gothic"/>
          <w:i/>
          <w:sz w:val="20"/>
          <w:szCs w:val="20"/>
          <w:lang w:val="pt-PT"/>
        </w:rPr>
        <w:t>.</w:t>
      </w:r>
    </w:p>
    <w:p w14:paraId="2CE78906" w14:textId="77777777" w:rsidR="00FE248F" w:rsidRPr="0006267D" w:rsidRDefault="00FE248F" w:rsidP="008275C6">
      <w:pPr>
        <w:pStyle w:val="text"/>
        <w:tabs>
          <w:tab w:val="left" w:pos="0"/>
        </w:tabs>
        <w:spacing w:line="240" w:lineRule="auto"/>
        <w:ind w:left="0"/>
        <w:rPr>
          <w:rFonts w:ascii="Century Gothic" w:hAnsi="Century Gothic"/>
          <w:i/>
          <w:sz w:val="20"/>
          <w:szCs w:val="20"/>
          <w:lang w:val="pt-PT"/>
        </w:rPr>
      </w:pPr>
    </w:p>
    <w:p w14:paraId="0B7F9BA0" w14:textId="5EA5E09D" w:rsidR="00E12422" w:rsidRPr="0006267D" w:rsidRDefault="00E12422" w:rsidP="008275C6">
      <w:pPr>
        <w:rPr>
          <w:rFonts w:ascii="Century Gothic" w:hAnsi="Century Gothic"/>
          <w:b/>
          <w:bCs/>
          <w:sz w:val="20"/>
          <w:lang w:val="pt-PT"/>
        </w:rPr>
      </w:pPr>
      <w:r w:rsidRPr="0006267D">
        <w:rPr>
          <w:rFonts w:ascii="Century Gothic" w:hAnsi="Century Gothic"/>
          <w:b/>
          <w:bCs/>
          <w:sz w:val="20"/>
          <w:lang w:val="pt-PT"/>
        </w:rPr>
        <w:t xml:space="preserve">IV. </w:t>
      </w:r>
      <w:r w:rsidR="008159AD">
        <w:rPr>
          <w:rFonts w:ascii="Century Gothic" w:hAnsi="Century Gothic"/>
          <w:b/>
          <w:bCs/>
          <w:sz w:val="20"/>
          <w:lang w:val="pt-PT"/>
        </w:rPr>
        <w:t xml:space="preserve">Autoavaliação da oportunidade e qualidade da preparação, detecção, investigação e resposta </w:t>
      </w:r>
      <w:r w:rsidR="00FE248F">
        <w:rPr>
          <w:rFonts w:ascii="Century Gothic" w:hAnsi="Century Gothic"/>
          <w:b/>
          <w:bCs/>
          <w:sz w:val="20"/>
          <w:lang w:val="pt-PT"/>
        </w:rPr>
        <w:t>aos surtos</w:t>
      </w:r>
    </w:p>
    <w:p w14:paraId="398211CC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4DF19109" w14:textId="2A032F07" w:rsidR="00E12422" w:rsidRPr="0006267D" w:rsidRDefault="00B0022B" w:rsidP="008275C6">
      <w:pPr>
        <w:pStyle w:val="Heading7"/>
        <w:rPr>
          <w:rFonts w:ascii="Century Gothic" w:hAnsi="Century Gothic"/>
          <w:sz w:val="18"/>
          <w:szCs w:val="20"/>
          <w:lang w:val="pt-PT"/>
        </w:rPr>
      </w:pPr>
      <w:r>
        <w:rPr>
          <w:rFonts w:ascii="Century Gothic" w:hAnsi="Century Gothic"/>
          <w:sz w:val="18"/>
          <w:szCs w:val="20"/>
          <w:lang w:val="pt-PT"/>
        </w:rPr>
        <w:t>Preparação para as epidemias</w:t>
      </w:r>
    </w:p>
    <w:p w14:paraId="4755D59E" w14:textId="77777777" w:rsidR="008275C6" w:rsidRPr="0006267D" w:rsidRDefault="008275C6" w:rsidP="008275C6">
      <w:pPr>
        <w:rPr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992"/>
        <w:gridCol w:w="1134"/>
      </w:tblGrid>
      <w:tr w:rsidR="00E12422" w:rsidRPr="0006267D" w14:paraId="7C25C1E5" w14:textId="77777777" w:rsidTr="008275C6">
        <w:tc>
          <w:tcPr>
            <w:tcW w:w="7054" w:type="dxa"/>
            <w:vAlign w:val="center"/>
          </w:tcPr>
          <w:p w14:paraId="42F0F5F3" w14:textId="113C0B5A" w:rsidR="00E12422" w:rsidRPr="0006267D" w:rsidRDefault="00E12422" w:rsidP="00B0022B">
            <w:pPr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Indica</w:t>
            </w:r>
            <w:r w:rsidR="00B0022B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</w:t>
            </w: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or</w:t>
            </w:r>
          </w:p>
        </w:tc>
        <w:tc>
          <w:tcPr>
            <w:tcW w:w="992" w:type="dxa"/>
          </w:tcPr>
          <w:p w14:paraId="3118462B" w14:textId="667F0DBA" w:rsidR="00E12422" w:rsidRPr="0006267D" w:rsidRDefault="00B0022B" w:rsidP="008275C6">
            <w:pPr>
              <w:jc w:val="center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Sim</w:t>
            </w:r>
          </w:p>
        </w:tc>
        <w:tc>
          <w:tcPr>
            <w:tcW w:w="1134" w:type="dxa"/>
          </w:tcPr>
          <w:p w14:paraId="0B489FC3" w14:textId="73F57129" w:rsidR="00E12422" w:rsidRPr="0006267D" w:rsidRDefault="00B0022B" w:rsidP="008275C6">
            <w:pPr>
              <w:jc w:val="center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Não</w:t>
            </w:r>
          </w:p>
        </w:tc>
      </w:tr>
      <w:tr w:rsidR="00E12422" w:rsidRPr="00B65C6F" w14:paraId="179F7E1F" w14:textId="77777777" w:rsidTr="008275C6">
        <w:tc>
          <w:tcPr>
            <w:tcW w:w="7054" w:type="dxa"/>
            <w:vAlign w:val="center"/>
          </w:tcPr>
          <w:p w14:paraId="4F8C6806" w14:textId="1468E179" w:rsidR="00E12422" w:rsidRPr="0006267D" w:rsidRDefault="00B0022B" w:rsidP="00B0022B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Havia medicamentos a materiais médicos adequados disponíveis no início do surto?</w:t>
            </w:r>
          </w:p>
        </w:tc>
        <w:tc>
          <w:tcPr>
            <w:tcW w:w="992" w:type="dxa"/>
          </w:tcPr>
          <w:p w14:paraId="587F9581" w14:textId="77777777" w:rsidR="00E12422" w:rsidRPr="0006267D" w:rsidRDefault="00E12422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34" w:type="dxa"/>
          </w:tcPr>
          <w:p w14:paraId="31976236" w14:textId="77777777" w:rsidR="00E12422" w:rsidRPr="0006267D" w:rsidRDefault="00E12422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  <w:tr w:rsidR="00E12422" w:rsidRPr="00B65C6F" w14:paraId="1FFB7C8A" w14:textId="77777777" w:rsidTr="008275C6">
        <w:tc>
          <w:tcPr>
            <w:tcW w:w="7054" w:type="dxa"/>
            <w:vAlign w:val="center"/>
          </w:tcPr>
          <w:p w14:paraId="5CB63032" w14:textId="6E0F5934" w:rsidR="00E12422" w:rsidRPr="0006267D" w:rsidRDefault="00B0022B" w:rsidP="00B0022B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Os protocolos de tratamento estavam acessíveis aos profissionais de saúde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?   </w:t>
            </w:r>
          </w:p>
        </w:tc>
        <w:tc>
          <w:tcPr>
            <w:tcW w:w="992" w:type="dxa"/>
          </w:tcPr>
          <w:p w14:paraId="5463CC33" w14:textId="77777777" w:rsidR="00E12422" w:rsidRPr="0006267D" w:rsidRDefault="00E12422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34" w:type="dxa"/>
          </w:tcPr>
          <w:p w14:paraId="139D98CC" w14:textId="77777777" w:rsidR="00E12422" w:rsidRPr="0006267D" w:rsidRDefault="00E12422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  <w:tr w:rsidR="00E12422" w:rsidRPr="00B65C6F" w14:paraId="25C5B82F" w14:textId="77777777" w:rsidTr="008275C6">
        <w:tc>
          <w:tcPr>
            <w:tcW w:w="7054" w:type="dxa"/>
            <w:vAlign w:val="center"/>
          </w:tcPr>
          <w:p w14:paraId="0DE576FA" w14:textId="790273EF" w:rsidR="00E12422" w:rsidRPr="0006267D" w:rsidRDefault="00B0022B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A comissão distrital de gestão das epidemias reúne-se regularmente como parte da preparação para as epidemias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?</w:t>
            </w:r>
          </w:p>
          <w:p w14:paraId="37121B2E" w14:textId="3F6064F1" w:rsidR="00E12422" w:rsidRPr="0006267D" w:rsidRDefault="00B0022B" w:rsidP="00B0022B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Existia um plano de Preparação e Resposta às Epidemias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? </w:t>
            </w:r>
          </w:p>
        </w:tc>
        <w:tc>
          <w:tcPr>
            <w:tcW w:w="992" w:type="dxa"/>
          </w:tcPr>
          <w:p w14:paraId="4CA97CB1" w14:textId="77777777" w:rsidR="00E12422" w:rsidRPr="0006267D" w:rsidRDefault="00E12422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34" w:type="dxa"/>
          </w:tcPr>
          <w:p w14:paraId="1D2168FF" w14:textId="77777777" w:rsidR="00E12422" w:rsidRPr="0006267D" w:rsidRDefault="00E12422" w:rsidP="008275C6">
            <w:pPr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</w:tbl>
    <w:p w14:paraId="2D37A9BC" w14:textId="77777777" w:rsidR="00E12422" w:rsidRPr="0006267D" w:rsidRDefault="00E12422" w:rsidP="008275C6">
      <w:pPr>
        <w:tabs>
          <w:tab w:val="left" w:pos="5940"/>
        </w:tabs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pt-PT"/>
        </w:rPr>
      </w:pPr>
    </w:p>
    <w:p w14:paraId="4B774FC9" w14:textId="18EA65AA" w:rsidR="00E12422" w:rsidRPr="0006267D" w:rsidRDefault="00B0022B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  <w:r>
        <w:rPr>
          <w:rFonts w:ascii="Century Gothic" w:hAnsi="Century Gothic"/>
          <w:b/>
          <w:bCs/>
          <w:sz w:val="18"/>
          <w:szCs w:val="20"/>
          <w:lang w:val="pt-PT"/>
        </w:rPr>
        <w:t>Detecção do surto</w:t>
      </w:r>
    </w:p>
    <w:p w14:paraId="3B3CBE97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2"/>
        <w:gridCol w:w="970"/>
        <w:gridCol w:w="1139"/>
        <w:gridCol w:w="1091"/>
      </w:tblGrid>
      <w:tr w:rsidR="00530707" w:rsidRPr="0006267D" w14:paraId="2221F64A" w14:textId="77777777" w:rsidTr="0006267D">
        <w:tc>
          <w:tcPr>
            <w:tcW w:w="6318" w:type="dxa"/>
          </w:tcPr>
          <w:p w14:paraId="24688844" w14:textId="690948D6" w:rsidR="00E12422" w:rsidRPr="0006267D" w:rsidRDefault="00B0022B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>Indicad</w:t>
            </w:r>
            <w:r w:rsidR="00E12422" w:rsidRPr="0006267D"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>or</w:t>
            </w:r>
          </w:p>
        </w:tc>
        <w:tc>
          <w:tcPr>
            <w:tcW w:w="990" w:type="dxa"/>
          </w:tcPr>
          <w:p w14:paraId="59405146" w14:textId="32ECE897" w:rsidR="00E12422" w:rsidRPr="0006267D" w:rsidRDefault="00B0022B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 xml:space="preserve">Data </w:t>
            </w:r>
            <w:r w:rsidR="00E12422" w:rsidRPr="0006267D"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>1</w:t>
            </w:r>
          </w:p>
        </w:tc>
        <w:tc>
          <w:tcPr>
            <w:tcW w:w="1170" w:type="dxa"/>
          </w:tcPr>
          <w:p w14:paraId="137AC997" w14:textId="35ECBE49" w:rsidR="00E12422" w:rsidRPr="0006267D" w:rsidRDefault="00B0022B" w:rsidP="00B0022B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 xml:space="preserve">Data </w:t>
            </w:r>
            <w:r w:rsidR="00E12422" w:rsidRPr="0006267D"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>2</w:t>
            </w:r>
          </w:p>
        </w:tc>
        <w:tc>
          <w:tcPr>
            <w:tcW w:w="1098" w:type="dxa"/>
          </w:tcPr>
          <w:p w14:paraId="6894738E" w14:textId="564CCDA9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>Interval</w:t>
            </w:r>
            <w:r w:rsidR="00B0022B"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  <w:t>o</w:t>
            </w:r>
          </w:p>
        </w:tc>
      </w:tr>
      <w:tr w:rsidR="00530707" w:rsidRPr="0006267D" w14:paraId="1C9B2778" w14:textId="77777777" w:rsidTr="0006267D">
        <w:tc>
          <w:tcPr>
            <w:tcW w:w="6318" w:type="dxa"/>
          </w:tcPr>
          <w:p w14:paraId="0BF23759" w14:textId="206592EA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Interval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 xml:space="preserve">o entre início do caso índice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(o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u ocorrência de uma concentração invulgar a nível da comunidade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) [dat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e a chegada do primeiro caso de surto à unidade de saúde [data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</w:t>
            </w:r>
          </w:p>
          <w:p w14:paraId="6642093A" w14:textId="0FB224A7" w:rsidR="00E12422" w:rsidRPr="0006267D" w:rsidRDefault="00E12422" w:rsidP="00B0022B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: &lt;3 d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ia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s)</w:t>
            </w:r>
          </w:p>
        </w:tc>
        <w:tc>
          <w:tcPr>
            <w:tcW w:w="990" w:type="dxa"/>
          </w:tcPr>
          <w:p w14:paraId="0E68E33F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68E28DF3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566C879B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</w:tr>
      <w:tr w:rsidR="00530707" w:rsidRPr="0006267D" w14:paraId="229F43EC" w14:textId="77777777" w:rsidTr="0006267D">
        <w:tc>
          <w:tcPr>
            <w:tcW w:w="6318" w:type="dxa"/>
          </w:tcPr>
          <w:p w14:paraId="1D80F993" w14:textId="474FFFDF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Interval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o entre o primeiro caso de surto observado na unidade de saúde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(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ou data da travessia do limiar do surto na unidade de saúde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) [dat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e a notificação à equipa distrital de saúde</w:t>
            </w:r>
            <w:r w:rsidR="00FE248F">
              <w:rPr>
                <w:rFonts w:ascii="Century Gothic" w:hAnsi="Century Gothic"/>
                <w:sz w:val="18"/>
                <w:szCs w:val="20"/>
                <w:lang w:val="pt-PT"/>
              </w:rPr>
              <w:t xml:space="preserve"> [data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</w:t>
            </w:r>
          </w:p>
          <w:p w14:paraId="77F34DD9" w14:textId="75080A68" w:rsidR="00E12422" w:rsidRPr="0006267D" w:rsidRDefault="00E12422" w:rsidP="00B0022B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: 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 xml:space="preserve">em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24 ho</w:t>
            </w:r>
            <w:r w:rsidR="00B0022B">
              <w:rPr>
                <w:rFonts w:ascii="Century Gothic" w:hAnsi="Century Gothic"/>
                <w:sz w:val="18"/>
                <w:szCs w:val="20"/>
                <w:lang w:val="pt-PT"/>
              </w:rPr>
              <w:t>ra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s)</w:t>
            </w:r>
          </w:p>
        </w:tc>
        <w:tc>
          <w:tcPr>
            <w:tcW w:w="990" w:type="dxa"/>
          </w:tcPr>
          <w:p w14:paraId="4BFE68AE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7A02B5F2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550B03D7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</w:tr>
      <w:tr w:rsidR="00530707" w:rsidRPr="0006267D" w14:paraId="118ADF7C" w14:textId="77777777" w:rsidTr="0006267D">
        <w:tc>
          <w:tcPr>
            <w:tcW w:w="6318" w:type="dxa"/>
          </w:tcPr>
          <w:p w14:paraId="52FD6F07" w14:textId="513260AC" w:rsidR="00E12422" w:rsidRPr="0006267D" w:rsidRDefault="0053070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 xml:space="preserve">Intervalo acumulado entre o início do caso índice 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(o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u  ocorrência de uma concentração invulgar na comunidade ou na unidade de saúde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) [dat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 xml:space="preserve">e a notificação ao distrito 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</w:t>
            </w:r>
          </w:p>
          <w:p w14:paraId="5F994585" w14:textId="588940F2" w:rsidR="00E12422" w:rsidRPr="0006267D" w:rsidRDefault="00E12422" w:rsidP="0053070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 w:rsidR="00530707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: &lt;7 d</w:t>
            </w:r>
            <w:r w:rsidR="00530707">
              <w:rPr>
                <w:rFonts w:ascii="Century Gothic" w:hAnsi="Century Gothic"/>
                <w:sz w:val="18"/>
                <w:szCs w:val="20"/>
                <w:lang w:val="pt-PT"/>
              </w:rPr>
              <w:t>ia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s)</w:t>
            </w:r>
          </w:p>
        </w:tc>
        <w:tc>
          <w:tcPr>
            <w:tcW w:w="990" w:type="dxa"/>
          </w:tcPr>
          <w:p w14:paraId="160CE153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072CF71C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6310AB5C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  <w:lang w:val="pt-PT"/>
              </w:rPr>
            </w:pPr>
          </w:p>
        </w:tc>
      </w:tr>
    </w:tbl>
    <w:p w14:paraId="17AC6394" w14:textId="77777777" w:rsidR="00E12422" w:rsidRPr="0006267D" w:rsidRDefault="00E12422" w:rsidP="008275C6">
      <w:pPr>
        <w:rPr>
          <w:rFonts w:ascii="Century Gothic" w:hAnsi="Century Gothic"/>
          <w:sz w:val="18"/>
          <w:szCs w:val="20"/>
          <w:lang w:val="pt-PT"/>
        </w:rPr>
      </w:pPr>
    </w:p>
    <w:p w14:paraId="4B74DBD6" w14:textId="6317DF02" w:rsidR="00E12422" w:rsidRPr="0006267D" w:rsidRDefault="00530707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  <w:r>
        <w:rPr>
          <w:rFonts w:ascii="Century Gothic" w:hAnsi="Century Gothic"/>
          <w:b/>
          <w:bCs/>
          <w:sz w:val="18"/>
          <w:szCs w:val="20"/>
          <w:lang w:val="pt-PT"/>
        </w:rPr>
        <w:t xml:space="preserve">Investigação </w:t>
      </w:r>
      <w:r w:rsidR="00FE248F">
        <w:rPr>
          <w:rFonts w:ascii="Century Gothic" w:hAnsi="Century Gothic"/>
          <w:b/>
          <w:bCs/>
          <w:sz w:val="18"/>
          <w:szCs w:val="20"/>
          <w:lang w:val="pt-PT"/>
        </w:rPr>
        <w:t>d</w:t>
      </w:r>
      <w:r>
        <w:rPr>
          <w:rFonts w:ascii="Century Gothic" w:hAnsi="Century Gothic"/>
          <w:b/>
          <w:bCs/>
          <w:sz w:val="18"/>
          <w:szCs w:val="20"/>
          <w:lang w:val="pt-PT"/>
        </w:rPr>
        <w:t>o surto</w:t>
      </w:r>
    </w:p>
    <w:p w14:paraId="5D228DFC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134"/>
        <w:gridCol w:w="992"/>
      </w:tblGrid>
      <w:tr w:rsidR="00E12422" w:rsidRPr="0006267D" w14:paraId="52A639E9" w14:textId="77777777" w:rsidTr="008275C6">
        <w:tc>
          <w:tcPr>
            <w:tcW w:w="7054" w:type="dxa"/>
          </w:tcPr>
          <w:p w14:paraId="11ADF64F" w14:textId="1D16949F" w:rsidR="00E12422" w:rsidRPr="0006267D" w:rsidRDefault="00E12422" w:rsidP="0053070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Indica</w:t>
            </w:r>
            <w:r w:rsidR="0053070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</w:t>
            </w: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or</w:t>
            </w:r>
          </w:p>
        </w:tc>
        <w:tc>
          <w:tcPr>
            <w:tcW w:w="1134" w:type="dxa"/>
          </w:tcPr>
          <w:p w14:paraId="59CEEE8B" w14:textId="2D8F9D63" w:rsidR="00E12422" w:rsidRPr="0006267D" w:rsidRDefault="00B66D3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Sim</w:t>
            </w:r>
          </w:p>
        </w:tc>
        <w:tc>
          <w:tcPr>
            <w:tcW w:w="992" w:type="dxa"/>
          </w:tcPr>
          <w:p w14:paraId="72A22D06" w14:textId="0013AD3B" w:rsidR="00E12422" w:rsidRPr="0006267D" w:rsidRDefault="00B66D3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Não</w:t>
            </w:r>
          </w:p>
        </w:tc>
      </w:tr>
      <w:tr w:rsidR="00E12422" w:rsidRPr="00B65C6F" w14:paraId="6D89B22C" w14:textId="77777777" w:rsidTr="008275C6">
        <w:tc>
          <w:tcPr>
            <w:tcW w:w="7054" w:type="dxa"/>
          </w:tcPr>
          <w:p w14:paraId="4E088DDD" w14:textId="3F0899EA" w:rsidR="00E12422" w:rsidRPr="0006267D" w:rsidRDefault="00530707" w:rsidP="0053070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Os formulários do caso e as listas ordenadas estavam preenchidos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?   </w:t>
            </w:r>
          </w:p>
        </w:tc>
        <w:tc>
          <w:tcPr>
            <w:tcW w:w="1134" w:type="dxa"/>
          </w:tcPr>
          <w:p w14:paraId="3937388B" w14:textId="4FE6B995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992" w:type="dxa"/>
          </w:tcPr>
          <w:p w14:paraId="1680FD7F" w14:textId="49336FEA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  <w:tr w:rsidR="00E12422" w:rsidRPr="00B65C6F" w14:paraId="270D8D8E" w14:textId="77777777" w:rsidTr="008275C6">
        <w:tc>
          <w:tcPr>
            <w:tcW w:w="7054" w:type="dxa"/>
          </w:tcPr>
          <w:p w14:paraId="5685354C" w14:textId="7C898E9B" w:rsidR="00E12422" w:rsidRPr="0006267D" w:rsidRDefault="00530707" w:rsidP="0053070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 xml:space="preserve">Foram colhidas amostras laboratoriais 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caso necessário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)?  </w:t>
            </w:r>
          </w:p>
        </w:tc>
        <w:tc>
          <w:tcPr>
            <w:tcW w:w="1134" w:type="dxa"/>
          </w:tcPr>
          <w:p w14:paraId="4F5A936D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992" w:type="dxa"/>
          </w:tcPr>
          <w:p w14:paraId="60D6AF3C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</w:tbl>
    <w:p w14:paraId="4DFC449F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1"/>
        <w:gridCol w:w="970"/>
        <w:gridCol w:w="1140"/>
        <w:gridCol w:w="1091"/>
      </w:tblGrid>
      <w:tr w:rsidR="00E12422" w:rsidRPr="0006267D" w14:paraId="393BAA24" w14:textId="77777777" w:rsidTr="0006267D">
        <w:tc>
          <w:tcPr>
            <w:tcW w:w="6318" w:type="dxa"/>
          </w:tcPr>
          <w:p w14:paraId="61E15EE7" w14:textId="3F85F449" w:rsidR="00E12422" w:rsidRPr="0006267D" w:rsidRDefault="00E12422" w:rsidP="0053070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Indica</w:t>
            </w:r>
            <w:r w:rsidR="0053070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</w:t>
            </w: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or</w:t>
            </w:r>
          </w:p>
        </w:tc>
        <w:tc>
          <w:tcPr>
            <w:tcW w:w="990" w:type="dxa"/>
          </w:tcPr>
          <w:p w14:paraId="1E02A746" w14:textId="769F3EAF" w:rsidR="00E12422" w:rsidRPr="0006267D" w:rsidRDefault="0053070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Data 1</w:t>
            </w:r>
          </w:p>
        </w:tc>
        <w:tc>
          <w:tcPr>
            <w:tcW w:w="1170" w:type="dxa"/>
          </w:tcPr>
          <w:p w14:paraId="66D7FCB9" w14:textId="4867846E" w:rsidR="00E12422" w:rsidRPr="0006267D" w:rsidRDefault="0053070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Data 2</w:t>
            </w:r>
          </w:p>
        </w:tc>
        <w:tc>
          <w:tcPr>
            <w:tcW w:w="1098" w:type="dxa"/>
          </w:tcPr>
          <w:p w14:paraId="07072C50" w14:textId="46503BCA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Interval</w:t>
            </w:r>
            <w:r w:rsidR="0053070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</w:t>
            </w:r>
          </w:p>
        </w:tc>
      </w:tr>
      <w:tr w:rsidR="00E12422" w:rsidRPr="0006267D" w14:paraId="77F0FCC7" w14:textId="77777777" w:rsidTr="0006267D">
        <w:tc>
          <w:tcPr>
            <w:tcW w:w="6318" w:type="dxa"/>
          </w:tcPr>
          <w:p w14:paraId="40FAFFF1" w14:textId="409264EC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Interval</w:t>
            </w:r>
            <w:r w:rsidR="00530707">
              <w:rPr>
                <w:rFonts w:ascii="Century Gothic" w:hAnsi="Century Gothic"/>
                <w:sz w:val="18"/>
                <w:szCs w:val="20"/>
                <w:lang w:val="pt-PT"/>
              </w:rPr>
              <w:t xml:space="preserve">o entre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 a notificação ao distrito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e a investigação distrital conduzida no terreno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</w:t>
            </w:r>
          </w:p>
          <w:p w14:paraId="7839AAB9" w14:textId="01031716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: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em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48 ho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ra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s)</w:t>
            </w:r>
          </w:p>
        </w:tc>
        <w:tc>
          <w:tcPr>
            <w:tcW w:w="990" w:type="dxa"/>
          </w:tcPr>
          <w:p w14:paraId="575763CE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4E9CC58E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6F53ABC1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  <w:tr w:rsidR="00E12422" w:rsidRPr="00B65C6F" w14:paraId="23842990" w14:textId="77777777" w:rsidTr="0006267D">
        <w:tc>
          <w:tcPr>
            <w:tcW w:w="6318" w:type="dxa"/>
          </w:tcPr>
          <w:p w14:paraId="731E4D42" w14:textId="535DC17D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Interval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o entre o envio das amostras para o laboratório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e o recebimento dos resultados pelo distrito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dat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</w:t>
            </w:r>
          </w:p>
          <w:p w14:paraId="6C86DDA0" w14:textId="28ABC1A4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: 3-7 d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ia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s,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conforme o tipo de teste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)</w:t>
            </w:r>
          </w:p>
        </w:tc>
        <w:tc>
          <w:tcPr>
            <w:tcW w:w="990" w:type="dxa"/>
          </w:tcPr>
          <w:p w14:paraId="0CF13EAF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1DFE8748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4898A87A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</w:tbl>
    <w:p w14:paraId="203B399A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pt-PT"/>
        </w:rPr>
      </w:pPr>
    </w:p>
    <w:p w14:paraId="1B1D9CF1" w14:textId="40BC823C" w:rsidR="00E12422" w:rsidRPr="0006267D" w:rsidRDefault="00581437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  <w:r>
        <w:rPr>
          <w:rFonts w:ascii="Century Gothic" w:hAnsi="Century Gothic"/>
          <w:b/>
          <w:bCs/>
          <w:sz w:val="18"/>
          <w:szCs w:val="20"/>
          <w:lang w:val="pt-PT"/>
        </w:rPr>
        <w:t>Resposta ao surto</w:t>
      </w:r>
      <w:r w:rsidR="00E12422" w:rsidRPr="0006267D">
        <w:rPr>
          <w:rFonts w:ascii="Century Gothic" w:hAnsi="Century Gothic"/>
          <w:b/>
          <w:bCs/>
          <w:sz w:val="18"/>
          <w:szCs w:val="20"/>
          <w:lang w:val="pt-PT"/>
        </w:rPr>
        <w:t>:</w:t>
      </w:r>
    </w:p>
    <w:p w14:paraId="5A1A94C7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1"/>
        <w:gridCol w:w="970"/>
        <w:gridCol w:w="1140"/>
        <w:gridCol w:w="1091"/>
      </w:tblGrid>
      <w:tr w:rsidR="00581437" w:rsidRPr="0006267D" w14:paraId="2415B1D4" w14:textId="77777777" w:rsidTr="0006267D">
        <w:tc>
          <w:tcPr>
            <w:tcW w:w="6318" w:type="dxa"/>
          </w:tcPr>
          <w:p w14:paraId="48CA7E38" w14:textId="2C56BEC5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Indica</w:t>
            </w:r>
            <w:r w:rsidR="0058143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</w:t>
            </w: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or</w:t>
            </w:r>
          </w:p>
        </w:tc>
        <w:tc>
          <w:tcPr>
            <w:tcW w:w="990" w:type="dxa"/>
          </w:tcPr>
          <w:p w14:paraId="1B5901B6" w14:textId="5E192E2E" w:rsidR="00E12422" w:rsidRPr="0006267D" w:rsidRDefault="0058143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Data 1</w:t>
            </w:r>
          </w:p>
        </w:tc>
        <w:tc>
          <w:tcPr>
            <w:tcW w:w="1170" w:type="dxa"/>
          </w:tcPr>
          <w:p w14:paraId="40A37504" w14:textId="2A70D491" w:rsidR="00E12422" w:rsidRPr="0006267D" w:rsidRDefault="0058143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Data 2</w:t>
            </w:r>
          </w:p>
        </w:tc>
        <w:tc>
          <w:tcPr>
            <w:tcW w:w="1098" w:type="dxa"/>
          </w:tcPr>
          <w:p w14:paraId="59CCE262" w14:textId="45979A9D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Interval</w:t>
            </w:r>
            <w:r w:rsidR="0058143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</w:t>
            </w:r>
          </w:p>
        </w:tc>
      </w:tr>
      <w:tr w:rsidR="00581437" w:rsidRPr="00B65C6F" w14:paraId="129BCE61" w14:textId="77777777" w:rsidTr="0006267D">
        <w:tc>
          <w:tcPr>
            <w:tcW w:w="6318" w:type="dxa"/>
          </w:tcPr>
          <w:p w14:paraId="7F9AB89A" w14:textId="62691D3C" w:rsidR="00E12422" w:rsidRPr="0006267D" w:rsidRDefault="00581437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 xml:space="preserve">Intervalo entre a notificação do surto ao distrito 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 xml:space="preserve">e a resposta concreta pelo distrito 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</w:t>
            </w:r>
          </w:p>
          <w:p w14:paraId="6DA8DBD0" w14:textId="0752C6F7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(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: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em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48 ho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ra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s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 após a notificação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)</w:t>
            </w:r>
          </w:p>
        </w:tc>
        <w:tc>
          <w:tcPr>
            <w:tcW w:w="990" w:type="dxa"/>
          </w:tcPr>
          <w:p w14:paraId="02059BC0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2C34B87E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7D9685E6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</w:tbl>
    <w:p w14:paraId="7E492298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p w14:paraId="61EDB859" w14:textId="77777777" w:rsidR="00205BC3" w:rsidRDefault="00205B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p w14:paraId="56C12CBC" w14:textId="49EB461E" w:rsidR="00E12422" w:rsidRPr="0006267D" w:rsidRDefault="00581437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  <w:r>
        <w:rPr>
          <w:rFonts w:ascii="Century Gothic" w:hAnsi="Century Gothic"/>
          <w:b/>
          <w:bCs/>
          <w:sz w:val="18"/>
          <w:szCs w:val="20"/>
          <w:lang w:val="pt-PT"/>
        </w:rPr>
        <w:lastRenderedPageBreak/>
        <w:t>Avaliação e</w:t>
      </w:r>
      <w:r w:rsidR="00E12422" w:rsidRPr="0006267D">
        <w:rPr>
          <w:rFonts w:ascii="Century Gothic" w:hAnsi="Century Gothic"/>
          <w:b/>
          <w:bCs/>
          <w:sz w:val="18"/>
          <w:szCs w:val="20"/>
          <w:lang w:val="pt-PT"/>
        </w:rPr>
        <w:t xml:space="preserve"> Feedback:</w:t>
      </w:r>
    </w:p>
    <w:p w14:paraId="4BDE0A87" w14:textId="77777777" w:rsidR="008275C6" w:rsidRPr="0006267D" w:rsidRDefault="008275C6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8"/>
        <w:gridCol w:w="971"/>
        <w:gridCol w:w="1141"/>
        <w:gridCol w:w="1092"/>
      </w:tblGrid>
      <w:tr w:rsidR="00581437" w:rsidRPr="0006267D" w14:paraId="26FCE8EE" w14:textId="77777777" w:rsidTr="0006267D">
        <w:tc>
          <w:tcPr>
            <w:tcW w:w="6318" w:type="dxa"/>
          </w:tcPr>
          <w:p w14:paraId="2046BBE8" w14:textId="21D1FD24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Indica</w:t>
            </w:r>
            <w:r w:rsidR="0058143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</w:t>
            </w: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or</w:t>
            </w:r>
          </w:p>
        </w:tc>
        <w:tc>
          <w:tcPr>
            <w:tcW w:w="990" w:type="dxa"/>
          </w:tcPr>
          <w:p w14:paraId="54A3651C" w14:textId="78C25832" w:rsidR="00E12422" w:rsidRPr="0006267D" w:rsidRDefault="0058143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Data 1</w:t>
            </w:r>
          </w:p>
        </w:tc>
        <w:tc>
          <w:tcPr>
            <w:tcW w:w="1170" w:type="dxa"/>
          </w:tcPr>
          <w:p w14:paraId="1B6AB4FF" w14:textId="6D82807B" w:rsidR="00E12422" w:rsidRPr="0006267D" w:rsidRDefault="0058143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Data 2</w:t>
            </w:r>
          </w:p>
        </w:tc>
        <w:tc>
          <w:tcPr>
            <w:tcW w:w="1098" w:type="dxa"/>
          </w:tcPr>
          <w:p w14:paraId="67AE5B99" w14:textId="4287D6D6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Interval</w:t>
            </w:r>
            <w:r w:rsidR="0058143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</w:t>
            </w:r>
          </w:p>
        </w:tc>
      </w:tr>
      <w:tr w:rsidR="00581437" w:rsidRPr="00B65C6F" w14:paraId="1FDD1EF2" w14:textId="77777777" w:rsidTr="0006267D">
        <w:tc>
          <w:tcPr>
            <w:tcW w:w="6318" w:type="dxa"/>
          </w:tcPr>
          <w:p w14:paraId="192ACEAB" w14:textId="0423E52F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Interval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o entre o fim do surto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1]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e a finalização do relatório sobre o surto através de formulários de casos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/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 xml:space="preserve">lista enviada ao  nível nacional 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[dat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2] (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Meta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: 2 </w:t>
            </w:r>
            <w:r w:rsidR="00581437">
              <w:rPr>
                <w:rFonts w:ascii="Century Gothic" w:hAnsi="Century Gothic"/>
                <w:sz w:val="18"/>
                <w:szCs w:val="20"/>
                <w:lang w:val="pt-PT"/>
              </w:rPr>
              <w:t>semanas</w:t>
            </w:r>
            <w:r w:rsidRPr="0006267D">
              <w:rPr>
                <w:rFonts w:ascii="Century Gothic" w:hAnsi="Century Gothic"/>
                <w:sz w:val="18"/>
                <w:szCs w:val="20"/>
                <w:lang w:val="pt-PT"/>
              </w:rPr>
              <w:t>)</w:t>
            </w:r>
          </w:p>
        </w:tc>
        <w:tc>
          <w:tcPr>
            <w:tcW w:w="990" w:type="dxa"/>
          </w:tcPr>
          <w:p w14:paraId="1A472DCC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170" w:type="dxa"/>
          </w:tcPr>
          <w:p w14:paraId="37B49D03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1098" w:type="dxa"/>
          </w:tcPr>
          <w:p w14:paraId="26F854E2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</w:tbl>
    <w:p w14:paraId="00F8F047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p w14:paraId="69267668" w14:textId="77777777" w:rsidR="00154B7A" w:rsidRPr="0006267D" w:rsidRDefault="00154B7A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pt-PT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134"/>
        <w:gridCol w:w="992"/>
      </w:tblGrid>
      <w:tr w:rsidR="00E12422" w:rsidRPr="0006267D" w14:paraId="110D8048" w14:textId="77777777" w:rsidTr="008275C6">
        <w:tc>
          <w:tcPr>
            <w:tcW w:w="7054" w:type="dxa"/>
          </w:tcPr>
          <w:p w14:paraId="039970D7" w14:textId="6CCFCCD6" w:rsidR="00E12422" w:rsidRPr="0006267D" w:rsidRDefault="00E12422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Indica</w:t>
            </w:r>
            <w:r w:rsidR="00581437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d</w:t>
            </w:r>
            <w:r w:rsidRPr="0006267D">
              <w:rPr>
                <w:rFonts w:ascii="Century Gothic" w:hAnsi="Century Gothic"/>
                <w:b/>
                <w:sz w:val="18"/>
                <w:szCs w:val="20"/>
                <w:lang w:val="pt-PT"/>
              </w:rPr>
              <w:t>or</w:t>
            </w:r>
          </w:p>
        </w:tc>
        <w:tc>
          <w:tcPr>
            <w:tcW w:w="1134" w:type="dxa"/>
          </w:tcPr>
          <w:p w14:paraId="308AAD1E" w14:textId="33E59C2F" w:rsidR="00E12422" w:rsidRPr="0006267D" w:rsidRDefault="0058143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 xml:space="preserve">Sim </w:t>
            </w:r>
          </w:p>
        </w:tc>
        <w:tc>
          <w:tcPr>
            <w:tcW w:w="992" w:type="dxa"/>
          </w:tcPr>
          <w:p w14:paraId="5320168A" w14:textId="331B5E8D" w:rsidR="00E12422" w:rsidRPr="0006267D" w:rsidRDefault="00581437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b/>
                <w:sz w:val="18"/>
                <w:szCs w:val="20"/>
                <w:lang w:val="pt-PT"/>
              </w:rPr>
              <w:t>Não</w:t>
            </w:r>
          </w:p>
        </w:tc>
      </w:tr>
      <w:tr w:rsidR="00E12422" w:rsidRPr="00B65C6F" w14:paraId="1925EDF1" w14:textId="77777777" w:rsidTr="008275C6">
        <w:tc>
          <w:tcPr>
            <w:tcW w:w="7054" w:type="dxa"/>
          </w:tcPr>
          <w:p w14:paraId="4DFEFCF5" w14:textId="3E481AEF" w:rsidR="00E12422" w:rsidRPr="0006267D" w:rsidRDefault="00581437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A com</w:t>
            </w:r>
            <w:r w:rsidR="00FE248F">
              <w:rPr>
                <w:rFonts w:ascii="Century Gothic" w:hAnsi="Century Gothic"/>
                <w:sz w:val="18"/>
                <w:szCs w:val="20"/>
                <w:lang w:val="pt-PT"/>
              </w:rPr>
              <w:t>issão de gestão de surtos reuniu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-se para analisar os resultados da investigação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?</w:t>
            </w:r>
          </w:p>
        </w:tc>
        <w:tc>
          <w:tcPr>
            <w:tcW w:w="1134" w:type="dxa"/>
          </w:tcPr>
          <w:p w14:paraId="4A3B22B0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992" w:type="dxa"/>
          </w:tcPr>
          <w:p w14:paraId="59AE920D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  <w:tr w:rsidR="00E12422" w:rsidRPr="00B65C6F" w14:paraId="0F92E564" w14:textId="77777777" w:rsidTr="008275C6">
        <w:tc>
          <w:tcPr>
            <w:tcW w:w="7054" w:type="dxa"/>
          </w:tcPr>
          <w:p w14:paraId="5F25FBA2" w14:textId="687ACFD2" w:rsidR="00E12422" w:rsidRPr="0006267D" w:rsidRDefault="00581437" w:rsidP="0058143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  <w:r>
              <w:rPr>
                <w:rFonts w:ascii="Century Gothic" w:hAnsi="Century Gothic"/>
                <w:sz w:val="18"/>
                <w:szCs w:val="20"/>
                <w:lang w:val="pt-PT"/>
              </w:rPr>
              <w:t>Foi dado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 xml:space="preserve"> </w:t>
            </w:r>
            <w:r w:rsidR="00E12422" w:rsidRPr="00581437">
              <w:rPr>
                <w:rFonts w:ascii="Century Gothic" w:hAnsi="Century Gothic"/>
                <w:i/>
                <w:sz w:val="18"/>
                <w:szCs w:val="20"/>
                <w:lang w:val="pt-PT"/>
              </w:rPr>
              <w:t xml:space="preserve">feedback </w:t>
            </w:r>
            <w:r>
              <w:rPr>
                <w:rFonts w:ascii="Century Gothic" w:hAnsi="Century Gothic"/>
                <w:sz w:val="18"/>
                <w:szCs w:val="20"/>
                <w:lang w:val="pt-PT"/>
              </w:rPr>
              <w:t>às unidades de saúde e à comunidade</w:t>
            </w:r>
            <w:r w:rsidR="00E12422" w:rsidRPr="0006267D">
              <w:rPr>
                <w:rFonts w:ascii="Century Gothic" w:hAnsi="Century Gothic"/>
                <w:sz w:val="18"/>
                <w:szCs w:val="20"/>
                <w:lang w:val="pt-PT"/>
              </w:rPr>
              <w:t>?</w:t>
            </w:r>
          </w:p>
        </w:tc>
        <w:tc>
          <w:tcPr>
            <w:tcW w:w="1134" w:type="dxa"/>
          </w:tcPr>
          <w:p w14:paraId="4F3361D3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  <w:tc>
          <w:tcPr>
            <w:tcW w:w="992" w:type="dxa"/>
          </w:tcPr>
          <w:p w14:paraId="013CABAE" w14:textId="77777777" w:rsidR="00E12422" w:rsidRPr="0006267D" w:rsidRDefault="00E12422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pt-PT"/>
              </w:rPr>
            </w:pPr>
          </w:p>
        </w:tc>
      </w:tr>
    </w:tbl>
    <w:p w14:paraId="1176E322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pt-PT"/>
        </w:rPr>
      </w:pPr>
      <w:r w:rsidRPr="0006267D">
        <w:rPr>
          <w:rFonts w:ascii="Century Gothic" w:hAnsi="Century Gothic"/>
          <w:sz w:val="18"/>
          <w:szCs w:val="20"/>
          <w:lang w:val="pt-PT"/>
        </w:rPr>
        <w:tab/>
      </w:r>
      <w:r w:rsidRPr="0006267D">
        <w:rPr>
          <w:rFonts w:ascii="Century Gothic" w:hAnsi="Century Gothic"/>
          <w:sz w:val="18"/>
          <w:szCs w:val="20"/>
          <w:lang w:val="pt-PT"/>
        </w:rPr>
        <w:tab/>
        <w:t xml:space="preserve">     </w:t>
      </w:r>
      <w:r w:rsidRPr="0006267D">
        <w:rPr>
          <w:rFonts w:ascii="Century Gothic" w:hAnsi="Century Gothic"/>
          <w:sz w:val="18"/>
          <w:szCs w:val="20"/>
          <w:lang w:val="pt-PT"/>
        </w:rPr>
        <w:tab/>
      </w:r>
    </w:p>
    <w:p w14:paraId="18F43801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16"/>
          <w:szCs w:val="18"/>
          <w:lang w:val="pt-PT"/>
        </w:rPr>
      </w:pPr>
    </w:p>
    <w:p w14:paraId="0460C421" w14:textId="33A09E70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 xml:space="preserve">V. </w:t>
      </w:r>
      <w:r w:rsidR="00581437">
        <w:rPr>
          <w:rFonts w:ascii="Century Gothic" w:hAnsi="Century Gothic"/>
          <w:b/>
          <w:bCs/>
          <w:sz w:val="20"/>
          <w:szCs w:val="20"/>
          <w:lang w:val="pt-PT"/>
        </w:rPr>
        <w:t>Avaliação de outros aspectos da resposta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:</w:t>
      </w:r>
    </w:p>
    <w:p w14:paraId="0F50E48F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2D5CE8C3" w14:textId="4E226259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VI. Interpreta</w:t>
      </w:r>
      <w:r w:rsidR="00581437">
        <w:rPr>
          <w:rFonts w:ascii="Century Gothic" w:hAnsi="Century Gothic"/>
          <w:b/>
          <w:bCs/>
          <w:sz w:val="20"/>
          <w:szCs w:val="20"/>
          <w:lang w:val="pt-PT"/>
        </w:rPr>
        <w:t>ções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, discuss</w:t>
      </w:r>
      <w:r w:rsidR="00581437">
        <w:rPr>
          <w:rFonts w:ascii="Century Gothic" w:hAnsi="Century Gothic"/>
          <w:b/>
          <w:bCs/>
          <w:sz w:val="20"/>
          <w:szCs w:val="20"/>
          <w:lang w:val="pt-PT"/>
        </w:rPr>
        <w:t xml:space="preserve">ão e 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>conclus</w:t>
      </w:r>
      <w:r w:rsidR="00581437">
        <w:rPr>
          <w:rFonts w:ascii="Century Gothic" w:hAnsi="Century Gothic"/>
          <w:b/>
          <w:bCs/>
          <w:sz w:val="20"/>
          <w:szCs w:val="20"/>
          <w:lang w:val="pt-PT"/>
        </w:rPr>
        <w:t>ões</w:t>
      </w:r>
      <w:r w:rsidRPr="0006267D">
        <w:rPr>
          <w:rFonts w:ascii="Century Gothic" w:hAnsi="Century Gothic"/>
          <w:sz w:val="20"/>
          <w:szCs w:val="20"/>
          <w:lang w:val="pt-PT"/>
        </w:rPr>
        <w:t>:</w:t>
      </w:r>
    </w:p>
    <w:p w14:paraId="05D9D0F0" w14:textId="33EAF306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10313C77" w14:textId="17608803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 xml:space="preserve">VII. </w:t>
      </w:r>
      <w:r w:rsidR="00581437">
        <w:rPr>
          <w:rFonts w:ascii="Century Gothic" w:hAnsi="Century Gothic"/>
          <w:b/>
          <w:bCs/>
          <w:sz w:val="20"/>
          <w:szCs w:val="20"/>
          <w:lang w:val="pt-PT"/>
        </w:rPr>
        <w:t>Acções da saúde pública recomendadas</w:t>
      </w:r>
      <w:r w:rsidRPr="0006267D">
        <w:rPr>
          <w:rFonts w:ascii="Century Gothic" w:hAnsi="Century Gothic"/>
          <w:b/>
          <w:bCs/>
          <w:sz w:val="20"/>
          <w:szCs w:val="20"/>
          <w:lang w:val="pt-PT"/>
        </w:rPr>
        <w:t xml:space="preserve">: </w:t>
      </w:r>
    </w:p>
    <w:p w14:paraId="523B0BBA" w14:textId="5779F9D5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Cs/>
          <w:sz w:val="20"/>
          <w:szCs w:val="20"/>
          <w:lang w:val="pt-PT"/>
        </w:rPr>
      </w:pPr>
    </w:p>
    <w:p w14:paraId="3E3DB5CA" w14:textId="7042D154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pt-PT"/>
        </w:rPr>
      </w:pPr>
      <w:r w:rsidRPr="0006267D">
        <w:rPr>
          <w:rFonts w:ascii="Century Gothic" w:hAnsi="Century Gothic"/>
          <w:bCs/>
          <w:sz w:val="20"/>
          <w:szCs w:val="20"/>
          <w:lang w:val="pt-PT"/>
        </w:rPr>
        <w:t>Com</w:t>
      </w:r>
      <w:r w:rsidR="00581437">
        <w:rPr>
          <w:rFonts w:ascii="Century Gothic" w:hAnsi="Century Gothic"/>
          <w:bCs/>
          <w:sz w:val="20"/>
          <w:szCs w:val="20"/>
          <w:lang w:val="pt-PT"/>
        </w:rPr>
        <w:t>entar os seguintes níveis</w:t>
      </w:r>
      <w:r w:rsidRPr="0006267D">
        <w:rPr>
          <w:rFonts w:ascii="Century Gothic" w:hAnsi="Century Gothic"/>
          <w:bCs/>
          <w:sz w:val="20"/>
          <w:szCs w:val="20"/>
          <w:lang w:val="pt-PT"/>
        </w:rPr>
        <w:t>: com</w:t>
      </w:r>
      <w:r w:rsidR="00581437">
        <w:rPr>
          <w:rFonts w:ascii="Century Gothic" w:hAnsi="Century Gothic"/>
          <w:bCs/>
          <w:sz w:val="20"/>
          <w:szCs w:val="20"/>
          <w:lang w:val="pt-PT"/>
        </w:rPr>
        <w:t>unidade, unidade de s</w:t>
      </w:r>
      <w:r w:rsidR="00144CE5">
        <w:rPr>
          <w:rFonts w:ascii="Century Gothic" w:hAnsi="Century Gothic"/>
          <w:bCs/>
          <w:sz w:val="20"/>
          <w:szCs w:val="20"/>
          <w:lang w:val="pt-PT"/>
        </w:rPr>
        <w:t>aú</w:t>
      </w:r>
      <w:r w:rsidR="00581437">
        <w:rPr>
          <w:rFonts w:ascii="Century Gothic" w:hAnsi="Century Gothic"/>
          <w:bCs/>
          <w:sz w:val="20"/>
          <w:szCs w:val="20"/>
          <w:lang w:val="pt-PT"/>
        </w:rPr>
        <w:t>de, distrito, parceiros</w:t>
      </w:r>
      <w:r w:rsidR="00205BC3">
        <w:rPr>
          <w:rFonts w:ascii="Century Gothic" w:hAnsi="Century Gothic"/>
          <w:bCs/>
          <w:sz w:val="20"/>
          <w:szCs w:val="20"/>
          <w:lang w:val="pt-PT"/>
        </w:rPr>
        <w:t>, provincial e nacional.</w:t>
      </w:r>
    </w:p>
    <w:p w14:paraId="6073CA57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55266224" w14:textId="60E497C6" w:rsidR="00E12422" w:rsidRPr="0006267D" w:rsidRDefault="00144CE5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Presidente da Comissão Distrital das Epidemias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:</w:t>
      </w:r>
    </w:p>
    <w:p w14:paraId="3C8FE68E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778CA981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6A4FA47C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 xml:space="preserve"> ______________________________________</w:t>
      </w:r>
      <w:r w:rsidRPr="0006267D">
        <w:rPr>
          <w:rFonts w:ascii="Century Gothic" w:hAnsi="Century Gothic"/>
          <w:sz w:val="20"/>
          <w:szCs w:val="20"/>
          <w:lang w:val="pt-PT"/>
        </w:rPr>
        <w:tab/>
        <w:t>____________________________________</w:t>
      </w:r>
    </w:p>
    <w:p w14:paraId="0C66152C" w14:textId="34A3F9B7" w:rsidR="00E12422" w:rsidRPr="0006267D" w:rsidRDefault="00E12422" w:rsidP="008275C6">
      <w:pPr>
        <w:autoSpaceDE w:val="0"/>
        <w:autoSpaceDN w:val="0"/>
        <w:adjustRightInd w:val="0"/>
        <w:ind w:left="720" w:firstLine="72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N</w:t>
      </w:r>
      <w:r w:rsidR="00144CE5">
        <w:rPr>
          <w:rFonts w:ascii="Century Gothic" w:hAnsi="Century Gothic"/>
          <w:sz w:val="20"/>
          <w:szCs w:val="20"/>
          <w:lang w:val="pt-PT"/>
        </w:rPr>
        <w:t>o</w:t>
      </w:r>
      <w:r w:rsidRPr="0006267D">
        <w:rPr>
          <w:rFonts w:ascii="Century Gothic" w:hAnsi="Century Gothic"/>
          <w:sz w:val="20"/>
          <w:szCs w:val="20"/>
          <w:lang w:val="pt-PT"/>
        </w:rPr>
        <w:t>me</w:t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  <w:t xml:space="preserve"> </w:t>
      </w:r>
      <w:r w:rsidR="00144CE5">
        <w:rPr>
          <w:rFonts w:ascii="Century Gothic" w:hAnsi="Century Gothic"/>
          <w:sz w:val="20"/>
          <w:szCs w:val="20"/>
          <w:lang w:val="pt-PT"/>
        </w:rPr>
        <w:t>Assinatura</w:t>
      </w:r>
    </w:p>
    <w:p w14:paraId="70421382" w14:textId="266CC7C0" w:rsidR="00E12422" w:rsidRPr="0006267D" w:rsidRDefault="00E12422" w:rsidP="00205BC3">
      <w:pPr>
        <w:autoSpaceDE w:val="0"/>
        <w:autoSpaceDN w:val="0"/>
        <w:adjustRightInd w:val="0"/>
        <w:ind w:left="72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 xml:space="preserve">         </w:t>
      </w:r>
    </w:p>
    <w:p w14:paraId="31F3450F" w14:textId="560DE74E" w:rsidR="00E12422" w:rsidRPr="0006267D" w:rsidRDefault="00144CE5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>
        <w:rPr>
          <w:rFonts w:ascii="Century Gothic" w:hAnsi="Century Gothic"/>
          <w:sz w:val="20"/>
          <w:szCs w:val="20"/>
          <w:lang w:val="pt-PT"/>
        </w:rPr>
        <w:t>Delegado Distrital de Saúde</w:t>
      </w:r>
      <w:r w:rsidR="00E12422" w:rsidRPr="0006267D">
        <w:rPr>
          <w:rFonts w:ascii="Century Gothic" w:hAnsi="Century Gothic"/>
          <w:sz w:val="20"/>
          <w:szCs w:val="20"/>
          <w:lang w:val="pt-PT"/>
        </w:rPr>
        <w:t>:</w:t>
      </w:r>
    </w:p>
    <w:p w14:paraId="5CAD1A67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77DAC5F8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1EE9B228" w14:textId="77777777" w:rsidR="00E12422" w:rsidRPr="0006267D" w:rsidRDefault="00E12422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 xml:space="preserve"> ______________________________________</w:t>
      </w:r>
      <w:r w:rsidRPr="0006267D">
        <w:rPr>
          <w:rFonts w:ascii="Century Gothic" w:hAnsi="Century Gothic"/>
          <w:sz w:val="20"/>
          <w:szCs w:val="20"/>
          <w:lang w:val="pt-PT"/>
        </w:rPr>
        <w:tab/>
        <w:t>____________________________________</w:t>
      </w:r>
    </w:p>
    <w:p w14:paraId="06647423" w14:textId="771CCC1E" w:rsidR="00E12422" w:rsidRPr="0006267D" w:rsidRDefault="00E12422" w:rsidP="008275C6">
      <w:pPr>
        <w:autoSpaceDE w:val="0"/>
        <w:autoSpaceDN w:val="0"/>
        <w:adjustRightInd w:val="0"/>
        <w:ind w:left="720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ab/>
        <w:t>N</w:t>
      </w:r>
      <w:r w:rsidR="00144CE5">
        <w:rPr>
          <w:rFonts w:ascii="Century Gothic" w:hAnsi="Century Gothic"/>
          <w:sz w:val="20"/>
          <w:szCs w:val="20"/>
          <w:lang w:val="pt-PT"/>
        </w:rPr>
        <w:t>o</w:t>
      </w:r>
      <w:r w:rsidRPr="0006267D">
        <w:rPr>
          <w:rFonts w:ascii="Century Gothic" w:hAnsi="Century Gothic"/>
          <w:sz w:val="20"/>
          <w:szCs w:val="20"/>
          <w:lang w:val="pt-PT"/>
        </w:rPr>
        <w:t>me</w:t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</w:r>
      <w:r w:rsidRPr="0006267D">
        <w:rPr>
          <w:rFonts w:ascii="Century Gothic" w:hAnsi="Century Gothic"/>
          <w:sz w:val="20"/>
          <w:szCs w:val="20"/>
          <w:lang w:val="pt-PT"/>
        </w:rPr>
        <w:tab/>
        <w:t xml:space="preserve"> </w:t>
      </w:r>
      <w:r w:rsidR="00144CE5">
        <w:rPr>
          <w:rFonts w:ascii="Century Gothic" w:hAnsi="Century Gothic"/>
          <w:sz w:val="20"/>
          <w:szCs w:val="20"/>
          <w:lang w:val="pt-PT"/>
        </w:rPr>
        <w:t>Assinatura</w:t>
      </w:r>
    </w:p>
    <w:p w14:paraId="56C820C1" w14:textId="77777777" w:rsidR="00E12422" w:rsidRPr="0006267D" w:rsidRDefault="00E12422" w:rsidP="008275C6">
      <w:pPr>
        <w:autoSpaceDE w:val="0"/>
        <w:autoSpaceDN w:val="0"/>
        <w:adjustRightInd w:val="0"/>
        <w:jc w:val="center"/>
        <w:rPr>
          <w:rFonts w:ascii="Century Gothic" w:hAnsi="Century Gothic"/>
          <w:sz w:val="20"/>
          <w:szCs w:val="20"/>
          <w:lang w:val="pt-PT"/>
        </w:rPr>
      </w:pPr>
    </w:p>
    <w:p w14:paraId="71A778ED" w14:textId="3637CE7E" w:rsidR="00E12422" w:rsidRPr="0006267D" w:rsidRDefault="00E12422" w:rsidP="00205BC3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p w14:paraId="40D71F26" w14:textId="6A4116F2" w:rsidR="00E12422" w:rsidRDefault="00E12422" w:rsidP="008275C6">
      <w:pPr>
        <w:autoSpaceDE w:val="0"/>
        <w:autoSpaceDN w:val="0"/>
        <w:adjustRightInd w:val="0"/>
        <w:jc w:val="center"/>
        <w:rPr>
          <w:rFonts w:ascii="Century Gothic" w:hAnsi="Century Gothic"/>
          <w:sz w:val="20"/>
          <w:szCs w:val="20"/>
          <w:lang w:val="pt-PT"/>
        </w:rPr>
      </w:pPr>
      <w:r w:rsidRPr="0006267D">
        <w:rPr>
          <w:rFonts w:ascii="Century Gothic" w:hAnsi="Century Gothic"/>
          <w:sz w:val="20"/>
          <w:szCs w:val="20"/>
          <w:lang w:val="pt-PT"/>
        </w:rPr>
        <w:t>Dat</w:t>
      </w:r>
      <w:r w:rsidR="00144CE5">
        <w:rPr>
          <w:rFonts w:ascii="Century Gothic" w:hAnsi="Century Gothic"/>
          <w:sz w:val="20"/>
          <w:szCs w:val="20"/>
          <w:lang w:val="pt-PT"/>
        </w:rPr>
        <w:t>a de conclusão do relatório</w:t>
      </w:r>
      <w:r w:rsidRPr="0006267D">
        <w:rPr>
          <w:rFonts w:ascii="Century Gothic" w:hAnsi="Century Gothic"/>
          <w:sz w:val="20"/>
          <w:szCs w:val="20"/>
          <w:lang w:val="pt-PT"/>
        </w:rPr>
        <w:t>: _________________________________________</w:t>
      </w:r>
    </w:p>
    <w:p w14:paraId="5E1A36CD" w14:textId="74221999" w:rsidR="00205BC3" w:rsidRPr="00205BC3" w:rsidRDefault="00205BC3" w:rsidP="008275C6">
      <w:pPr>
        <w:autoSpaceDE w:val="0"/>
        <w:autoSpaceDN w:val="0"/>
        <w:adjustRightInd w:val="0"/>
        <w:jc w:val="center"/>
        <w:rPr>
          <w:rFonts w:ascii="Century Gothic" w:hAnsi="Century Gothic"/>
          <w:sz w:val="16"/>
          <w:szCs w:val="16"/>
          <w:lang w:val="pt-PT"/>
        </w:rPr>
      </w:pPr>
    </w:p>
    <w:p w14:paraId="5B3D04E2" w14:textId="77777777" w:rsidR="00205BC3" w:rsidRPr="00205BC3" w:rsidRDefault="00205BC3" w:rsidP="008275C6">
      <w:pPr>
        <w:autoSpaceDE w:val="0"/>
        <w:autoSpaceDN w:val="0"/>
        <w:adjustRightInd w:val="0"/>
        <w:jc w:val="center"/>
        <w:rPr>
          <w:rFonts w:ascii="Century Gothic" w:hAnsi="Century Gothic"/>
          <w:sz w:val="16"/>
          <w:szCs w:val="16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05BC3" w:rsidRPr="00B65C6F" w14:paraId="6A7A2096" w14:textId="77777777" w:rsidTr="00205BC3">
        <w:tc>
          <w:tcPr>
            <w:tcW w:w="9242" w:type="dxa"/>
          </w:tcPr>
          <w:p w14:paraId="56C3ADA1" w14:textId="4A35E9C9" w:rsidR="00205BC3" w:rsidRPr="00B65C6F" w:rsidRDefault="00205BC3" w:rsidP="00205BC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2060"/>
                <w:sz w:val="32"/>
                <w:szCs w:val="32"/>
              </w:rPr>
            </w:pPr>
            <w:r w:rsidRPr="00B65C6F">
              <w:rPr>
                <w:rFonts w:asciiTheme="minorHAnsi" w:hAnsiTheme="minorHAnsi" w:cs="Arial"/>
                <w:b/>
                <w:bCs/>
                <w:color w:val="002060"/>
                <w:kern w:val="24"/>
                <w:sz w:val="32"/>
                <w:szCs w:val="32"/>
              </w:rPr>
              <w:t>Exoneração de responsabilidade</w:t>
            </w:r>
          </w:p>
          <w:p w14:paraId="2BE8E397" w14:textId="77777777" w:rsidR="00205BC3" w:rsidRPr="00F9656E" w:rsidRDefault="00205BC3" w:rsidP="00205BC3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Plataforma</w:t>
            </w:r>
            <w:r w:rsidRPr="00F9656E">
              <w:rPr>
                <w:rFonts w:asciiTheme="minorHAnsi" w:hAnsiTheme="minorHAnsi" w:cs="Arial"/>
                <w:b/>
                <w:bCs/>
                <w:color w:val="000000"/>
                <w:kern w:val="24"/>
                <w:sz w:val="22"/>
                <w:szCs w:val="22"/>
              </w:rPr>
              <w:t xml:space="preserve"> da OMS para a Aprendizagem sobre Segurança Sanitária –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9656E">
              <w:rPr>
                <w:rFonts w:asciiTheme="minorHAnsi" w:hAnsiTheme="minorHAnsi" w:cs="Arial"/>
                <w:b/>
                <w:bCs/>
                <w:color w:val="000000"/>
                <w:kern w:val="24"/>
                <w:sz w:val="22"/>
                <w:szCs w:val="22"/>
              </w:rPr>
              <w:t>Materiais de Formação</w:t>
            </w:r>
          </w:p>
          <w:p w14:paraId="206FD320" w14:textId="77777777" w:rsidR="00205BC3" w:rsidRPr="00F9656E" w:rsidRDefault="00205BC3" w:rsidP="00205BC3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Estes Materiais de Formação da OMS são propriedade da © Organização Mundial da Saúde (WHO) 2018. Todos os direitos reservados.</w:t>
            </w:r>
          </w:p>
          <w:p w14:paraId="7D034019" w14:textId="77777777" w:rsidR="00205BC3" w:rsidRPr="00F9656E" w:rsidRDefault="00205BC3" w:rsidP="00205BC3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A sua utilização destes materiais está sujeita aos “</w:t>
            </w:r>
            <w:r w:rsidRPr="00F9656E">
              <w:rPr>
                <w:rFonts w:asciiTheme="minorHAnsi" w:hAnsiTheme="minorHAnsi" w:cs="Arial"/>
                <w:color w:val="0000FF"/>
                <w:kern w:val="24"/>
                <w:sz w:val="22"/>
                <w:szCs w:val="22"/>
              </w:rPr>
              <w:t xml:space="preserve">Termos de Utilização dos Materiais </w:t>
            </w:r>
          </w:p>
          <w:p w14:paraId="3946316C" w14:textId="5503C1E9" w:rsidR="00205BC3" w:rsidRPr="00F9656E" w:rsidRDefault="00205BC3" w:rsidP="00205BC3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F9656E">
              <w:rPr>
                <w:rFonts w:asciiTheme="minorHAnsi" w:hAnsiTheme="minorHAnsi" w:cs="Arial"/>
                <w:color w:val="0000FF"/>
                <w:kern w:val="24"/>
                <w:sz w:val="22"/>
                <w:szCs w:val="22"/>
              </w:rPr>
              <w:t>de Formação da Plataforma da OMS para a Aprendizagem sobre Segurança Sanitária</w:t>
            </w:r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”, que aceitou ao descarregá-los e que estão disponíveis na Plataforma da OMS para a Aprendizagem sobre Segurança Sanitária em: </w:t>
            </w:r>
            <w:hyperlink r:id="rId7" w:history="1">
              <w:r w:rsidRPr="00F9656E">
                <w:rPr>
                  <w:rStyle w:val="Hyperlink"/>
                  <w:rFonts w:asciiTheme="minorHAnsi" w:hAnsiTheme="minorHAnsi" w:cs="Arial"/>
                  <w:color w:val="000000"/>
                  <w:kern w:val="24"/>
                  <w:sz w:val="22"/>
                  <w:szCs w:val="22"/>
                </w:rPr>
                <w:t>https://extranet.who.int/hslp</w:t>
              </w:r>
            </w:hyperlink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 .  </w:t>
            </w:r>
          </w:p>
          <w:p w14:paraId="1EC54253" w14:textId="6A0228D8" w:rsidR="00205BC3" w:rsidRPr="00F9656E" w:rsidRDefault="00205BC3" w:rsidP="00205BC3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Caso adapte, modifique, traduza ou de alguma forma altere o conteúdo destes materiais, não poderá sugerir que a OMS de algum modo aprova essas modificações, como não poderá usar o nome ou o símbolo da OMS nos materiais modificados.</w:t>
            </w:r>
            <w:bookmarkStart w:id="2" w:name="_GoBack"/>
            <w:bookmarkEnd w:id="2"/>
          </w:p>
          <w:p w14:paraId="6312FCD3" w14:textId="20711B70" w:rsidR="00205BC3" w:rsidRPr="00205BC3" w:rsidRDefault="00205BC3" w:rsidP="00205BC3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8" w:history="1">
              <w:r w:rsidRPr="00F9656E">
                <w:rPr>
                  <w:rStyle w:val="Hyperlink"/>
                  <w:rFonts w:asciiTheme="minorHAnsi" w:hAnsiTheme="minorHAnsi" w:cs="Arial"/>
                  <w:kern w:val="24"/>
                  <w:sz w:val="22"/>
                  <w:szCs w:val="22"/>
                </w:rPr>
                <w:t>ihrhrt@who.int</w:t>
              </w:r>
            </w:hyperlink>
            <w:r w:rsidRPr="00F9656E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. </w:t>
            </w:r>
          </w:p>
        </w:tc>
      </w:tr>
    </w:tbl>
    <w:p w14:paraId="11011E24" w14:textId="2E364C83" w:rsidR="00154B7A" w:rsidRPr="0006267D" w:rsidRDefault="00154B7A" w:rsidP="00205BC3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pt-PT"/>
        </w:rPr>
      </w:pPr>
    </w:p>
    <w:sectPr w:rsidR="00154B7A" w:rsidRPr="0006267D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45745" w14:textId="77777777" w:rsidR="00581437" w:rsidRDefault="00581437" w:rsidP="00E12422">
      <w:r>
        <w:separator/>
      </w:r>
    </w:p>
  </w:endnote>
  <w:endnote w:type="continuationSeparator" w:id="0">
    <w:p w14:paraId="4AFEDEBA" w14:textId="77777777" w:rsidR="00581437" w:rsidRDefault="00581437" w:rsidP="00E1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145A4" w14:textId="1BD0E8F7" w:rsidR="00581437" w:rsidRPr="00205BC3" w:rsidRDefault="00581437">
    <w:pPr>
      <w:pBdr>
        <w:left w:val="single" w:sz="12" w:space="11" w:color="4F81BD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FC7528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205BC3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FC7528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FE248F" w:rsidRPr="00205BC3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3</w:t>
    </w:r>
    <w:r w:rsidRPr="00FC7528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205BC3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</w:t>
    </w:r>
    <w:r w:rsidR="00144CE5" w:rsidRPr="00205BC3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Pacote de Formação da OMS para as ERR</w:t>
    </w:r>
    <w:r w:rsidRPr="00205BC3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– A4 </w:t>
    </w:r>
    <w:r w:rsidR="00144CE5" w:rsidRPr="00205BC3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Principais produtos das ERR </w:t>
    </w:r>
    <w:r w:rsidRPr="00205BC3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– V003 15/05/2018</w:t>
    </w:r>
  </w:p>
  <w:p w14:paraId="502962EB" w14:textId="77777777" w:rsidR="00581437" w:rsidRPr="00205BC3" w:rsidRDefault="0058143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E0020" w14:textId="77777777" w:rsidR="00581437" w:rsidRDefault="00581437" w:rsidP="00E12422">
      <w:r>
        <w:separator/>
      </w:r>
    </w:p>
  </w:footnote>
  <w:footnote w:type="continuationSeparator" w:id="0">
    <w:p w14:paraId="0558F026" w14:textId="77777777" w:rsidR="00581437" w:rsidRDefault="00581437" w:rsidP="00E12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57B3"/>
    <w:multiLevelType w:val="hybridMultilevel"/>
    <w:tmpl w:val="75AE0C22"/>
    <w:lvl w:ilvl="0" w:tplc="7E061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618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C34C7"/>
    <w:multiLevelType w:val="hybridMultilevel"/>
    <w:tmpl w:val="B198B378"/>
    <w:lvl w:ilvl="0" w:tplc="7E061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618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236E8"/>
    <w:multiLevelType w:val="hybridMultilevel"/>
    <w:tmpl w:val="210C0E76"/>
    <w:lvl w:ilvl="0" w:tplc="7E061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618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422"/>
    <w:rsid w:val="0006267D"/>
    <w:rsid w:val="00144CE5"/>
    <w:rsid w:val="00154B7A"/>
    <w:rsid w:val="00205BC3"/>
    <w:rsid w:val="002A17E2"/>
    <w:rsid w:val="0036279B"/>
    <w:rsid w:val="003E4D7A"/>
    <w:rsid w:val="00483BE3"/>
    <w:rsid w:val="00530707"/>
    <w:rsid w:val="00575F58"/>
    <w:rsid w:val="00581437"/>
    <w:rsid w:val="006055D2"/>
    <w:rsid w:val="008159AD"/>
    <w:rsid w:val="008275C6"/>
    <w:rsid w:val="008F25A0"/>
    <w:rsid w:val="00A353CA"/>
    <w:rsid w:val="00B0022B"/>
    <w:rsid w:val="00B65C6F"/>
    <w:rsid w:val="00B66D3E"/>
    <w:rsid w:val="00B853C4"/>
    <w:rsid w:val="00BA7822"/>
    <w:rsid w:val="00CF3799"/>
    <w:rsid w:val="00D013B6"/>
    <w:rsid w:val="00DD4F46"/>
    <w:rsid w:val="00E12422"/>
    <w:rsid w:val="00EB542A"/>
    <w:rsid w:val="00F72A21"/>
    <w:rsid w:val="00FB11C4"/>
    <w:rsid w:val="00FC7528"/>
    <w:rsid w:val="00FE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5CD0A2"/>
  <w15:docId w15:val="{7C43F3F7-FAF8-4795-8023-C5125416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42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E124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2422"/>
    <w:pPr>
      <w:keepNext/>
      <w:autoSpaceDE w:val="0"/>
      <w:autoSpaceDN w:val="0"/>
      <w:adjustRightInd w:val="0"/>
      <w:outlineLvl w:val="6"/>
    </w:pPr>
    <w:rPr>
      <w:b/>
      <w:bCs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1242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E12422"/>
    <w:rPr>
      <w:rFonts w:ascii="Times New Roman" w:eastAsia="Calibri" w:hAnsi="Times New Roman" w:cs="Times New Roman"/>
      <w:b/>
      <w:bCs/>
      <w:sz w:val="16"/>
      <w:szCs w:val="18"/>
    </w:rPr>
  </w:style>
  <w:style w:type="paragraph" w:customStyle="1" w:styleId="text">
    <w:name w:val="text"/>
    <w:rsid w:val="00E12422"/>
    <w:pPr>
      <w:autoSpaceDE w:val="0"/>
      <w:autoSpaceDN w:val="0"/>
      <w:adjustRightInd w:val="0"/>
      <w:spacing w:after="0" w:line="288" w:lineRule="auto"/>
      <w:ind w:left="216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1242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124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42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24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422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B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B7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6055D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055D2"/>
    <w:pPr>
      <w:spacing w:before="100" w:beforeAutospacing="1" w:after="100" w:afterAutospacing="1"/>
    </w:pPr>
    <w:rPr>
      <w:rFonts w:eastAsia="MS Mincho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gaturukup</dc:creator>
  <cp:lastModifiedBy>GOMEZ, Paula</cp:lastModifiedBy>
  <cp:revision>6</cp:revision>
  <dcterms:created xsi:type="dcterms:W3CDTF">2019-02-10T22:46:00Z</dcterms:created>
  <dcterms:modified xsi:type="dcterms:W3CDTF">2019-06-28T10:35:00Z</dcterms:modified>
</cp:coreProperties>
</file>