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072AD" w14:textId="60952D5B" w:rsidR="00AF6F99" w:rsidRPr="008225AE" w:rsidRDefault="002448D2" w:rsidP="00AF6F99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  <w:r w:rsidRPr="008225AE">
        <w:rPr>
          <w:b/>
          <w:bCs/>
          <w:sz w:val="28"/>
          <w:szCs w:val="28"/>
          <w:lang w:val="pt-PT"/>
        </w:rPr>
        <w:t>Pacote de formação das ERR</w:t>
      </w:r>
    </w:p>
    <w:p w14:paraId="188C29F2" w14:textId="77777777" w:rsidR="00AF6F99" w:rsidRPr="008225AE" w:rsidRDefault="00AF6F99" w:rsidP="00AF6F99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</w:p>
    <w:p w14:paraId="0F2F7CCB" w14:textId="54B9A57D" w:rsidR="00AF6F99" w:rsidRPr="008225AE" w:rsidRDefault="00C57E7B" w:rsidP="006C3168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  <w:r w:rsidRPr="008225AE">
        <w:rPr>
          <w:b/>
          <w:bCs/>
          <w:sz w:val="28"/>
          <w:szCs w:val="28"/>
          <w:lang w:val="pt-PT"/>
        </w:rPr>
        <w:t>A3.2</w:t>
      </w:r>
      <w:r w:rsidR="00180FAC" w:rsidRPr="008225AE">
        <w:rPr>
          <w:b/>
          <w:bCs/>
          <w:sz w:val="28"/>
          <w:szCs w:val="28"/>
          <w:lang w:val="pt-PT"/>
        </w:rPr>
        <w:t xml:space="preserve"> </w:t>
      </w:r>
      <w:r w:rsidR="00E87893" w:rsidRPr="008225AE">
        <w:rPr>
          <w:b/>
          <w:bCs/>
          <w:sz w:val="28"/>
          <w:szCs w:val="28"/>
          <w:lang w:val="pt-PT"/>
        </w:rPr>
        <w:t xml:space="preserve">Exercício de lista de verificação da logística </w:t>
      </w:r>
      <w:r w:rsidR="006C3168">
        <w:rPr>
          <w:b/>
          <w:bCs/>
          <w:sz w:val="28"/>
          <w:szCs w:val="28"/>
          <w:lang w:val="pt-PT"/>
        </w:rPr>
        <w:t xml:space="preserve">- </w:t>
      </w:r>
      <w:r w:rsidR="00E87893" w:rsidRPr="008225AE">
        <w:rPr>
          <w:b/>
          <w:bCs/>
          <w:sz w:val="28"/>
          <w:szCs w:val="28"/>
          <w:lang w:val="pt-PT"/>
        </w:rPr>
        <w:t>Guia do Facilitador</w:t>
      </w:r>
    </w:p>
    <w:p w14:paraId="2BD3272D" w14:textId="77777777" w:rsidR="00AF6F99" w:rsidRPr="008225AE" w:rsidRDefault="00AF6F99" w:rsidP="00AF6F99">
      <w:pPr>
        <w:spacing w:after="0" w:line="240" w:lineRule="auto"/>
        <w:rPr>
          <w:bCs/>
          <w:lang w:val="pt-PT"/>
        </w:rPr>
      </w:pPr>
    </w:p>
    <w:p w14:paraId="1C18F414" w14:textId="47F2EFA0" w:rsidR="00C57E7B" w:rsidRPr="006C3168" w:rsidRDefault="00E87893" w:rsidP="00AF6F99">
      <w:pPr>
        <w:spacing w:after="0" w:line="240" w:lineRule="auto"/>
        <w:jc w:val="both"/>
        <w:rPr>
          <w:b/>
          <w:bCs/>
          <w:lang w:val="pt-PT"/>
        </w:rPr>
      </w:pPr>
      <w:r w:rsidRPr="006C3168">
        <w:rPr>
          <w:b/>
          <w:bCs/>
          <w:lang w:val="pt-PT"/>
        </w:rPr>
        <w:t>Objectivo da aprendizagem</w:t>
      </w:r>
      <w:r w:rsidR="00AF6F99" w:rsidRPr="006C3168">
        <w:rPr>
          <w:b/>
          <w:bCs/>
          <w:lang w:val="pt-PT"/>
        </w:rPr>
        <w:t>:</w:t>
      </w:r>
    </w:p>
    <w:p w14:paraId="6158C6EF" w14:textId="47842268" w:rsidR="00C57E7B" w:rsidRPr="006C3168" w:rsidRDefault="00E87893" w:rsidP="00C57E7B">
      <w:pPr>
        <w:numPr>
          <w:ilvl w:val="0"/>
          <w:numId w:val="2"/>
        </w:numPr>
        <w:jc w:val="both"/>
        <w:rPr>
          <w:bCs/>
          <w:lang w:val="pt-PT"/>
        </w:rPr>
      </w:pPr>
      <w:r w:rsidRPr="006C3168">
        <w:rPr>
          <w:bCs/>
          <w:lang w:val="pt-PT"/>
        </w:rPr>
        <w:t>Identificar o equipamento, os materiais e os produtos necessários às ERR para um evento específico de saúde pública</w:t>
      </w:r>
      <w:r w:rsidR="00C57E7B" w:rsidRPr="006C3168">
        <w:rPr>
          <w:bCs/>
          <w:lang w:val="pt-PT"/>
        </w:rPr>
        <w:t>.</w:t>
      </w:r>
    </w:p>
    <w:p w14:paraId="04CAD63D" w14:textId="307E053B" w:rsidR="00AF6F99" w:rsidRPr="006C3168" w:rsidRDefault="00E15DB4" w:rsidP="00AF6F99">
      <w:pPr>
        <w:spacing w:after="0" w:line="240" w:lineRule="auto"/>
        <w:jc w:val="both"/>
        <w:rPr>
          <w:bCs/>
          <w:lang w:val="pt-PT"/>
        </w:rPr>
      </w:pPr>
      <w:r w:rsidRPr="006C3168">
        <w:rPr>
          <w:b/>
          <w:bCs/>
          <w:lang w:val="pt-PT"/>
        </w:rPr>
        <w:t>Duração</w:t>
      </w:r>
      <w:r w:rsidR="00AF6F99" w:rsidRPr="006C3168">
        <w:rPr>
          <w:b/>
          <w:lang w:val="pt-PT"/>
        </w:rPr>
        <w:t>:</w:t>
      </w:r>
      <w:r w:rsidR="00AF6F99" w:rsidRPr="006C3168">
        <w:rPr>
          <w:lang w:val="pt-PT"/>
        </w:rPr>
        <w:t xml:space="preserve">  60’ </w:t>
      </w:r>
      <w:r w:rsidR="00E87893" w:rsidRPr="006C3168">
        <w:rPr>
          <w:lang w:val="pt-PT"/>
        </w:rPr>
        <w:t xml:space="preserve">no </w:t>
      </w:r>
      <w:r w:rsidR="00AF6F99" w:rsidRPr="006C3168">
        <w:rPr>
          <w:lang w:val="pt-PT"/>
        </w:rPr>
        <w:t>total (Intro</w:t>
      </w:r>
      <w:r w:rsidR="00E87893" w:rsidRPr="006C3168">
        <w:rPr>
          <w:lang w:val="pt-PT"/>
        </w:rPr>
        <w:t>dução</w:t>
      </w:r>
      <w:r w:rsidR="00AF6F99" w:rsidRPr="006C3168">
        <w:rPr>
          <w:lang w:val="pt-PT"/>
        </w:rPr>
        <w:t xml:space="preserve">: 5’; </w:t>
      </w:r>
      <w:r w:rsidR="00E87893" w:rsidRPr="006C3168">
        <w:rPr>
          <w:lang w:val="pt-PT"/>
        </w:rPr>
        <w:t>trabalho de grupo</w:t>
      </w:r>
      <w:r w:rsidR="00AF6F99" w:rsidRPr="006C3168">
        <w:rPr>
          <w:lang w:val="pt-PT"/>
        </w:rPr>
        <w:t xml:space="preserve">: 15’; </w:t>
      </w:r>
      <w:r w:rsidR="00E87893" w:rsidRPr="006C3168">
        <w:rPr>
          <w:lang w:val="pt-PT"/>
        </w:rPr>
        <w:t>balanço</w:t>
      </w:r>
      <w:r w:rsidR="006C3168">
        <w:rPr>
          <w:lang w:val="pt-PT"/>
        </w:rPr>
        <w:t xml:space="preserve">: 5’ x </w:t>
      </w:r>
      <w:r w:rsidR="00E87893" w:rsidRPr="006C3168">
        <w:rPr>
          <w:lang w:val="pt-PT"/>
        </w:rPr>
        <w:t>grupo</w:t>
      </w:r>
      <w:r w:rsidR="00AF6F99" w:rsidRPr="006C3168">
        <w:rPr>
          <w:lang w:val="pt-PT"/>
        </w:rPr>
        <w:t xml:space="preserve">, </w:t>
      </w:r>
      <w:r w:rsidR="00E87893" w:rsidRPr="006C3168">
        <w:rPr>
          <w:lang w:val="pt-PT"/>
        </w:rPr>
        <w:t>recapitulação</w:t>
      </w:r>
      <w:r w:rsidR="00AF6F99" w:rsidRPr="006C3168">
        <w:rPr>
          <w:lang w:val="pt-PT"/>
        </w:rPr>
        <w:t>: 10’).</w:t>
      </w:r>
    </w:p>
    <w:p w14:paraId="74899256" w14:textId="77777777" w:rsidR="00AF6F99" w:rsidRPr="006C3168" w:rsidRDefault="00AF6F99" w:rsidP="00AF6F99">
      <w:pPr>
        <w:spacing w:after="0" w:line="240" w:lineRule="auto"/>
        <w:jc w:val="both"/>
        <w:rPr>
          <w:b/>
          <w:bCs/>
          <w:lang w:val="pt-PT"/>
        </w:rPr>
      </w:pPr>
    </w:p>
    <w:p w14:paraId="5CBFE593" w14:textId="6992ABAF" w:rsidR="00F56506" w:rsidRPr="006C3168" w:rsidRDefault="00E87893" w:rsidP="00AF6F99">
      <w:pPr>
        <w:spacing w:after="0" w:line="240" w:lineRule="auto"/>
        <w:jc w:val="both"/>
        <w:rPr>
          <w:lang w:val="pt-PT"/>
        </w:rPr>
      </w:pPr>
      <w:r w:rsidRPr="006C3168">
        <w:rPr>
          <w:b/>
          <w:bCs/>
          <w:lang w:val="pt-PT"/>
        </w:rPr>
        <w:t>Método</w:t>
      </w:r>
      <w:r w:rsidR="003153B1" w:rsidRPr="006C3168">
        <w:rPr>
          <w:lang w:val="pt-PT"/>
        </w:rPr>
        <w:t xml:space="preserve">: </w:t>
      </w:r>
      <w:r w:rsidRPr="006C3168">
        <w:rPr>
          <w:lang w:val="pt-PT"/>
        </w:rPr>
        <w:t xml:space="preserve">Trabalho de grupo envolvendo </w:t>
      </w:r>
      <w:r w:rsidR="00822FA7" w:rsidRPr="006C3168">
        <w:rPr>
          <w:lang w:val="pt-PT"/>
        </w:rPr>
        <w:t>quadros de papel e diferentes síndromes de doenças</w:t>
      </w:r>
      <w:r w:rsidR="003153B1" w:rsidRPr="006C3168">
        <w:rPr>
          <w:lang w:val="pt-PT"/>
        </w:rPr>
        <w:t>.</w:t>
      </w:r>
    </w:p>
    <w:p w14:paraId="48D72DD1" w14:textId="77777777" w:rsidR="00AF6F99" w:rsidRPr="006C3168" w:rsidRDefault="00AF6F99" w:rsidP="00AF6F99">
      <w:pPr>
        <w:spacing w:after="0" w:line="240" w:lineRule="auto"/>
        <w:jc w:val="both"/>
        <w:rPr>
          <w:b/>
          <w:bCs/>
          <w:lang w:val="pt-PT"/>
        </w:rPr>
      </w:pPr>
    </w:p>
    <w:p w14:paraId="0205769C" w14:textId="02ED6E0B" w:rsidR="002E7528" w:rsidRPr="006C3168" w:rsidRDefault="003153B1" w:rsidP="00AF6F99">
      <w:pPr>
        <w:spacing w:after="0" w:line="240" w:lineRule="auto"/>
        <w:jc w:val="both"/>
        <w:rPr>
          <w:lang w:val="pt-PT"/>
        </w:rPr>
      </w:pPr>
      <w:r w:rsidRPr="006C3168">
        <w:rPr>
          <w:b/>
          <w:bCs/>
          <w:lang w:val="pt-PT"/>
        </w:rPr>
        <w:t>Gr</w:t>
      </w:r>
      <w:r w:rsidR="00E15DB4" w:rsidRPr="006C3168">
        <w:rPr>
          <w:b/>
          <w:bCs/>
          <w:lang w:val="pt-PT"/>
        </w:rPr>
        <w:t>upo</w:t>
      </w:r>
      <w:r w:rsidRPr="006C3168">
        <w:rPr>
          <w:b/>
          <w:bCs/>
          <w:lang w:val="pt-PT"/>
        </w:rPr>
        <w:t>s</w:t>
      </w:r>
      <w:r w:rsidRPr="006C3168">
        <w:rPr>
          <w:lang w:val="pt-PT"/>
        </w:rPr>
        <w:t xml:space="preserve">: </w:t>
      </w:r>
      <w:r w:rsidR="008B67D4" w:rsidRPr="006C3168">
        <w:rPr>
          <w:lang w:val="pt-PT"/>
        </w:rPr>
        <w:t xml:space="preserve">serão constituídos </w:t>
      </w:r>
      <w:r w:rsidRPr="006C3168">
        <w:rPr>
          <w:lang w:val="pt-PT"/>
        </w:rPr>
        <w:t>3-6 gr</w:t>
      </w:r>
      <w:r w:rsidR="008B67D4" w:rsidRPr="006C3168">
        <w:rPr>
          <w:lang w:val="pt-PT"/>
        </w:rPr>
        <w:t>upos, conforme o número de participantes</w:t>
      </w:r>
      <w:r w:rsidRPr="006C3168">
        <w:rPr>
          <w:lang w:val="pt-PT"/>
        </w:rPr>
        <w:t xml:space="preserve">. </w:t>
      </w:r>
    </w:p>
    <w:p w14:paraId="26A3DD52" w14:textId="32A1C037" w:rsidR="002E7528" w:rsidRPr="006C3168" w:rsidRDefault="00AF08DC" w:rsidP="00AF6F99">
      <w:pPr>
        <w:spacing w:after="0" w:line="240" w:lineRule="auto"/>
        <w:jc w:val="both"/>
        <w:rPr>
          <w:lang w:val="pt-PT"/>
        </w:rPr>
      </w:pPr>
      <w:r w:rsidRPr="006C3168">
        <w:rPr>
          <w:lang w:val="pt-PT"/>
        </w:rPr>
        <w:t>1/</w:t>
      </w:r>
      <w:r w:rsidR="008B67D4" w:rsidRPr="006C3168">
        <w:rPr>
          <w:lang w:val="pt-PT"/>
        </w:rPr>
        <w:t xml:space="preserve">Cada grupo recebe uma breve descrição de uma síndrome a que irão dar resposta </w:t>
      </w:r>
      <w:r w:rsidRPr="006C3168">
        <w:rPr>
          <w:lang w:val="pt-PT"/>
        </w:rPr>
        <w:t>(</w:t>
      </w:r>
      <w:r w:rsidR="008B67D4" w:rsidRPr="006C3168">
        <w:rPr>
          <w:lang w:val="pt-PT"/>
        </w:rPr>
        <w:t>ver Anexo</w:t>
      </w:r>
      <w:r w:rsidRPr="006C3168">
        <w:rPr>
          <w:lang w:val="pt-PT"/>
        </w:rPr>
        <w:t xml:space="preserve"> 1 </w:t>
      </w:r>
      <w:r w:rsidR="008B67D4" w:rsidRPr="006C3168">
        <w:rPr>
          <w:lang w:val="pt-PT"/>
        </w:rPr>
        <w:t>abaixo</w:t>
      </w:r>
      <w:r w:rsidRPr="006C3168">
        <w:rPr>
          <w:lang w:val="pt-PT"/>
        </w:rPr>
        <w:t>):</w:t>
      </w:r>
    </w:p>
    <w:p w14:paraId="7AD91E8E" w14:textId="77777777" w:rsidR="008B67D4" w:rsidRPr="006C3168" w:rsidRDefault="008B67D4" w:rsidP="006C3168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Suspeita de doença do vírus Ébola (DVE)</w:t>
      </w:r>
    </w:p>
    <w:p w14:paraId="76763787" w14:textId="77777777" w:rsidR="008B67D4" w:rsidRPr="006C3168" w:rsidRDefault="008B67D4" w:rsidP="006C3168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Suspeita de Febre do Vale do Rift</w:t>
      </w:r>
    </w:p>
    <w:p w14:paraId="303D1F52" w14:textId="77777777" w:rsidR="008B67D4" w:rsidRPr="006C3168" w:rsidRDefault="008B67D4" w:rsidP="006C3168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Suspeita de Carbúnculo</w:t>
      </w:r>
    </w:p>
    <w:p w14:paraId="16272551" w14:textId="0DCC0E97" w:rsidR="00F56506" w:rsidRPr="006C3168" w:rsidRDefault="008B67D4" w:rsidP="006C3168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Suspeita de Síndrome Respiratória Aguda Grave </w:t>
      </w:r>
      <w:r w:rsidR="00152A1F" w:rsidRPr="006C3168">
        <w:rPr>
          <w:rFonts w:asciiTheme="minorHAnsi" w:hAnsiTheme="minorHAnsi" w:cstheme="minorHAnsi"/>
          <w:sz w:val="22"/>
          <w:szCs w:val="22"/>
          <w:lang w:val="pt-PT"/>
        </w:rPr>
        <w:t>(S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>RAG</w:t>
      </w:r>
      <w:r w:rsidR="00152A1F" w:rsidRPr="006C3168">
        <w:rPr>
          <w:rFonts w:asciiTheme="minorHAnsi" w:hAnsiTheme="minorHAnsi" w:cstheme="minorHAnsi"/>
          <w:sz w:val="22"/>
          <w:szCs w:val="22"/>
          <w:lang w:val="pt-PT"/>
        </w:rPr>
        <w:t>)</w:t>
      </w:r>
    </w:p>
    <w:p w14:paraId="76CF645F" w14:textId="77777777" w:rsidR="002E7528" w:rsidRPr="006C3168" w:rsidRDefault="002E7528" w:rsidP="00AF6F99">
      <w:pPr>
        <w:spacing w:after="0" w:line="240" w:lineRule="auto"/>
        <w:jc w:val="both"/>
        <w:rPr>
          <w:lang w:val="pt-PT"/>
        </w:rPr>
      </w:pPr>
    </w:p>
    <w:p w14:paraId="0D4A8973" w14:textId="33556A88" w:rsidR="00F56506" w:rsidRPr="006C3168" w:rsidRDefault="00AF08DC" w:rsidP="00AF6F99">
      <w:pPr>
        <w:spacing w:after="0" w:line="240" w:lineRule="auto"/>
        <w:jc w:val="both"/>
        <w:rPr>
          <w:lang w:val="pt-PT"/>
        </w:rPr>
      </w:pPr>
      <w:r w:rsidRPr="006C3168">
        <w:rPr>
          <w:lang w:val="pt-PT"/>
        </w:rPr>
        <w:t>2/</w:t>
      </w:r>
      <w:r w:rsidR="008B67D4" w:rsidRPr="006C3168">
        <w:rPr>
          <w:lang w:val="pt-PT"/>
        </w:rPr>
        <w:t>Cada grupo deve preparar uma lista de verificação dos materiais e equipamento a levar para o terreno</w:t>
      </w:r>
      <w:r w:rsidRPr="006C3168">
        <w:rPr>
          <w:lang w:val="pt-PT"/>
        </w:rPr>
        <w:t>.</w:t>
      </w:r>
    </w:p>
    <w:p w14:paraId="7F87BAD8" w14:textId="77777777" w:rsidR="00AF6F99" w:rsidRPr="006C3168" w:rsidRDefault="00AF6F99" w:rsidP="00AF6F99">
      <w:pPr>
        <w:spacing w:after="0" w:line="240" w:lineRule="auto"/>
        <w:jc w:val="both"/>
        <w:rPr>
          <w:b/>
          <w:bCs/>
          <w:lang w:val="pt-PT"/>
        </w:rPr>
      </w:pPr>
    </w:p>
    <w:p w14:paraId="1517E7E8" w14:textId="1F6D6EA0" w:rsidR="00F56506" w:rsidRPr="006C3168" w:rsidRDefault="008B67D4" w:rsidP="00AF6F99">
      <w:pPr>
        <w:spacing w:after="0" w:line="240" w:lineRule="auto"/>
        <w:jc w:val="both"/>
        <w:rPr>
          <w:lang w:val="pt-PT"/>
        </w:rPr>
      </w:pPr>
      <w:r w:rsidRPr="006C3168">
        <w:rPr>
          <w:b/>
          <w:bCs/>
          <w:lang w:val="pt-PT"/>
        </w:rPr>
        <w:t>Balanço completo por cada grupo</w:t>
      </w:r>
      <w:r w:rsidR="003153B1" w:rsidRPr="006C3168">
        <w:rPr>
          <w:lang w:val="pt-PT"/>
        </w:rPr>
        <w:t>. Compar</w:t>
      </w:r>
      <w:r w:rsidRPr="006C3168">
        <w:rPr>
          <w:lang w:val="pt-PT"/>
        </w:rPr>
        <w:t>ação entre as diferentes necessidades, conforme a síndrome</w:t>
      </w:r>
      <w:r w:rsidR="003153B1" w:rsidRPr="006C3168">
        <w:rPr>
          <w:lang w:val="pt-PT"/>
        </w:rPr>
        <w:t>.</w:t>
      </w:r>
    </w:p>
    <w:p w14:paraId="51287770" w14:textId="77777777" w:rsidR="00AF6F99" w:rsidRPr="006C3168" w:rsidRDefault="00AF6F99" w:rsidP="00AF6F99">
      <w:pPr>
        <w:spacing w:after="0" w:line="240" w:lineRule="auto"/>
        <w:jc w:val="both"/>
        <w:rPr>
          <w:b/>
          <w:bCs/>
          <w:lang w:val="pt-PT"/>
        </w:rPr>
      </w:pPr>
    </w:p>
    <w:p w14:paraId="1BBEE7B5" w14:textId="77777777" w:rsidR="006C3168" w:rsidRPr="006C3168" w:rsidRDefault="008B67D4" w:rsidP="00AF6F99">
      <w:pPr>
        <w:spacing w:after="0" w:line="240" w:lineRule="auto"/>
        <w:jc w:val="both"/>
        <w:rPr>
          <w:lang w:val="pt-PT"/>
        </w:rPr>
      </w:pPr>
      <w:r w:rsidRPr="006C3168">
        <w:rPr>
          <w:b/>
          <w:bCs/>
          <w:lang w:val="pt-PT"/>
        </w:rPr>
        <w:t>Ideias para a formação</w:t>
      </w:r>
      <w:r w:rsidR="003153B1" w:rsidRPr="006C3168">
        <w:rPr>
          <w:b/>
          <w:bCs/>
          <w:lang w:val="pt-PT"/>
        </w:rPr>
        <w:t>:</w:t>
      </w:r>
      <w:r w:rsidR="003153B1" w:rsidRPr="006C3168">
        <w:rPr>
          <w:lang w:val="pt-PT"/>
        </w:rPr>
        <w:t xml:space="preserve"> </w:t>
      </w:r>
    </w:p>
    <w:p w14:paraId="6C2F69AB" w14:textId="3F041C4F" w:rsidR="00C57E7B" w:rsidRPr="006C3168" w:rsidRDefault="003153B1" w:rsidP="006C3168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Identif</w:t>
      </w:r>
      <w:r w:rsidR="008B67D4"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icar quais os materiais/equipamento/produtos essenciais que são sempre necessários </w:t>
      </w:r>
      <w:r w:rsidR="00E15DB4" w:rsidRPr="006C3168">
        <w:rPr>
          <w:rFonts w:asciiTheme="minorHAnsi" w:hAnsiTheme="minorHAnsi" w:cstheme="minorHAnsi"/>
          <w:sz w:val="22"/>
          <w:szCs w:val="22"/>
          <w:lang w:val="pt-PT"/>
        </w:rPr>
        <w:t>para as ERR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>,</w:t>
      </w:r>
      <w:r w:rsidR="00C57E7B"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 independent</w:t>
      </w:r>
      <w:r w:rsidR="00E15DB4" w:rsidRPr="006C3168">
        <w:rPr>
          <w:rFonts w:asciiTheme="minorHAnsi" w:hAnsiTheme="minorHAnsi" w:cstheme="minorHAnsi"/>
          <w:sz w:val="22"/>
          <w:szCs w:val="22"/>
          <w:lang w:val="pt-PT"/>
        </w:rPr>
        <w:t>emente do ti</w:t>
      </w:r>
      <w:r w:rsidR="008225AE" w:rsidRPr="006C3168">
        <w:rPr>
          <w:rFonts w:asciiTheme="minorHAnsi" w:hAnsiTheme="minorHAnsi" w:cstheme="minorHAnsi"/>
          <w:sz w:val="22"/>
          <w:szCs w:val="22"/>
          <w:lang w:val="pt-PT"/>
        </w:rPr>
        <w:t>p</w:t>
      </w:r>
      <w:r w:rsidR="00E15DB4" w:rsidRPr="006C3168">
        <w:rPr>
          <w:rFonts w:asciiTheme="minorHAnsi" w:hAnsiTheme="minorHAnsi" w:cstheme="minorHAnsi"/>
          <w:sz w:val="22"/>
          <w:szCs w:val="22"/>
          <w:lang w:val="pt-PT"/>
        </w:rPr>
        <w:t>o de evento a ser investigado</w:t>
      </w:r>
      <w:r w:rsidR="00C57E7B" w:rsidRPr="006C3168">
        <w:rPr>
          <w:rFonts w:asciiTheme="minorHAnsi" w:hAnsiTheme="minorHAnsi" w:cstheme="minorHAnsi"/>
          <w:sz w:val="22"/>
          <w:szCs w:val="22"/>
          <w:lang w:val="pt-PT"/>
        </w:rPr>
        <w:t>,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="00E15DB4" w:rsidRPr="006C3168">
        <w:rPr>
          <w:rFonts w:asciiTheme="minorHAnsi" w:hAnsiTheme="minorHAnsi" w:cstheme="minorHAnsi"/>
          <w:sz w:val="22"/>
          <w:szCs w:val="22"/>
          <w:lang w:val="pt-PT"/>
        </w:rPr>
        <w:t>e apontá-los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</w:p>
    <w:p w14:paraId="78CFF0DC" w14:textId="23C105B1" w:rsidR="00C57E7B" w:rsidRPr="006C3168" w:rsidRDefault="00E15DB4" w:rsidP="006C3168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Indicar os</w:t>
      </w:r>
      <w:r w:rsidR="00C57E7B"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>materiais/equipamento/produtos</w:t>
      </w:r>
      <w:r w:rsidR="00C57E7B" w:rsidRPr="006C3168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6C3168">
        <w:rPr>
          <w:rFonts w:asciiTheme="minorHAnsi" w:hAnsiTheme="minorHAnsi" w:cstheme="minorHAnsi"/>
          <w:sz w:val="22"/>
          <w:szCs w:val="22"/>
          <w:lang w:val="pt-PT"/>
        </w:rPr>
        <w:t>que são específicos da doença e/ou contexto</w:t>
      </w:r>
      <w:r w:rsidR="00C57E7B" w:rsidRPr="006C3168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187ADA75" w14:textId="37C689F7" w:rsidR="00F56506" w:rsidRPr="006C3168" w:rsidRDefault="00E15DB4" w:rsidP="006C3168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6C3168">
        <w:rPr>
          <w:rFonts w:asciiTheme="minorHAnsi" w:hAnsiTheme="minorHAnsi" w:cstheme="minorHAnsi"/>
          <w:sz w:val="22"/>
          <w:szCs w:val="22"/>
          <w:lang w:val="pt-PT"/>
        </w:rPr>
        <w:t>Discutir igualmente o que as ERR deverão fazer no terreno, se precisarem de mais materiais/equipamento quando já estão destacadas</w:t>
      </w:r>
      <w:r w:rsidR="003153B1" w:rsidRPr="006C3168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11C2B055" w14:textId="77777777" w:rsidR="005A01AC" w:rsidRPr="008225AE" w:rsidRDefault="005A01AC" w:rsidP="00AF6F99">
      <w:pPr>
        <w:spacing w:after="0" w:line="240" w:lineRule="auto"/>
        <w:jc w:val="both"/>
        <w:rPr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C3168" w14:paraId="7A4C6939" w14:textId="77777777" w:rsidTr="006C3168">
        <w:tc>
          <w:tcPr>
            <w:tcW w:w="9242" w:type="dxa"/>
          </w:tcPr>
          <w:p w14:paraId="510BDA17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53"/>
              <w:ind w:left="0"/>
              <w:jc w:val="center"/>
              <w:textAlignment w:val="baseline"/>
              <w:rPr>
                <w:rFonts w:asciiTheme="minorHAnsi" w:hAnsiTheme="minorHAnsi" w:cs="Arial"/>
                <w:b/>
                <w:bCs/>
                <w:color w:val="0000FF"/>
                <w:kern w:val="24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b/>
                <w:bCs/>
                <w:color w:val="0000FF"/>
                <w:kern w:val="24"/>
                <w:sz w:val="22"/>
                <w:szCs w:val="22"/>
                <w:lang w:val="pt-PT"/>
              </w:rPr>
              <w:t>Exoneração de responsabilidade</w:t>
            </w:r>
          </w:p>
          <w:p w14:paraId="4EBA7C9F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53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</w:p>
          <w:p w14:paraId="6AF3DC6D" w14:textId="0054DAF4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>Plataforma</w:t>
            </w:r>
            <w:r w:rsidRPr="00E15DB4">
              <w:rPr>
                <w:rFonts w:asciiTheme="minorHAnsi" w:hAnsiTheme="minorHAnsi" w:cs="Arial"/>
                <w:b/>
                <w:bCs/>
                <w:color w:val="000000"/>
                <w:kern w:val="24"/>
                <w:sz w:val="22"/>
                <w:szCs w:val="22"/>
                <w:lang w:val="pt-PT"/>
              </w:rPr>
              <w:t xml:space="preserve"> da OMS para a Aprendizagem sobre Segurança Sanitária – Materiais de Formação</w:t>
            </w:r>
          </w:p>
          <w:p w14:paraId="285C2E52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>Estes Materiais de Formação da OMS são propriedade da © Organização Mundial da Saúde (WHO) 2018. Todos os direitos reservados.</w:t>
            </w:r>
          </w:p>
          <w:p w14:paraId="7369C8D7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>A sua utilização destes materiais está sujeita aos “</w:t>
            </w:r>
            <w:r w:rsidRPr="00E15DB4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  <w:lang w:val="pt-PT"/>
              </w:rPr>
              <w:t xml:space="preserve">Termos de Utilização dos Materiais </w:t>
            </w:r>
          </w:p>
          <w:p w14:paraId="3C4AE421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  <w:lang w:val="pt-PT"/>
              </w:rPr>
              <w:t>de Formação da Plataforma da OMS para a Aprendizagem sobre Segurança Sanitária</w:t>
            </w: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11" w:history="1">
              <w:r w:rsidRPr="006C3168">
                <w:rPr>
                  <w:rStyle w:val="Hyperlink"/>
                  <w:rFonts w:asciiTheme="minorHAnsi" w:hAnsiTheme="minorHAnsi" w:cs="Arial"/>
                  <w:kern w:val="24"/>
                  <w:sz w:val="22"/>
                  <w:szCs w:val="22"/>
                  <w:lang w:val="pt-PT"/>
                </w:rPr>
                <w:t>https://extranet.who.int/hslp</w:t>
              </w:r>
            </w:hyperlink>
            <w:r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 xml:space="preserve"> </w:t>
            </w:r>
          </w:p>
          <w:p w14:paraId="201EA1ED" w14:textId="77777777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> </w:t>
            </w:r>
          </w:p>
          <w:p w14:paraId="1CBF2345" w14:textId="0BD976C7" w:rsidR="006C3168" w:rsidRPr="00E15DB4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</w:p>
          <w:p w14:paraId="7472FC77" w14:textId="4C4C47CD" w:rsidR="006C3168" w:rsidRPr="006C3168" w:rsidRDefault="006C3168" w:rsidP="006C3168">
            <w:pPr>
              <w:pStyle w:val="ListParagraph"/>
              <w:kinsoku w:val="0"/>
              <w:overflowPunct w:val="0"/>
              <w:spacing w:before="77"/>
              <w:ind w:left="0"/>
              <w:textAlignment w:val="baseline"/>
              <w:rPr>
                <w:rFonts w:asciiTheme="minorHAnsi" w:hAnsiTheme="minorHAnsi"/>
                <w:sz w:val="22"/>
                <w:szCs w:val="22"/>
                <w:lang w:val="pt-PT"/>
              </w:rPr>
            </w:pPr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2" w:history="1">
              <w:r w:rsidRPr="00E15DB4">
                <w:rPr>
                  <w:rStyle w:val="Hyperlink"/>
                  <w:rFonts w:asciiTheme="minorHAnsi" w:hAnsiTheme="minorHAnsi" w:cs="Arial"/>
                  <w:kern w:val="24"/>
                  <w:sz w:val="22"/>
                  <w:szCs w:val="22"/>
                  <w:lang w:val="pt-PT"/>
                </w:rPr>
                <w:t>ihrhrt@who.int</w:t>
              </w:r>
            </w:hyperlink>
            <w:r w:rsidRPr="00E15DB4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  <w:lang w:val="pt-PT"/>
              </w:rPr>
              <w:t xml:space="preserve"> </w:t>
            </w:r>
          </w:p>
        </w:tc>
      </w:tr>
    </w:tbl>
    <w:p w14:paraId="76991DC7" w14:textId="77777777" w:rsidR="00E15DB4" w:rsidRPr="008225AE" w:rsidRDefault="00E15DB4" w:rsidP="005A01AC">
      <w:pPr>
        <w:rPr>
          <w:lang w:val="pt-PT"/>
        </w:rPr>
      </w:pPr>
    </w:p>
    <w:p w14:paraId="1861FCC9" w14:textId="5C8D2FE2" w:rsidR="00AF08DC" w:rsidRPr="006C3168" w:rsidRDefault="00152A1F" w:rsidP="006C3168">
      <w:pPr>
        <w:rPr>
          <w:lang w:val="pt-PT"/>
        </w:rPr>
      </w:pPr>
      <w:r w:rsidRPr="008225AE">
        <w:rPr>
          <w:lang w:val="pt-PT"/>
        </w:rPr>
        <w:br w:type="page"/>
      </w:r>
      <w:r w:rsidR="002E7528" w:rsidRPr="008225AE">
        <w:rPr>
          <w:rFonts w:cstheme="minorHAnsi"/>
          <w:b/>
          <w:sz w:val="24"/>
          <w:szCs w:val="24"/>
          <w:lang w:val="pt-PT"/>
        </w:rPr>
        <w:lastRenderedPageBreak/>
        <w:t>Anex</w:t>
      </w:r>
      <w:r w:rsidR="00A239E9" w:rsidRPr="008225AE">
        <w:rPr>
          <w:rFonts w:cstheme="minorHAnsi"/>
          <w:b/>
          <w:sz w:val="24"/>
          <w:szCs w:val="24"/>
          <w:lang w:val="pt-PT"/>
        </w:rPr>
        <w:t>o</w:t>
      </w:r>
      <w:r w:rsidR="002E7528" w:rsidRPr="008225AE">
        <w:rPr>
          <w:rFonts w:cstheme="minorHAnsi"/>
          <w:b/>
          <w:sz w:val="24"/>
          <w:szCs w:val="24"/>
          <w:lang w:val="pt-PT"/>
        </w:rPr>
        <w:t xml:space="preserve"> 1:</w:t>
      </w:r>
      <w:r w:rsidR="00AF08DC" w:rsidRPr="008225AE">
        <w:rPr>
          <w:rFonts w:cstheme="minorHAnsi"/>
          <w:b/>
          <w:sz w:val="24"/>
          <w:szCs w:val="24"/>
          <w:lang w:val="pt-PT"/>
        </w:rPr>
        <w:t xml:space="preserve"> </w:t>
      </w:r>
      <w:r w:rsidR="00A239E9" w:rsidRPr="008225AE">
        <w:rPr>
          <w:rFonts w:cstheme="minorHAnsi"/>
          <w:b/>
          <w:sz w:val="24"/>
          <w:szCs w:val="24"/>
          <w:lang w:val="pt-PT"/>
        </w:rPr>
        <w:t>Descrição das síndromes</w:t>
      </w:r>
      <w:r w:rsidR="00AF08DC" w:rsidRPr="008225AE">
        <w:rPr>
          <w:rFonts w:cstheme="minorHAnsi"/>
          <w:b/>
          <w:sz w:val="24"/>
          <w:szCs w:val="24"/>
          <w:lang w:val="pt-PT"/>
        </w:rPr>
        <w:t xml:space="preserve"> </w:t>
      </w:r>
      <w:r w:rsidR="00AF08DC" w:rsidRPr="008225AE">
        <w:rPr>
          <w:rFonts w:cstheme="minorHAnsi"/>
          <w:sz w:val="24"/>
          <w:szCs w:val="24"/>
          <w:lang w:val="pt-PT"/>
        </w:rPr>
        <w:t>(</w:t>
      </w:r>
      <w:r w:rsidR="00A239E9" w:rsidRPr="008225AE">
        <w:rPr>
          <w:rFonts w:cstheme="minorHAnsi"/>
          <w:sz w:val="24"/>
          <w:szCs w:val="24"/>
          <w:lang w:val="pt-PT"/>
        </w:rPr>
        <w:t>a imprimir para distribuição aos participantes</w:t>
      </w:r>
      <w:r w:rsidR="00AF08DC" w:rsidRPr="008225AE">
        <w:rPr>
          <w:rFonts w:cstheme="minorHAnsi"/>
          <w:sz w:val="24"/>
          <w:szCs w:val="24"/>
          <w:lang w:val="pt-PT"/>
        </w:rPr>
        <w:t>).</w:t>
      </w:r>
    </w:p>
    <w:p w14:paraId="022B77D3" w14:textId="5608FF1C" w:rsidR="00EF0659" w:rsidRPr="008225AE" w:rsidRDefault="00EF0659" w:rsidP="002E7528">
      <w:pPr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8225AE">
        <w:rPr>
          <w:rFonts w:cstheme="minorHAnsi"/>
          <w:b/>
          <w:bCs/>
          <w:lang w:val="pt-PT"/>
        </w:rPr>
        <w:t>Suspe</w:t>
      </w:r>
      <w:r w:rsidR="00A239E9" w:rsidRPr="008225AE">
        <w:rPr>
          <w:rFonts w:cstheme="minorHAnsi"/>
          <w:b/>
          <w:bCs/>
          <w:lang w:val="pt-PT"/>
        </w:rPr>
        <w:t>ita de DVE</w:t>
      </w:r>
    </w:p>
    <w:p w14:paraId="58A09418" w14:textId="77777777" w:rsidR="00AF08DC" w:rsidRPr="008225AE" w:rsidRDefault="00AF08DC" w:rsidP="002E7528">
      <w:pPr>
        <w:spacing w:after="0" w:line="240" w:lineRule="auto"/>
        <w:jc w:val="both"/>
        <w:rPr>
          <w:rFonts w:cstheme="minorHAnsi"/>
          <w:lang w:val="pt-PT"/>
        </w:rPr>
      </w:pPr>
    </w:p>
    <w:p w14:paraId="235E50A3" w14:textId="501C60A0" w:rsidR="002E7528" w:rsidRPr="008225AE" w:rsidRDefault="00A239E9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>A DVE</w:t>
      </w:r>
      <w:r w:rsidR="002E7528" w:rsidRPr="008225AE">
        <w:rPr>
          <w:rFonts w:eastAsia="Times New Roman" w:cstheme="minorHAnsi"/>
          <w:lang w:val="pt-PT"/>
        </w:rPr>
        <w:t xml:space="preserve">, </w:t>
      </w:r>
      <w:r w:rsidRPr="008225AE">
        <w:rPr>
          <w:rFonts w:eastAsia="Times New Roman" w:cstheme="minorHAnsi"/>
          <w:lang w:val="pt-PT"/>
        </w:rPr>
        <w:t>anteriormente conhecida como febre hemorrágica do Ébola</w:t>
      </w:r>
      <w:r w:rsidR="002E7528" w:rsidRPr="008225AE">
        <w:rPr>
          <w:rFonts w:eastAsia="Times New Roman" w:cstheme="minorHAnsi"/>
          <w:lang w:val="pt-PT"/>
        </w:rPr>
        <w:t xml:space="preserve">, </w:t>
      </w:r>
      <w:r w:rsidRPr="008225AE">
        <w:rPr>
          <w:rFonts w:eastAsia="Times New Roman" w:cstheme="minorHAnsi"/>
          <w:lang w:val="pt-PT"/>
        </w:rPr>
        <w:t>é uma doença grave e muitas vezes fatal no ser humano</w:t>
      </w:r>
      <w:r w:rsidR="002E7528" w:rsidRPr="008225AE">
        <w:rPr>
          <w:rFonts w:eastAsia="Times New Roman" w:cstheme="minorHAnsi"/>
          <w:lang w:val="pt-PT"/>
        </w:rPr>
        <w:t xml:space="preserve">. </w:t>
      </w:r>
      <w:r w:rsidRPr="008225AE">
        <w:rPr>
          <w:rFonts w:eastAsia="Times New Roman" w:cstheme="minorHAnsi"/>
          <w:lang w:val="pt-PT"/>
        </w:rPr>
        <w:t>O vírus é transmitido às pessoas por animais selvagens e propaga-se pela população humana através da transmissão humano-humano</w:t>
      </w:r>
      <w:r w:rsidR="002E7528" w:rsidRPr="008225AE">
        <w:rPr>
          <w:rFonts w:eastAsia="Times New Roman" w:cstheme="minorHAnsi"/>
          <w:lang w:val="pt-PT"/>
        </w:rPr>
        <w:t>.</w:t>
      </w:r>
    </w:p>
    <w:p w14:paraId="7448479E" w14:textId="5B396156" w:rsidR="002E7528" w:rsidRPr="008225AE" w:rsidRDefault="00A239E9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 xml:space="preserve">A taxa média de casos mortais por DVE é de, aproximadamente, </w:t>
      </w:r>
      <w:r w:rsidR="002E7528" w:rsidRPr="008225AE">
        <w:rPr>
          <w:rFonts w:eastAsia="Times New Roman" w:cstheme="minorHAnsi"/>
          <w:lang w:val="pt-PT"/>
        </w:rPr>
        <w:t xml:space="preserve">50%. </w:t>
      </w:r>
      <w:r w:rsidRPr="008225AE">
        <w:rPr>
          <w:rFonts w:eastAsia="Times New Roman" w:cstheme="minorHAnsi"/>
          <w:lang w:val="pt-PT"/>
        </w:rPr>
        <w:t xml:space="preserve">Em surtos anteriores, a taxa de casos mortais variou de </w:t>
      </w:r>
      <w:r w:rsidR="002E7528" w:rsidRPr="008225AE">
        <w:rPr>
          <w:rFonts w:eastAsia="Times New Roman" w:cstheme="minorHAnsi"/>
          <w:lang w:val="pt-PT"/>
        </w:rPr>
        <w:t xml:space="preserve">25% </w:t>
      </w:r>
      <w:r w:rsidRPr="008225AE">
        <w:rPr>
          <w:rFonts w:eastAsia="Times New Roman" w:cstheme="minorHAnsi"/>
          <w:lang w:val="pt-PT"/>
        </w:rPr>
        <w:t>a</w:t>
      </w:r>
      <w:r w:rsidR="002E7528" w:rsidRPr="008225AE">
        <w:rPr>
          <w:rFonts w:eastAsia="Times New Roman" w:cstheme="minorHAnsi"/>
          <w:lang w:val="pt-PT"/>
        </w:rPr>
        <w:t xml:space="preserve"> 90%.</w:t>
      </w:r>
    </w:p>
    <w:p w14:paraId="13F06067" w14:textId="6AE37A4B" w:rsidR="002E7528" w:rsidRPr="008225AE" w:rsidRDefault="00A239E9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 xml:space="preserve">Os primeiros surtos de DVE ocorreram em e aldeias remotas da África </w:t>
      </w:r>
      <w:r w:rsidR="002E7528" w:rsidRPr="008225AE">
        <w:rPr>
          <w:rFonts w:eastAsia="Times New Roman" w:cstheme="minorHAnsi"/>
          <w:lang w:val="pt-PT"/>
        </w:rPr>
        <w:t xml:space="preserve">Central, </w:t>
      </w:r>
      <w:r w:rsidRPr="008225AE">
        <w:rPr>
          <w:rFonts w:eastAsia="Times New Roman" w:cstheme="minorHAnsi"/>
          <w:lang w:val="pt-PT"/>
        </w:rPr>
        <w:t>perto de florestas tropicais</w:t>
      </w:r>
      <w:r w:rsidR="002E7528" w:rsidRPr="008225AE">
        <w:rPr>
          <w:rFonts w:eastAsia="Times New Roman" w:cstheme="minorHAnsi"/>
          <w:lang w:val="pt-PT"/>
        </w:rPr>
        <w:t xml:space="preserve">, </w:t>
      </w:r>
      <w:r w:rsidRPr="008225AE">
        <w:rPr>
          <w:rFonts w:eastAsia="Times New Roman" w:cstheme="minorHAnsi"/>
          <w:lang w:val="pt-PT"/>
        </w:rPr>
        <w:t>mas o surto mais recente na África Ocidental ocorreu não só em zonas rurais, mas também em grandes centros urbanos</w:t>
      </w:r>
      <w:r w:rsidR="002E7528" w:rsidRPr="008225AE">
        <w:rPr>
          <w:rFonts w:eastAsia="Times New Roman" w:cstheme="minorHAnsi"/>
          <w:lang w:val="pt-PT"/>
        </w:rPr>
        <w:t>.</w:t>
      </w:r>
    </w:p>
    <w:p w14:paraId="07AF0765" w14:textId="0F0FDBD0" w:rsidR="002E7528" w:rsidRPr="008225AE" w:rsidRDefault="00A239E9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>O envolvimento das comunidades é fundamental para o êxito no controlo destes surtos</w:t>
      </w:r>
      <w:r w:rsidR="002E7528" w:rsidRPr="008225AE">
        <w:rPr>
          <w:rFonts w:eastAsia="Times New Roman" w:cstheme="minorHAnsi"/>
          <w:lang w:val="pt-PT"/>
        </w:rPr>
        <w:t xml:space="preserve">. </w:t>
      </w:r>
      <w:r w:rsidRPr="008225AE">
        <w:rPr>
          <w:rFonts w:eastAsia="Times New Roman" w:cstheme="minorHAnsi"/>
          <w:lang w:val="pt-PT"/>
        </w:rPr>
        <w:t>Um bom controlo dos surtos depende da aplicação de um pacote de intervenções</w:t>
      </w:r>
      <w:r w:rsidR="002E7528" w:rsidRPr="008225AE">
        <w:rPr>
          <w:rFonts w:eastAsia="Times New Roman" w:cstheme="minorHAnsi"/>
          <w:lang w:val="pt-PT"/>
        </w:rPr>
        <w:t xml:space="preserve">, </w:t>
      </w:r>
      <w:r w:rsidRPr="008225AE">
        <w:rPr>
          <w:rFonts w:eastAsia="Times New Roman" w:cstheme="minorHAnsi"/>
          <w:lang w:val="pt-PT"/>
        </w:rPr>
        <w:t>designadamente, a gestão dos casos, a vigilância e a localização dos contactos</w:t>
      </w:r>
      <w:r w:rsidR="002E7528" w:rsidRPr="008225AE">
        <w:rPr>
          <w:rFonts w:eastAsia="Times New Roman" w:cstheme="minorHAnsi"/>
          <w:lang w:val="pt-PT"/>
        </w:rPr>
        <w:t xml:space="preserve">, </w:t>
      </w:r>
      <w:r w:rsidRPr="008225AE">
        <w:rPr>
          <w:rFonts w:eastAsia="Times New Roman" w:cstheme="minorHAnsi"/>
          <w:lang w:val="pt-PT"/>
        </w:rPr>
        <w:t>um bom serviço laboratorial, funerais seguros e mobilização social</w:t>
      </w:r>
      <w:r w:rsidR="002E7528" w:rsidRPr="008225AE">
        <w:rPr>
          <w:rFonts w:eastAsia="Times New Roman" w:cstheme="minorHAnsi"/>
          <w:lang w:val="pt-PT"/>
        </w:rPr>
        <w:t xml:space="preserve">. </w:t>
      </w:r>
    </w:p>
    <w:p w14:paraId="60BB551A" w14:textId="1D2028D2" w:rsidR="002E7528" w:rsidRPr="008225AE" w:rsidRDefault="00A239E9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>Os cuidados de apoio iniciais, como a reidratação e o tratamento dos sintomas, aumentam a probabilidade de sobrevivência</w:t>
      </w:r>
      <w:r w:rsidR="002E7528" w:rsidRPr="008225AE">
        <w:rPr>
          <w:rFonts w:eastAsia="Times New Roman" w:cstheme="minorHAnsi"/>
          <w:lang w:val="pt-PT"/>
        </w:rPr>
        <w:t xml:space="preserve">. </w:t>
      </w:r>
      <w:r w:rsidR="00351E53" w:rsidRPr="008225AE">
        <w:rPr>
          <w:rFonts w:eastAsia="Times New Roman" w:cstheme="minorHAnsi"/>
          <w:lang w:val="pt-PT"/>
        </w:rPr>
        <w:t xml:space="preserve">Até à data, não existe um tratamento licenciado comprovado que </w:t>
      </w:r>
      <w:r w:rsidR="002E7528" w:rsidRPr="008225AE">
        <w:rPr>
          <w:rFonts w:eastAsia="Times New Roman" w:cstheme="minorHAnsi"/>
          <w:lang w:val="pt-PT"/>
        </w:rPr>
        <w:t>neutrali</w:t>
      </w:r>
      <w:r w:rsidR="00351E53" w:rsidRPr="008225AE">
        <w:rPr>
          <w:rFonts w:eastAsia="Times New Roman" w:cstheme="minorHAnsi"/>
          <w:lang w:val="pt-PT"/>
        </w:rPr>
        <w:t>z</w:t>
      </w:r>
      <w:r w:rsidR="002E7528" w:rsidRPr="008225AE">
        <w:rPr>
          <w:rFonts w:eastAsia="Times New Roman" w:cstheme="minorHAnsi"/>
          <w:lang w:val="pt-PT"/>
        </w:rPr>
        <w:t xml:space="preserve">e </w:t>
      </w:r>
      <w:r w:rsidR="00351E53" w:rsidRPr="008225AE">
        <w:rPr>
          <w:rFonts w:eastAsia="Times New Roman" w:cstheme="minorHAnsi"/>
          <w:lang w:val="pt-PT"/>
        </w:rPr>
        <w:t>o vírus, mas há uma série de terapias hematológicas, imunológicas e medicamentosas em estudo</w:t>
      </w:r>
      <w:r w:rsidR="002E7528" w:rsidRPr="008225AE">
        <w:rPr>
          <w:rFonts w:eastAsia="Times New Roman" w:cstheme="minorHAnsi"/>
          <w:lang w:val="pt-PT"/>
        </w:rPr>
        <w:t xml:space="preserve">. </w:t>
      </w:r>
    </w:p>
    <w:p w14:paraId="0DBCB51E" w14:textId="0D82957E" w:rsidR="002E7528" w:rsidRPr="008225AE" w:rsidRDefault="00351E53" w:rsidP="00AF08DC">
      <w:pPr>
        <w:spacing w:after="0" w:line="240" w:lineRule="auto"/>
        <w:jc w:val="both"/>
        <w:rPr>
          <w:rFonts w:eastAsia="Times New Roman" w:cstheme="minorHAnsi"/>
          <w:lang w:val="pt-PT"/>
        </w:rPr>
      </w:pPr>
      <w:r w:rsidRPr="008225AE">
        <w:rPr>
          <w:rFonts w:eastAsia="Times New Roman" w:cstheme="minorHAnsi"/>
          <w:lang w:val="pt-PT"/>
        </w:rPr>
        <w:t>Não existem actualmente vacinas licenciadas para o vírus do Ébola, mas há duas potenciais candidatas em estudo</w:t>
      </w:r>
      <w:r w:rsidR="002E7528" w:rsidRPr="008225AE">
        <w:rPr>
          <w:rFonts w:eastAsia="Times New Roman" w:cstheme="minorHAnsi"/>
          <w:lang w:val="pt-PT"/>
        </w:rPr>
        <w:t>.</w:t>
      </w:r>
    </w:p>
    <w:p w14:paraId="1B7CFE3E" w14:textId="77777777" w:rsidR="002E7528" w:rsidRPr="008225AE" w:rsidRDefault="002E7528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p w14:paraId="253248CC" w14:textId="77777777" w:rsidR="002E7528" w:rsidRPr="008225AE" w:rsidRDefault="002E7528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p w14:paraId="151F7D66" w14:textId="38265F4C" w:rsidR="00EF0659" w:rsidRPr="008225AE" w:rsidRDefault="00EF0659" w:rsidP="002E7528">
      <w:pPr>
        <w:spacing w:after="0" w:line="240" w:lineRule="auto"/>
        <w:jc w:val="both"/>
        <w:rPr>
          <w:rFonts w:cstheme="minorHAnsi"/>
          <w:b/>
          <w:lang w:val="pt-PT"/>
        </w:rPr>
      </w:pPr>
      <w:r w:rsidRPr="008225AE">
        <w:rPr>
          <w:rFonts w:cstheme="minorHAnsi"/>
          <w:b/>
          <w:lang w:val="pt-PT"/>
        </w:rPr>
        <w:t>Suspe</w:t>
      </w:r>
      <w:r w:rsidR="00351E53" w:rsidRPr="008225AE">
        <w:rPr>
          <w:rFonts w:cstheme="minorHAnsi"/>
          <w:b/>
          <w:lang w:val="pt-PT"/>
        </w:rPr>
        <w:t xml:space="preserve">ita de Febre do Vale do </w:t>
      </w:r>
      <w:r w:rsidRPr="008225AE">
        <w:rPr>
          <w:rFonts w:cstheme="minorHAnsi"/>
          <w:b/>
          <w:lang w:val="pt-PT"/>
        </w:rPr>
        <w:t>Rift</w:t>
      </w:r>
    </w:p>
    <w:p w14:paraId="741A69E0" w14:textId="77777777" w:rsidR="002E7528" w:rsidRPr="008225AE" w:rsidRDefault="002E7528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p w14:paraId="345C9C94" w14:textId="1A1C489C" w:rsidR="00EF0659" w:rsidRPr="008225AE" w:rsidRDefault="00351E53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Febre do Vale do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Rift (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FVR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)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é uma zoonose viral que começou por ser identificada no Quénia, em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1931.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Esta doença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transmitida por mosquitos afecta, sobretudo, os animais mas também tem a capacidade de infectar seres humanos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grande maioria das infecções humanas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resulta de contacto directo ou indirecto com o sangue o órgãos de animais infectados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Esse contacto pode ocorrer durante os cuidados ou o abate de animais infectados ou ainda, possivelmente, por ingestão de leite cru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infecção humana pode também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result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ar da picada de mosquitos infectados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5FEFAA50" w14:textId="7465C6D5" w:rsidR="00EF0659" w:rsidRPr="008225AE" w:rsidRDefault="00196CB7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>Embora os casos humanos sejam, na sua maioria, relativamente ligeiros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há uma pequena percentagem de doentes que desenvolve uma forma muito mais grave da doença, que se apresenta como uma ou mais de três síndromes distritais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: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doença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ocular, meningoence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falite e febre hemorrágica viral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Para os casos mais graves, o tratamento predominante é a terapia geral de apoio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0865A305" w14:textId="77777777" w:rsidR="002E7528" w:rsidRPr="008225AE" w:rsidRDefault="002E7528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3E2BB622" w14:textId="77777777" w:rsidR="00AF08DC" w:rsidRPr="008225AE" w:rsidRDefault="00AF08DC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2DF6FC7C" w14:textId="2693571C" w:rsidR="00EF0659" w:rsidRPr="008225AE" w:rsidRDefault="00196CB7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b/>
          <w:sz w:val="22"/>
          <w:szCs w:val="22"/>
          <w:lang w:val="pt-PT"/>
        </w:rPr>
        <w:t>Suspeita de carbúnculo</w:t>
      </w:r>
    </w:p>
    <w:p w14:paraId="7740FB7B" w14:textId="77777777" w:rsidR="002E7528" w:rsidRPr="008225AE" w:rsidRDefault="002E7528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lang w:val="pt-PT"/>
        </w:rPr>
      </w:pPr>
    </w:p>
    <w:p w14:paraId="12FCA71B" w14:textId="5E0889C0" w:rsidR="00EF0659" w:rsidRPr="008225AE" w:rsidRDefault="00196CB7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>O carbúnculo é, sobretudo, uma doença de mamíferos herbívoros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embora seja conhecido que outros mamíferos e algumas aves o contraíram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Até à introdução e ao uso generalizado de vacinas veterinárias eficazes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constituía uma importante causa de doenças mortais em vacas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carneiros, cabras, camelos, cavalos e porcos, em todo o mundo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O carbúnculo continua a ser notificado por muitos países em herbívoros domesticados e selvagens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, especial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mente nos locais onde os programas de vacinação animal são inadequados ou foram interrompidos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01A36F62" w14:textId="2430FA1F" w:rsidR="00EF0659" w:rsidRPr="008225AE" w:rsidRDefault="00196CB7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O ser humano, de modo geral, contrai a doença, directa ou indirectamente, através de animais infectados ou por exposição ocupacional 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produtos de origem animal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infect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>ados ou contaminados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>O c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ontrol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>o do gado é, por conseguinte, fundamental para a redução da incidência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>A doença é, de modo geral, considerada como não contagiosa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="001F393D" w:rsidRPr="008225AE">
        <w:rPr>
          <w:rFonts w:asciiTheme="minorHAnsi" w:hAnsiTheme="minorHAnsi" w:cstheme="minorHAnsi"/>
          <w:sz w:val="22"/>
          <w:szCs w:val="22"/>
          <w:lang w:val="pt-PT"/>
        </w:rPr>
        <w:t>Existem registos de transmissão pessoa a pessoa mas são raros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2A1CD96E" w14:textId="2F72DC40" w:rsidR="00EF0659" w:rsidRPr="008225AE" w:rsidRDefault="003938B4" w:rsidP="002E7528">
      <w:pPr>
        <w:spacing w:after="0" w:line="240" w:lineRule="auto"/>
        <w:jc w:val="both"/>
        <w:rPr>
          <w:rFonts w:cstheme="minorHAnsi"/>
          <w:b/>
          <w:lang w:val="pt-PT"/>
        </w:rPr>
      </w:pPr>
      <w:bookmarkStart w:id="0" w:name="_GoBack"/>
      <w:bookmarkEnd w:id="0"/>
      <w:r w:rsidRPr="008225AE">
        <w:rPr>
          <w:rFonts w:cstheme="minorHAnsi"/>
          <w:b/>
          <w:lang w:val="pt-PT"/>
        </w:rPr>
        <w:lastRenderedPageBreak/>
        <w:t>Suspeita de SRAG</w:t>
      </w:r>
    </w:p>
    <w:p w14:paraId="2FCE130D" w14:textId="77777777" w:rsidR="002E7528" w:rsidRPr="008225AE" w:rsidRDefault="002E7528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p w14:paraId="0FBD9525" w14:textId="717E3C72" w:rsidR="00EF0659" w:rsidRPr="008225AE" w:rsidRDefault="003938B4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Síndrome Respiratória Aguda Grave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(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SRAG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)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é uma doença de etiologia desconhecida, que tem sido descrita em doentes na Ásia, América do Norte e Europa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</w:p>
    <w:p w14:paraId="770F617D" w14:textId="6AC9E1BE" w:rsidR="00EF0659" w:rsidRPr="008225AE" w:rsidRDefault="00133358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O período de incubação da SRAG é, normalmente,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de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2-7 d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ia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s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mas pode ir até aos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10 d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ia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s.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A doença começa, geralmente, com um pródromo de febre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 (&gt;38°C),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que é, muitas vezes, alta e associada a tremores e rigidez, sendo por vezes acompanhada de outros sintomas, como dor de cabeça, indisposição, e mialgias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No início da doença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alguns casos têm sintomas respiratórios ligeiros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Normalmente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="00E92FF0" w:rsidRPr="008225AE">
        <w:rPr>
          <w:rFonts w:asciiTheme="minorHAnsi" w:hAnsiTheme="minorHAnsi" w:cstheme="minorHAnsi"/>
          <w:sz w:val="22"/>
          <w:szCs w:val="22"/>
          <w:lang w:val="pt-PT"/>
        </w:rPr>
        <w:t>não existem erupções nem manifestações neurológicas ou gastrointestinais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, </w:t>
      </w:r>
      <w:r w:rsidR="00E92FF0" w:rsidRPr="008225AE">
        <w:rPr>
          <w:rFonts w:asciiTheme="minorHAnsi" w:hAnsiTheme="minorHAnsi" w:cstheme="minorHAnsi"/>
          <w:sz w:val="22"/>
          <w:szCs w:val="22"/>
          <w:lang w:val="pt-PT"/>
        </w:rPr>
        <w:t>embora alguns doentes tenham comunicado diarreia durante o pródromo febril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.</w:t>
      </w:r>
    </w:p>
    <w:p w14:paraId="241BE954" w14:textId="01C0F528" w:rsidR="00EF0659" w:rsidRPr="008225AE" w:rsidRDefault="00E92FF0" w:rsidP="002E75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Após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3-7 d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ia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s,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começa uma fase do tracto respiratório inferior com início de tosse seca, não produtiva, ou dispneia, que pode ser acompanhada ou progredir para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h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i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pox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e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mia.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Em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 10%-20%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dos casos, a doença respiratória é suficientemente grave para exigir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intuba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>ção e ventilação mecânica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. </w:t>
      </w:r>
      <w:r w:rsidRPr="008225AE">
        <w:rPr>
          <w:rFonts w:asciiTheme="minorHAnsi" w:hAnsiTheme="minorHAnsi" w:cstheme="minorHAnsi"/>
          <w:sz w:val="22"/>
          <w:szCs w:val="22"/>
          <w:lang w:val="pt-PT"/>
        </w:rPr>
        <w:t xml:space="preserve">A taxa de casos fatais entre as pessoas com a doença correspondendo à actual definição de caso da OMS para os casos prováveis e suspeitos de SRAG é de, aproximadamente, </w:t>
      </w:r>
      <w:r w:rsidR="00EF0659" w:rsidRPr="008225AE">
        <w:rPr>
          <w:rFonts w:asciiTheme="minorHAnsi" w:hAnsiTheme="minorHAnsi" w:cstheme="minorHAnsi"/>
          <w:sz w:val="22"/>
          <w:szCs w:val="22"/>
          <w:lang w:val="pt-PT"/>
        </w:rPr>
        <w:t>3%.</w:t>
      </w:r>
    </w:p>
    <w:p w14:paraId="5DD30B2A" w14:textId="77777777" w:rsidR="00EF0659" w:rsidRPr="008225AE" w:rsidRDefault="00EF0659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p w14:paraId="04602753" w14:textId="77777777" w:rsidR="00AF08DC" w:rsidRPr="008225AE" w:rsidRDefault="00AF08DC" w:rsidP="00AF08DC">
      <w:pPr>
        <w:spacing w:after="0" w:line="240" w:lineRule="auto"/>
        <w:rPr>
          <w:b/>
          <w:sz w:val="24"/>
          <w:szCs w:val="24"/>
          <w:lang w:val="pt-PT"/>
        </w:rPr>
      </w:pPr>
    </w:p>
    <w:p w14:paraId="77D13F31" w14:textId="77777777" w:rsidR="00AF08DC" w:rsidRPr="008225AE" w:rsidRDefault="00AF08DC" w:rsidP="00AF08DC">
      <w:pPr>
        <w:spacing w:after="0" w:line="240" w:lineRule="auto"/>
        <w:jc w:val="both"/>
        <w:rPr>
          <w:rFonts w:cstheme="minorHAnsi"/>
          <w:lang w:val="pt-PT"/>
        </w:rPr>
      </w:pPr>
    </w:p>
    <w:p w14:paraId="317222CD" w14:textId="77777777" w:rsidR="00AF08DC" w:rsidRPr="008225AE" w:rsidRDefault="00AF08DC" w:rsidP="002E7528">
      <w:pPr>
        <w:spacing w:after="0" w:line="240" w:lineRule="auto"/>
        <w:jc w:val="both"/>
        <w:rPr>
          <w:rFonts w:cstheme="minorHAnsi"/>
          <w:b/>
          <w:lang w:val="pt-PT"/>
        </w:rPr>
      </w:pPr>
    </w:p>
    <w:sectPr w:rsidR="00AF08DC" w:rsidRPr="008225AE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E6369" w14:textId="77777777" w:rsidR="00133358" w:rsidRDefault="00133358" w:rsidP="00AF6F99">
      <w:pPr>
        <w:spacing w:after="0" w:line="240" w:lineRule="auto"/>
      </w:pPr>
      <w:r>
        <w:separator/>
      </w:r>
    </w:p>
  </w:endnote>
  <w:endnote w:type="continuationSeparator" w:id="0">
    <w:p w14:paraId="3B47EFAB" w14:textId="77777777" w:rsidR="00133358" w:rsidRDefault="00133358" w:rsidP="00AF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3679" w14:textId="60B7A9C1" w:rsidR="00133358" w:rsidRPr="007D04FE" w:rsidRDefault="00133358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</w:rPr>
    </w:pPr>
    <w:r w:rsidRPr="007D04FE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6C3168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7D04FE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0748D6" w:rsidRPr="006C316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1</w:t>
    </w:r>
    <w:r w:rsidRPr="007D04FE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6C3168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Formação da OMS para as ERR – Ex.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</w:rPr>
      <w:t>Lista de verificação da logística - Facilitador – V003 – 14/05</w:t>
    </w:r>
    <w:r w:rsidRPr="007D04FE">
      <w:rPr>
        <w:rFonts w:asciiTheme="majorHAnsi" w:eastAsiaTheme="majorEastAsia" w:hAnsiTheme="majorHAnsi" w:cstheme="majorBidi"/>
        <w:noProof/>
        <w:color w:val="002060"/>
        <w:sz w:val="20"/>
        <w:szCs w:val="20"/>
      </w:rPr>
      <w:t>/2018</w:t>
    </w:r>
  </w:p>
  <w:p w14:paraId="5D62E4DC" w14:textId="77777777" w:rsidR="00133358" w:rsidRDefault="00133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15394" w14:textId="77777777" w:rsidR="00133358" w:rsidRDefault="00133358" w:rsidP="00AF6F99">
      <w:pPr>
        <w:spacing w:after="0" w:line="240" w:lineRule="auto"/>
      </w:pPr>
      <w:r>
        <w:separator/>
      </w:r>
    </w:p>
  </w:footnote>
  <w:footnote w:type="continuationSeparator" w:id="0">
    <w:p w14:paraId="3D07FAE2" w14:textId="77777777" w:rsidR="00133358" w:rsidRDefault="00133358" w:rsidP="00AF6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372"/>
    <w:multiLevelType w:val="hybridMultilevel"/>
    <w:tmpl w:val="4CB6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3BF9"/>
    <w:multiLevelType w:val="hybridMultilevel"/>
    <w:tmpl w:val="0C00DBF6"/>
    <w:lvl w:ilvl="0" w:tplc="099C00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C4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42F8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129E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0E9A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2275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46E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04A9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A260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352BAE"/>
    <w:multiLevelType w:val="multilevel"/>
    <w:tmpl w:val="EB32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F6276C"/>
    <w:multiLevelType w:val="hybridMultilevel"/>
    <w:tmpl w:val="392EEBE0"/>
    <w:lvl w:ilvl="0" w:tplc="74788C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C50C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1648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420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C8CF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0E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7066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6C9B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2E4EE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955D5"/>
    <w:multiLevelType w:val="hybridMultilevel"/>
    <w:tmpl w:val="05EA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46233"/>
    <w:multiLevelType w:val="hybridMultilevel"/>
    <w:tmpl w:val="297AAB88"/>
    <w:lvl w:ilvl="0" w:tplc="10025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0AD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543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0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08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D62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2E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8B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00F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0B236B"/>
    <w:multiLevelType w:val="hybridMultilevel"/>
    <w:tmpl w:val="CB143DCC"/>
    <w:lvl w:ilvl="0" w:tplc="0A96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8B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67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45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AA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89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A8A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21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B61BAC"/>
    <w:multiLevelType w:val="hybridMultilevel"/>
    <w:tmpl w:val="AB94E24E"/>
    <w:lvl w:ilvl="0" w:tplc="4EF69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24497C">
      <w:start w:val="1447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0CD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76B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41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FA6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504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60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D232891"/>
    <w:multiLevelType w:val="hybridMultilevel"/>
    <w:tmpl w:val="1B342284"/>
    <w:lvl w:ilvl="0" w:tplc="68001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E9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CE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1E2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E7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821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FE7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E4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EA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1077ADA"/>
    <w:multiLevelType w:val="hybridMultilevel"/>
    <w:tmpl w:val="B30C46C4"/>
    <w:lvl w:ilvl="0" w:tplc="59B4E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221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01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A9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65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D4E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8E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4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BEC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F99"/>
    <w:rsid w:val="000748D6"/>
    <w:rsid w:val="00133358"/>
    <w:rsid w:val="00136E15"/>
    <w:rsid w:val="00152A1F"/>
    <w:rsid w:val="00180FAC"/>
    <w:rsid w:val="00196CB7"/>
    <w:rsid w:val="001F393D"/>
    <w:rsid w:val="002448D2"/>
    <w:rsid w:val="002E7528"/>
    <w:rsid w:val="003153B1"/>
    <w:rsid w:val="0035058F"/>
    <w:rsid w:val="00351E53"/>
    <w:rsid w:val="003938B4"/>
    <w:rsid w:val="00554A09"/>
    <w:rsid w:val="005A01AC"/>
    <w:rsid w:val="0063415D"/>
    <w:rsid w:val="006C3168"/>
    <w:rsid w:val="007B63E9"/>
    <w:rsid w:val="007D04FE"/>
    <w:rsid w:val="008225AE"/>
    <w:rsid w:val="00822FA7"/>
    <w:rsid w:val="008B67D4"/>
    <w:rsid w:val="009107DB"/>
    <w:rsid w:val="00A239E9"/>
    <w:rsid w:val="00AF08DC"/>
    <w:rsid w:val="00AF6F99"/>
    <w:rsid w:val="00C02C14"/>
    <w:rsid w:val="00C57E7B"/>
    <w:rsid w:val="00E15DB4"/>
    <w:rsid w:val="00E87893"/>
    <w:rsid w:val="00E92FF0"/>
    <w:rsid w:val="00EF0659"/>
    <w:rsid w:val="00F5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326181"/>
  <w15:docId w15:val="{5C071B6E-E85C-4E1C-9EBB-3AC47A77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9"/>
  </w:style>
  <w:style w:type="paragraph" w:styleId="Footer">
    <w:name w:val="footer"/>
    <w:basedOn w:val="Normal"/>
    <w:link w:val="FooterChar"/>
    <w:uiPriority w:val="99"/>
    <w:unhideWhenUsed/>
    <w:rsid w:val="00AF6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9"/>
  </w:style>
  <w:style w:type="paragraph" w:styleId="NormalWeb">
    <w:name w:val="Normal (Web)"/>
    <w:basedOn w:val="Normal"/>
    <w:uiPriority w:val="99"/>
    <w:semiHidden/>
    <w:unhideWhenUsed/>
    <w:rsid w:val="00EF0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F0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3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5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7E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semiHidden/>
    <w:unhideWhenUsed/>
    <w:rsid w:val="005A01AC"/>
    <w:rPr>
      <w:color w:val="0000FF"/>
      <w:u w:val="single"/>
    </w:rPr>
  </w:style>
  <w:style w:type="table" w:styleId="TableGrid">
    <w:name w:val="Table Grid"/>
    <w:basedOn w:val="TableNormal"/>
    <w:uiPriority w:val="59"/>
    <w:rsid w:val="005A0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3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477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32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4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90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6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2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30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9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3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90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95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0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2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2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2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49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55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5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7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9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hrhrt@who.i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xtranet.who.int/hsl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635258150625835866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635258150625835866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635258150625835866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F1CB884F0EE4C8646236BDE271485" ma:contentTypeVersion="2" ma:contentTypeDescription="Create a new document." ma:contentTypeScope="" ma:versionID="56c122722effb1e741d88c8de863d459">
  <xsd:schema xmlns:xsd="http://www.w3.org/2001/XMLSchema" xmlns:xs="http://www.w3.org/2001/XMLSchema" xmlns:p="http://schemas.microsoft.com/office/2006/metadata/properties" xmlns:ns2="ba9c2f0c-b8e4-4bbe-aaf2-af25d780b7e4" targetNamespace="http://schemas.microsoft.com/office/2006/metadata/properties" ma:root="true" ma:fieldsID="76d24018f8802bd8482f7815dbab95e8" ns2:_="">
    <xsd:import namespace="ba9c2f0c-b8e4-4bbe-aaf2-af25d780b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2f0c-b8e4-4bbe-aaf2-af25d780b7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a9c2f0c-b8e4-4bbe-aaf2-af25d780b7e4">3QMVCCZ4JJPJ-2534-3234</_dlc_DocId>
    <_dlc_DocIdUrl xmlns="ba9c2f0c-b8e4-4bbe-aaf2-af25d780b7e4">
      <Url>https://esp.cdc.gov/Sites/cgh/DGHP/ERRB/GRRT/_layouts/15/DocIdRedir.aspx?ID=3QMVCCZ4JJPJ-2534-3234</Url>
      <Description>3QMVCCZ4JJPJ-2534-3234</Description>
    </_dlc_DocIdUrl>
  </documentManagement>
</p:properties>
</file>

<file path=customXml/itemProps1.xml><?xml version="1.0" encoding="utf-8"?>
<ds:datastoreItem xmlns:ds="http://schemas.openxmlformats.org/officeDocument/2006/customXml" ds:itemID="{DD1CFDE8-D839-4D60-B9B0-077083058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3B6E3-1010-43A3-BD41-45E491E2AC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113320-08D0-40C5-B6CF-F819CA713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9c2f0c-b8e4-4bbe-aaf2-af25d780b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AA8FC-3398-4947-A3C3-17D01F404707}">
  <ds:schemaRefs>
    <ds:schemaRef ds:uri="http://schemas.microsoft.com/office/2006/metadata/properties"/>
    <ds:schemaRef ds:uri="http://schemas.microsoft.com/office/infopath/2007/PartnerControls"/>
    <ds:schemaRef ds:uri="ba9c2f0c-b8e4-4bbe-aaf2-af25d780b7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Paula</dc:creator>
  <cp:lastModifiedBy>GOMEZ, Paula</cp:lastModifiedBy>
  <cp:revision>10</cp:revision>
  <dcterms:created xsi:type="dcterms:W3CDTF">2019-02-08T19:11:00Z</dcterms:created>
  <dcterms:modified xsi:type="dcterms:W3CDTF">2019-06-19T12:11:00Z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0x0101002C6F1CB884F0EE4C8646236BDE271485</vt:lpwstr>
  </property>
  <property fmtid="{D5CDD505-2E9C-101B-9397-08002B2CF9AE}" pid="3" name="_dlc_DocIdItemGuid">
    <vt:lpwstr>e3dbf949-2790-4240-a01c-c7d1e1d47a18</vt:lpwstr>
  </property>
</Properties>
</file>