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5D6A" w14:textId="6C454712" w:rsidR="008A1B65" w:rsidRDefault="0076227C" w:rsidP="008A1B65">
      <w:pPr>
        <w:pStyle w:val="Heading1"/>
        <w:keepNext w:val="0"/>
        <w:keepLines w:val="0"/>
        <w:pBdr>
          <w:bottom w:val="none" w:sz="0" w:space="0" w:color="auto"/>
        </w:pBdr>
        <w:spacing w:before="0" w:after="0" w:line="276" w:lineRule="auto"/>
        <w:rPr>
          <w:rFonts w:ascii="Arial" w:hAnsi="Arial" w:cs="Arial"/>
          <w:b/>
          <w:bCs/>
          <w:color w:val="009AC9"/>
          <w:kern w:val="36"/>
          <w:sz w:val="36"/>
          <w:szCs w:val="36"/>
        </w:rPr>
      </w:pPr>
      <w:r w:rsidRPr="0076227C">
        <w:rPr>
          <w:rFonts w:ascii="Arial" w:eastAsia="Arial" w:hAnsi="Arial" w:cs="Arial"/>
          <w:b/>
          <w:color w:val="009AC9"/>
          <w:kern w:val="36"/>
          <w:sz w:val="36"/>
          <w:szCs w:val="36"/>
          <w:lang w:bidi="fr-FR"/>
        </w:rPr>
        <w:t>Test de diagnostic rapide de détection des antigènes du SARS-COV-2</w:t>
      </w:r>
    </w:p>
    <w:p w14:paraId="2BE2986D" w14:textId="18D0A1F5" w:rsidR="008A1B65" w:rsidRPr="008A1B65" w:rsidRDefault="008A1B65" w:rsidP="008A1B65">
      <w:pPr>
        <w:pStyle w:val="Heading1"/>
        <w:keepNext w:val="0"/>
        <w:keepLines w:val="0"/>
        <w:pBdr>
          <w:bottom w:val="none" w:sz="0" w:space="0" w:color="auto"/>
        </w:pBdr>
        <w:spacing w:before="0" w:after="0" w:line="276" w:lineRule="auto"/>
        <w:rPr>
          <w:rFonts w:ascii="Arial" w:hAnsi="Arial" w:cs="Arial"/>
          <w:b/>
          <w:bCs/>
          <w:color w:val="009AC9"/>
          <w:kern w:val="36"/>
          <w:sz w:val="36"/>
          <w:szCs w:val="36"/>
        </w:rPr>
      </w:pPr>
      <w:r w:rsidRPr="008A1B65">
        <w:rPr>
          <w:rFonts w:ascii="Arial" w:eastAsia="Arial" w:hAnsi="Arial" w:cs="Arial"/>
          <w:b/>
          <w:color w:val="009AC9"/>
          <w:kern w:val="36"/>
          <w:sz w:val="36"/>
          <w:szCs w:val="36"/>
          <w:lang w:bidi="fr-FR"/>
        </w:rPr>
        <w:t>FAQ -- Foire Aux Questions</w:t>
      </w:r>
    </w:p>
    <w:p w14:paraId="5D7E72A0" w14:textId="51848E4F" w:rsidR="00E47080" w:rsidRPr="00416E89" w:rsidRDefault="00997917"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fr-FR"/>
        </w:rPr>
        <w:t>Principes</w:t>
      </w:r>
    </w:p>
    <w:p w14:paraId="57004767" w14:textId="77777777" w:rsidR="00250F5F" w:rsidRDefault="00445522" w:rsidP="00584997">
      <w:pPr>
        <w:pStyle w:val="ListParagraph"/>
        <w:numPr>
          <w:ilvl w:val="0"/>
          <w:numId w:val="1"/>
        </w:numPr>
        <w:jc w:val="both"/>
        <w:rPr>
          <w:rFonts w:ascii="Arial" w:hAnsi="Arial" w:cs="Arial"/>
          <w:b/>
          <w:sz w:val="20"/>
          <w:szCs w:val="20"/>
        </w:rPr>
      </w:pPr>
      <w:r w:rsidRPr="00445522">
        <w:rPr>
          <w:rFonts w:ascii="Arial" w:eastAsia="Arial" w:hAnsi="Arial" w:cs="Arial"/>
          <w:b/>
          <w:sz w:val="20"/>
          <w:szCs w:val="20"/>
          <w:lang w:bidi="fr-FR"/>
        </w:rPr>
        <w:t>Qu’est-ce qu’un TDR ?</w:t>
      </w:r>
    </w:p>
    <w:p w14:paraId="40C02E1C" w14:textId="2997F3FA" w:rsidR="00445522" w:rsidRDefault="00445522" w:rsidP="00584997">
      <w:pPr>
        <w:pStyle w:val="ListParagraph"/>
        <w:jc w:val="both"/>
        <w:rPr>
          <w:rFonts w:ascii="Arial" w:hAnsi="Arial" w:cs="Arial"/>
          <w:sz w:val="20"/>
          <w:szCs w:val="20"/>
        </w:rPr>
      </w:pPr>
      <w:r w:rsidRPr="00445522">
        <w:rPr>
          <w:rFonts w:ascii="Arial" w:eastAsia="Arial" w:hAnsi="Arial" w:cs="Arial"/>
          <w:sz w:val="20"/>
          <w:szCs w:val="20"/>
          <w:lang w:bidi="fr-FR"/>
        </w:rPr>
        <w:t xml:space="preserve">TDR est l'abréviation de test </w:t>
      </w:r>
      <w:r w:rsidR="00407C58">
        <w:rPr>
          <w:rFonts w:ascii="Arial" w:eastAsia="Arial" w:hAnsi="Arial" w:cs="Arial"/>
          <w:sz w:val="20"/>
          <w:szCs w:val="20"/>
          <w:lang w:bidi="fr-FR"/>
        </w:rPr>
        <w:t xml:space="preserve">de </w:t>
      </w:r>
      <w:r w:rsidRPr="00445522">
        <w:rPr>
          <w:rFonts w:ascii="Arial" w:eastAsia="Arial" w:hAnsi="Arial" w:cs="Arial"/>
          <w:sz w:val="20"/>
          <w:szCs w:val="20"/>
          <w:lang w:bidi="fr-FR"/>
        </w:rPr>
        <w:t>diagnostic rapide.  Les TDR sont des tests faciles à réaliser qui peuvent être utilisés en dehors des laboratoires et donnent généralement des résultats en 15 à 30 minutes. Les tests à flux latéral sont le type de TDR le plus courant (par exemple, les tests de dépistage du paludisme).</w:t>
      </w:r>
    </w:p>
    <w:p w14:paraId="4CF6F4FB" w14:textId="77777777" w:rsidR="008A1B65" w:rsidRDefault="008A1B65" w:rsidP="00584997">
      <w:pPr>
        <w:pStyle w:val="ListParagraph"/>
        <w:jc w:val="both"/>
        <w:rPr>
          <w:rFonts w:ascii="Arial" w:hAnsi="Arial" w:cs="Arial"/>
          <w:sz w:val="20"/>
          <w:szCs w:val="20"/>
        </w:rPr>
      </w:pPr>
    </w:p>
    <w:p w14:paraId="54DDA581" w14:textId="77777777" w:rsidR="00407C58" w:rsidRPr="00407C58" w:rsidRDefault="00650FBB" w:rsidP="00EE5644">
      <w:pPr>
        <w:pStyle w:val="ListParagraph"/>
        <w:numPr>
          <w:ilvl w:val="0"/>
          <w:numId w:val="1"/>
        </w:numPr>
        <w:jc w:val="both"/>
        <w:rPr>
          <w:rFonts w:ascii="Arial" w:hAnsi="Arial" w:cs="Arial"/>
          <w:sz w:val="20"/>
          <w:szCs w:val="20"/>
        </w:rPr>
      </w:pPr>
      <w:r w:rsidRPr="00407C58">
        <w:rPr>
          <w:rFonts w:ascii="Arial" w:eastAsia="Arial" w:hAnsi="Arial" w:cs="Arial"/>
          <w:b/>
          <w:sz w:val="20"/>
          <w:szCs w:val="20"/>
          <w:lang w:bidi="fr-FR"/>
        </w:rPr>
        <w:t>Qu'est-ce qu'un antigène ?</w:t>
      </w:r>
    </w:p>
    <w:p w14:paraId="7FBBE2F8" w14:textId="56233B93" w:rsidR="00650FBB" w:rsidRPr="00407C58" w:rsidRDefault="00650FBB" w:rsidP="00407C58">
      <w:pPr>
        <w:pStyle w:val="ListParagraph"/>
        <w:jc w:val="both"/>
        <w:rPr>
          <w:rFonts w:ascii="Arial" w:hAnsi="Arial" w:cs="Arial"/>
          <w:sz w:val="20"/>
          <w:szCs w:val="20"/>
        </w:rPr>
      </w:pPr>
      <w:r w:rsidRPr="00407C58">
        <w:rPr>
          <w:rFonts w:ascii="Arial" w:eastAsia="Arial" w:hAnsi="Arial" w:cs="Arial"/>
          <w:sz w:val="20"/>
          <w:szCs w:val="20"/>
          <w:lang w:bidi="fr-FR"/>
        </w:rPr>
        <w:t>Un antigène est un type de protéine exprimé par un virus, une bactérie ou un parasite. Il est reconnu par le système immunitaire de l'organisme comme un corps étranger.  Cela déclenche la production d'anticorps qui reconnaissent et neutralisent spécifiquement cet antigène</w:t>
      </w:r>
      <w:r w:rsidRPr="00407C58">
        <w:rPr>
          <w:rFonts w:ascii="Arial" w:eastAsia="Arial" w:hAnsi="Arial" w:cs="Arial"/>
          <w:b/>
          <w:sz w:val="20"/>
          <w:szCs w:val="20"/>
          <w:lang w:bidi="fr-FR"/>
        </w:rPr>
        <w:t>.</w:t>
      </w:r>
    </w:p>
    <w:p w14:paraId="45530FA5" w14:textId="77777777" w:rsidR="008A1B65" w:rsidRDefault="008A1B65" w:rsidP="00584997">
      <w:pPr>
        <w:pStyle w:val="ListParagraph"/>
        <w:jc w:val="both"/>
        <w:rPr>
          <w:rFonts w:ascii="Arial" w:hAnsi="Arial" w:cs="Arial"/>
          <w:sz w:val="20"/>
          <w:szCs w:val="20"/>
        </w:rPr>
      </w:pPr>
    </w:p>
    <w:p w14:paraId="65FF46D7" w14:textId="77777777" w:rsidR="0046560E" w:rsidRDefault="0046560E" w:rsidP="00584997">
      <w:pPr>
        <w:pStyle w:val="ListParagraph"/>
        <w:numPr>
          <w:ilvl w:val="0"/>
          <w:numId w:val="1"/>
        </w:numPr>
        <w:jc w:val="both"/>
        <w:rPr>
          <w:rFonts w:ascii="Arial" w:hAnsi="Arial" w:cs="Arial"/>
          <w:b/>
          <w:sz w:val="20"/>
          <w:szCs w:val="20"/>
        </w:rPr>
      </w:pPr>
      <w:r w:rsidRPr="0046560E">
        <w:rPr>
          <w:rFonts w:ascii="Arial" w:eastAsia="Arial" w:hAnsi="Arial" w:cs="Arial"/>
          <w:b/>
          <w:sz w:val="20"/>
          <w:szCs w:val="20"/>
          <w:lang w:bidi="fr-FR"/>
        </w:rPr>
        <w:t>Comment fonctionne un test de détection des antigènes ?</w:t>
      </w:r>
    </w:p>
    <w:p w14:paraId="0D4DA4F6" w14:textId="295F537E" w:rsidR="0046560E" w:rsidRDefault="0046560E" w:rsidP="00584997">
      <w:pPr>
        <w:pStyle w:val="ListParagraph"/>
        <w:jc w:val="both"/>
        <w:rPr>
          <w:rFonts w:ascii="Arial" w:hAnsi="Arial" w:cs="Arial"/>
          <w:sz w:val="20"/>
          <w:szCs w:val="20"/>
        </w:rPr>
      </w:pPr>
      <w:r w:rsidRPr="0046560E">
        <w:rPr>
          <w:rFonts w:ascii="Arial" w:eastAsia="Arial" w:hAnsi="Arial" w:cs="Arial"/>
          <w:sz w:val="20"/>
          <w:szCs w:val="20"/>
          <w:lang w:bidi="fr-FR"/>
        </w:rPr>
        <w:t xml:space="preserve">Un test de diagnostic rapide de détections des antigènes recherche les antigènes spécifiques à un agent pathogène dans le corps d'une personne afin de voir si elle est infectée par l'agent pathogène cible. Par exemple, les tests </w:t>
      </w:r>
      <w:r w:rsidR="00407C58">
        <w:rPr>
          <w:rFonts w:ascii="Arial" w:eastAsia="Arial" w:hAnsi="Arial" w:cs="Arial"/>
          <w:sz w:val="20"/>
          <w:szCs w:val="20"/>
          <w:lang w:bidi="fr-FR"/>
        </w:rPr>
        <w:t>détectant les a</w:t>
      </w:r>
      <w:r w:rsidRPr="0046560E">
        <w:rPr>
          <w:rFonts w:ascii="Arial" w:eastAsia="Arial" w:hAnsi="Arial" w:cs="Arial"/>
          <w:sz w:val="20"/>
          <w:szCs w:val="20"/>
          <w:lang w:bidi="fr-FR"/>
        </w:rPr>
        <w:t>ntigène</w:t>
      </w:r>
      <w:r w:rsidR="00407C58">
        <w:rPr>
          <w:rFonts w:ascii="Arial" w:eastAsia="Arial" w:hAnsi="Arial" w:cs="Arial"/>
          <w:sz w:val="20"/>
          <w:szCs w:val="20"/>
          <w:lang w:bidi="fr-FR"/>
        </w:rPr>
        <w:t>s</w:t>
      </w:r>
      <w:r w:rsidRPr="0046560E">
        <w:rPr>
          <w:rFonts w:ascii="Arial" w:eastAsia="Arial" w:hAnsi="Arial" w:cs="Arial"/>
          <w:sz w:val="20"/>
          <w:szCs w:val="20"/>
          <w:lang w:bidi="fr-FR"/>
        </w:rPr>
        <w:t xml:space="preserve"> pour le SA</w:t>
      </w:r>
      <w:r w:rsidR="00407C58">
        <w:rPr>
          <w:rFonts w:ascii="Arial" w:eastAsia="Arial" w:hAnsi="Arial" w:cs="Arial"/>
          <w:sz w:val="20"/>
          <w:szCs w:val="20"/>
          <w:lang w:bidi="fr-FR"/>
        </w:rPr>
        <w:t>R</w:t>
      </w:r>
      <w:r w:rsidRPr="0046560E">
        <w:rPr>
          <w:rFonts w:ascii="Arial" w:eastAsia="Arial" w:hAnsi="Arial" w:cs="Arial"/>
          <w:sz w:val="20"/>
          <w:szCs w:val="20"/>
          <w:lang w:bidi="fr-FR"/>
        </w:rPr>
        <w:t>S-CoV-2 visent à détecter la nucléocapside</w:t>
      </w:r>
      <w:r w:rsidR="00407C58">
        <w:rPr>
          <w:rFonts w:ascii="Arial" w:eastAsia="Arial" w:hAnsi="Arial" w:cs="Arial"/>
          <w:sz w:val="20"/>
          <w:szCs w:val="20"/>
          <w:lang w:bidi="fr-FR"/>
        </w:rPr>
        <w:t>.</w:t>
      </w:r>
    </w:p>
    <w:p w14:paraId="47419381" w14:textId="77777777" w:rsidR="008A1B65" w:rsidRDefault="008A1B65" w:rsidP="00584997">
      <w:pPr>
        <w:pStyle w:val="ListParagraph"/>
        <w:jc w:val="both"/>
        <w:rPr>
          <w:rFonts w:ascii="Arial" w:hAnsi="Arial" w:cs="Arial"/>
          <w:sz w:val="20"/>
          <w:szCs w:val="20"/>
        </w:rPr>
      </w:pPr>
    </w:p>
    <w:p w14:paraId="76BE38B2" w14:textId="2F9084B7" w:rsidR="0046560E" w:rsidRDefault="00141603" w:rsidP="00584997">
      <w:pPr>
        <w:pStyle w:val="ListParagraph"/>
        <w:numPr>
          <w:ilvl w:val="0"/>
          <w:numId w:val="1"/>
        </w:numPr>
        <w:jc w:val="both"/>
        <w:rPr>
          <w:rFonts w:ascii="Arial" w:hAnsi="Arial" w:cs="Arial"/>
          <w:b/>
          <w:sz w:val="20"/>
          <w:szCs w:val="20"/>
        </w:rPr>
      </w:pPr>
      <w:r w:rsidRPr="00141603">
        <w:rPr>
          <w:rFonts w:ascii="Arial" w:eastAsia="Arial" w:hAnsi="Arial" w:cs="Arial"/>
          <w:b/>
          <w:sz w:val="20"/>
          <w:szCs w:val="20"/>
          <w:lang w:bidi="fr-FR"/>
        </w:rPr>
        <w:t>En quoi les tests de détection des antigènes diffèrent-ils des tests de détection des anticorps ?</w:t>
      </w:r>
    </w:p>
    <w:p w14:paraId="7A9201DE" w14:textId="5640263D" w:rsidR="00141603" w:rsidRDefault="00141603" w:rsidP="00584997">
      <w:pPr>
        <w:pStyle w:val="ListParagraph"/>
        <w:jc w:val="both"/>
        <w:rPr>
          <w:rFonts w:ascii="Arial" w:hAnsi="Arial" w:cs="Arial"/>
          <w:sz w:val="20"/>
          <w:szCs w:val="20"/>
        </w:rPr>
      </w:pPr>
      <w:r w:rsidRPr="00141603">
        <w:rPr>
          <w:rFonts w:ascii="Arial" w:eastAsia="Arial" w:hAnsi="Arial" w:cs="Arial"/>
          <w:sz w:val="20"/>
          <w:szCs w:val="20"/>
          <w:lang w:bidi="fr-FR"/>
        </w:rPr>
        <w:t>Un test de détection des antigènes positif reflète une infection active, tandis qu'un test des anticorps positif reflète très probablement une infection récente ou passée.</w:t>
      </w:r>
    </w:p>
    <w:p w14:paraId="46A16133" w14:textId="77777777" w:rsidR="008A1B65" w:rsidRDefault="008A1B65" w:rsidP="00584997">
      <w:pPr>
        <w:pStyle w:val="ListParagraph"/>
        <w:jc w:val="both"/>
        <w:rPr>
          <w:rFonts w:ascii="Arial" w:hAnsi="Arial" w:cs="Arial"/>
          <w:sz w:val="20"/>
          <w:szCs w:val="20"/>
        </w:rPr>
      </w:pPr>
    </w:p>
    <w:p w14:paraId="4E5E8F91" w14:textId="77777777" w:rsidR="00141603" w:rsidRDefault="00141603" w:rsidP="00584997">
      <w:pPr>
        <w:pStyle w:val="ListParagraph"/>
        <w:numPr>
          <w:ilvl w:val="0"/>
          <w:numId w:val="1"/>
        </w:numPr>
        <w:jc w:val="both"/>
        <w:rPr>
          <w:rFonts w:ascii="Arial" w:hAnsi="Arial" w:cs="Arial"/>
          <w:b/>
          <w:sz w:val="20"/>
          <w:szCs w:val="20"/>
        </w:rPr>
      </w:pPr>
      <w:r w:rsidRPr="00141603">
        <w:rPr>
          <w:rFonts w:ascii="Arial" w:eastAsia="Arial" w:hAnsi="Arial" w:cs="Arial"/>
          <w:b/>
          <w:sz w:val="20"/>
          <w:szCs w:val="20"/>
          <w:lang w:bidi="fr-FR"/>
        </w:rPr>
        <w:t>Quelle est la différence entre les tests de détection des antigènes et la PCR ?</w:t>
      </w:r>
    </w:p>
    <w:p w14:paraId="1CB69980" w14:textId="0A4711F9" w:rsidR="00141603" w:rsidRDefault="00141603" w:rsidP="00584997">
      <w:pPr>
        <w:pStyle w:val="ListParagraph"/>
        <w:jc w:val="both"/>
        <w:rPr>
          <w:rFonts w:ascii="Arial" w:hAnsi="Arial" w:cs="Arial"/>
          <w:sz w:val="20"/>
          <w:szCs w:val="20"/>
        </w:rPr>
      </w:pPr>
      <w:r w:rsidRPr="00141603">
        <w:rPr>
          <w:rFonts w:ascii="Arial" w:eastAsia="Arial" w:hAnsi="Arial" w:cs="Arial"/>
          <w:sz w:val="20"/>
          <w:szCs w:val="20"/>
          <w:lang w:bidi="fr-FR"/>
        </w:rPr>
        <w:t>La PCR détecte le matériel génétique viral (ARN) du SA</w:t>
      </w:r>
      <w:r w:rsidR="00407C58">
        <w:rPr>
          <w:rFonts w:ascii="Arial" w:eastAsia="Arial" w:hAnsi="Arial" w:cs="Arial"/>
          <w:sz w:val="20"/>
          <w:szCs w:val="20"/>
          <w:lang w:bidi="fr-FR"/>
        </w:rPr>
        <w:t>R</w:t>
      </w:r>
      <w:r w:rsidRPr="00141603">
        <w:rPr>
          <w:rFonts w:ascii="Arial" w:eastAsia="Arial" w:hAnsi="Arial" w:cs="Arial"/>
          <w:sz w:val="20"/>
          <w:szCs w:val="20"/>
          <w:lang w:bidi="fr-FR"/>
        </w:rPr>
        <w:t>S-CoV-2, tandis que les tests de détection des antigènes détectent les antigènes/protéines spécifiques du SARS-C</w:t>
      </w:r>
      <w:r w:rsidR="00407C58">
        <w:rPr>
          <w:rFonts w:ascii="Arial" w:eastAsia="Arial" w:hAnsi="Arial" w:cs="Arial"/>
          <w:sz w:val="20"/>
          <w:szCs w:val="20"/>
          <w:lang w:bidi="fr-FR"/>
        </w:rPr>
        <w:t>o</w:t>
      </w:r>
      <w:r w:rsidRPr="00141603">
        <w:rPr>
          <w:rFonts w:ascii="Arial" w:eastAsia="Arial" w:hAnsi="Arial" w:cs="Arial"/>
          <w:sz w:val="20"/>
          <w:szCs w:val="20"/>
          <w:lang w:bidi="fr-FR"/>
        </w:rPr>
        <w:t xml:space="preserve">V-2 dans le corps d'une personne. </w:t>
      </w:r>
      <w:r w:rsidRPr="00141603">
        <w:rPr>
          <w:rFonts w:ascii="Arial" w:eastAsia="Arial" w:hAnsi="Arial" w:cs="Arial"/>
          <w:sz w:val="20"/>
          <w:szCs w:val="20"/>
          <w:lang w:bidi="fr-FR"/>
        </w:rPr>
        <w:br/>
        <w:t xml:space="preserve">Les deux tests sont utilisés pour détecter une infection active par le SARS-CoV-2.  </w:t>
      </w:r>
    </w:p>
    <w:p w14:paraId="745F1925" w14:textId="77777777" w:rsidR="008A1B65" w:rsidRDefault="008A1B65" w:rsidP="00584997">
      <w:pPr>
        <w:pStyle w:val="ListParagraph"/>
        <w:jc w:val="both"/>
        <w:rPr>
          <w:rFonts w:ascii="Arial" w:hAnsi="Arial" w:cs="Arial"/>
          <w:sz w:val="20"/>
          <w:szCs w:val="20"/>
        </w:rPr>
      </w:pPr>
    </w:p>
    <w:p w14:paraId="242B8597" w14:textId="77777777" w:rsidR="00923437" w:rsidRDefault="00923437" w:rsidP="00923437">
      <w:pPr>
        <w:pStyle w:val="ListParagraph"/>
        <w:numPr>
          <w:ilvl w:val="0"/>
          <w:numId w:val="1"/>
        </w:numPr>
        <w:rPr>
          <w:rFonts w:ascii="Arial" w:hAnsi="Arial" w:cs="Arial"/>
          <w:b/>
          <w:sz w:val="20"/>
          <w:szCs w:val="20"/>
        </w:rPr>
      </w:pPr>
      <w:r w:rsidRPr="00923437">
        <w:rPr>
          <w:rFonts w:ascii="Arial" w:eastAsia="Arial" w:hAnsi="Arial" w:cs="Arial"/>
          <w:b/>
          <w:sz w:val="20"/>
          <w:szCs w:val="20"/>
          <w:lang w:bidi="fr-FR"/>
        </w:rPr>
        <w:t>Que signifient les marquages sur le TDR ?</w:t>
      </w:r>
    </w:p>
    <w:p w14:paraId="16EB3724" w14:textId="65119D8B" w:rsidR="00500247" w:rsidRDefault="00660273" w:rsidP="000074F6">
      <w:pPr>
        <w:pStyle w:val="ListParagraph"/>
        <w:jc w:val="both"/>
        <w:rPr>
          <w:rFonts w:ascii="Arial" w:hAnsi="Arial" w:cs="Arial"/>
          <w:sz w:val="20"/>
          <w:szCs w:val="20"/>
        </w:rPr>
      </w:pPr>
      <w:r w:rsidRPr="00660273">
        <w:rPr>
          <w:rFonts w:ascii="Arial" w:eastAsia="Arial" w:hAnsi="Arial" w:cs="Arial"/>
          <w:sz w:val="20"/>
          <w:szCs w:val="20"/>
          <w:lang w:bidi="fr-FR"/>
        </w:rPr>
        <w:t xml:space="preserve">Dans la fenêtre du test (trou rectangulaire), une ligne près de « C » (pour le contrôle) et une ligne près de « T » (pour le test) signifient que le test est positif pour le SARS-CoV-2. </w:t>
      </w:r>
      <w:r w:rsidRPr="00660273">
        <w:rPr>
          <w:rFonts w:ascii="Arial" w:eastAsia="Arial" w:hAnsi="Arial" w:cs="Arial"/>
          <w:sz w:val="20"/>
          <w:szCs w:val="20"/>
          <w:lang w:bidi="fr-FR"/>
        </w:rPr>
        <w:br/>
        <w:t xml:space="preserve">Une ligne près de « C » et aucune ligne près de « </w:t>
      </w:r>
      <w:proofErr w:type="gramStart"/>
      <w:r w:rsidRPr="00660273">
        <w:rPr>
          <w:rFonts w:ascii="Arial" w:eastAsia="Arial" w:hAnsi="Arial" w:cs="Arial"/>
          <w:sz w:val="20"/>
          <w:szCs w:val="20"/>
          <w:lang w:bidi="fr-FR"/>
        </w:rPr>
        <w:t>T»</w:t>
      </w:r>
      <w:proofErr w:type="gramEnd"/>
      <w:r w:rsidRPr="00660273">
        <w:rPr>
          <w:rFonts w:ascii="Arial" w:eastAsia="Arial" w:hAnsi="Arial" w:cs="Arial"/>
          <w:sz w:val="20"/>
          <w:szCs w:val="20"/>
          <w:lang w:bidi="fr-FR"/>
        </w:rPr>
        <w:t xml:space="preserve"> signifie que le SARS-CoV-2 n'a pas été détecté.</w:t>
      </w:r>
      <w:r w:rsidRPr="00660273">
        <w:rPr>
          <w:rFonts w:ascii="Arial" w:eastAsia="Arial" w:hAnsi="Arial" w:cs="Arial"/>
          <w:sz w:val="20"/>
          <w:szCs w:val="20"/>
          <w:lang w:bidi="fr-FR"/>
        </w:rPr>
        <w:br/>
      </w:r>
      <w:r w:rsidRPr="00660273">
        <w:rPr>
          <w:rFonts w:ascii="Arial" w:eastAsia="Arial" w:hAnsi="Arial" w:cs="Arial"/>
          <w:sz w:val="20"/>
          <w:szCs w:val="20"/>
          <w:lang w:bidi="fr-FR"/>
        </w:rPr>
        <w:br/>
        <w:t>La ligne près de « C » est la ligne de contrôle ; la présence de la ligne de contrôle vous indique que le test a été effectué correctement. Si une ligne de contrôle n'apparaît pas, cela signifie que le test n'est pas valide, même si une ligne apparaît près de « T ».  Dans ce cas, le patient doit subir un nouveau test à l’aide d’un nouveau TDR.  Il est important de noter que tous les résultats obtenus à partir des tests doivent être pris en compte en conjonction avec les antécédents cliniques et les autres données applicables.</w:t>
      </w:r>
    </w:p>
    <w:p w14:paraId="74D767B2" w14:textId="77777777" w:rsidR="000074F6" w:rsidRPr="000074F6" w:rsidRDefault="000074F6" w:rsidP="000074F6">
      <w:pPr>
        <w:pStyle w:val="ListParagraph"/>
        <w:jc w:val="both"/>
        <w:rPr>
          <w:rFonts w:ascii="Arial" w:hAnsi="Arial" w:cs="Arial"/>
          <w:sz w:val="20"/>
          <w:szCs w:val="20"/>
        </w:rPr>
      </w:pPr>
    </w:p>
    <w:p w14:paraId="3F335C1C" w14:textId="3AAD7E7E" w:rsidR="000074F6" w:rsidRPr="000074F6" w:rsidRDefault="00500247" w:rsidP="00FC0B0C">
      <w:pPr>
        <w:pStyle w:val="ListParagraph"/>
        <w:numPr>
          <w:ilvl w:val="0"/>
          <w:numId w:val="1"/>
        </w:numPr>
        <w:rPr>
          <w:rFonts w:ascii="Arial" w:hAnsi="Arial" w:cs="Arial"/>
          <w:sz w:val="20"/>
          <w:szCs w:val="20"/>
        </w:rPr>
      </w:pPr>
      <w:r w:rsidRPr="000074F6">
        <w:rPr>
          <w:rFonts w:ascii="Arial" w:eastAsia="Arial" w:hAnsi="Arial" w:cs="Arial"/>
          <w:b/>
          <w:sz w:val="20"/>
          <w:szCs w:val="20"/>
          <w:lang w:bidi="fr-FR"/>
        </w:rPr>
        <w:lastRenderedPageBreak/>
        <w:t>Quelles sont la sensibilité et la spécificité des TDR de détection des antigènes du SARS-CoV-2 ?</w:t>
      </w:r>
    </w:p>
    <w:p w14:paraId="7EB1088B" w14:textId="3816EE88" w:rsidR="008A1B65" w:rsidRDefault="00AF5E42" w:rsidP="000E0CF2">
      <w:pPr>
        <w:pStyle w:val="ListParagraph"/>
        <w:rPr>
          <w:rFonts w:ascii="Arial" w:hAnsi="Arial" w:cs="Arial"/>
          <w:sz w:val="20"/>
          <w:szCs w:val="20"/>
        </w:rPr>
      </w:pPr>
      <w:r>
        <w:rPr>
          <w:rFonts w:ascii="Arial" w:eastAsia="Arial" w:hAnsi="Arial" w:cs="Arial"/>
          <w:sz w:val="20"/>
          <w:szCs w:val="20"/>
          <w:lang w:bidi="fr-FR"/>
        </w:rPr>
        <w:t xml:space="preserve">Un nombre croissant de rapports sur les performances des TDR de détection des antigènes du SARS-Cov-2 sont publiés. Un examen systématique de plusieurs rapports peut être consulté ici : </w:t>
      </w:r>
      <w:hyperlink r:id="rId11" w:history="1">
        <w:r w:rsidR="006D637E" w:rsidRPr="00A8565C">
          <w:rPr>
            <w:rStyle w:val="Hyperlink"/>
            <w:rFonts w:ascii="Arial" w:eastAsia="Arial" w:hAnsi="Arial" w:cs="Arial"/>
            <w:color w:val="009AC9"/>
            <w:sz w:val="20"/>
            <w:szCs w:val="20"/>
            <w:lang w:bidi="fr-FR"/>
          </w:rPr>
          <w:t>https://www.cochranelibrary.com/cdsr/doi/10.1002/14651858.CD013705/full</w:t>
        </w:r>
      </w:hyperlink>
      <w:r>
        <w:rPr>
          <w:rFonts w:ascii="Arial" w:eastAsia="Arial" w:hAnsi="Arial" w:cs="Arial"/>
          <w:sz w:val="20"/>
          <w:szCs w:val="20"/>
          <w:lang w:bidi="fr-FR"/>
        </w:rPr>
        <w:t xml:space="preserve">et la Fondation FIND a également publié des rapports disponibles en cliquant ici : </w:t>
      </w:r>
      <w:hyperlink r:id="rId12" w:history="1">
        <w:r w:rsidR="0054184B" w:rsidRPr="00A8565C">
          <w:rPr>
            <w:rStyle w:val="Hyperlink"/>
            <w:rFonts w:ascii="Arial" w:eastAsia="Arial" w:hAnsi="Arial" w:cs="Arial"/>
            <w:color w:val="009AC9"/>
            <w:sz w:val="20"/>
            <w:szCs w:val="20"/>
            <w:lang w:bidi="fr-FR"/>
          </w:rPr>
          <w:t>https://www.finddx.org/covid-19/sarscov2-eval-antigen/</w:t>
        </w:r>
      </w:hyperlink>
      <w:r w:rsidR="00DE4DD0" w:rsidRPr="00416E89">
        <w:rPr>
          <w:rFonts w:ascii="Arial" w:eastAsia="Arial" w:hAnsi="Arial" w:cs="Arial"/>
          <w:color w:val="000000" w:themeColor="text1"/>
          <w:sz w:val="20"/>
          <w:szCs w:val="20"/>
          <w:lang w:bidi="fr-FR"/>
        </w:rPr>
        <w:t>.</w:t>
      </w:r>
    </w:p>
    <w:p w14:paraId="11FADAF7" w14:textId="5FAEEB9A" w:rsidR="0054184B" w:rsidRDefault="0054184B" w:rsidP="000074F6">
      <w:pPr>
        <w:pStyle w:val="ListParagraph"/>
        <w:jc w:val="both"/>
        <w:rPr>
          <w:rFonts w:ascii="Arial" w:hAnsi="Arial" w:cs="Arial"/>
          <w:sz w:val="20"/>
          <w:szCs w:val="20"/>
        </w:rPr>
      </w:pPr>
    </w:p>
    <w:p w14:paraId="19C1DA9F" w14:textId="2F502944" w:rsidR="000074F6" w:rsidRPr="00556709" w:rsidRDefault="000E0CF2">
      <w:pPr>
        <w:pStyle w:val="ListParagraph"/>
        <w:jc w:val="both"/>
      </w:pPr>
      <w:r w:rsidRPr="669908FF">
        <w:rPr>
          <w:rFonts w:ascii="Arial" w:eastAsia="Arial" w:hAnsi="Arial" w:cs="Arial"/>
          <w:sz w:val="20"/>
          <w:szCs w:val="20"/>
          <w:lang w:bidi="fr-FR"/>
        </w:rPr>
        <w:t>En règle générale, la sensibilité des tests est variable (0-94%), mais elle est toujours meilleure dans les cinq premiers jours suivant l'apparition des symptômes, lorsque les patients ont les charges virales les plus élevées. L'OMS recommande l'utilisation de TDR de détection des antigènes ayant une sensibilité d'au moins 80 % et une spécificité de 97 %, sur la base d'évaluations indépendantes de bonne qualité par rapport à un test moléculaire spécifique au TAAN.</w:t>
      </w:r>
      <w:r w:rsidR="00407C58">
        <w:rPr>
          <w:rFonts w:ascii="Arial" w:eastAsia="Arial" w:hAnsi="Arial" w:cs="Arial"/>
          <w:sz w:val="20"/>
          <w:szCs w:val="20"/>
          <w:lang w:bidi="fr-FR"/>
        </w:rPr>
        <w:t xml:space="preserve"> </w:t>
      </w:r>
      <w:r w:rsidRPr="669908FF">
        <w:rPr>
          <w:rFonts w:ascii="Arial" w:eastAsia="Arial" w:hAnsi="Arial" w:cs="Arial"/>
          <w:sz w:val="20"/>
          <w:szCs w:val="20"/>
          <w:lang w:bidi="fr-FR"/>
        </w:rPr>
        <w:t xml:space="preserve">Certains rapports ont démontré que ces exigences peuvent être respectées, voire dépassées, chez certaines populations. De nombreux facteurs affecteront la performance des tests, tels que les caractéristiques de la population de patients (par exemple, le nombre de jours depuis l'apparition des symptômes/la charge virale), la qualité du prélèvement des échantillons et la qualité de la fabrication des tests.  </w:t>
      </w:r>
    </w:p>
    <w:p w14:paraId="1529EF3B" w14:textId="77777777" w:rsidR="008A1B65" w:rsidRPr="00B17922" w:rsidRDefault="008A1B65" w:rsidP="005222EE">
      <w:pPr>
        <w:pStyle w:val="ListParagraph"/>
        <w:jc w:val="both"/>
        <w:rPr>
          <w:rFonts w:ascii="Arial" w:hAnsi="Arial" w:cs="Arial"/>
          <w:sz w:val="20"/>
          <w:szCs w:val="20"/>
        </w:rPr>
      </w:pPr>
    </w:p>
    <w:p w14:paraId="3BB38ED2" w14:textId="77777777" w:rsidR="00F43E3E" w:rsidRPr="00C95AFC" w:rsidRDefault="00F43E3E" w:rsidP="00416E89">
      <w:pPr>
        <w:pStyle w:val="ListParagraph"/>
        <w:numPr>
          <w:ilvl w:val="0"/>
          <w:numId w:val="1"/>
        </w:numPr>
        <w:spacing w:after="0"/>
        <w:ind w:left="714" w:hanging="357"/>
        <w:rPr>
          <w:rFonts w:ascii="Arial" w:hAnsi="Arial" w:cs="Arial"/>
          <w:b/>
          <w:sz w:val="20"/>
          <w:szCs w:val="20"/>
        </w:rPr>
      </w:pPr>
      <w:r w:rsidRPr="00C95AFC">
        <w:rPr>
          <w:rFonts w:ascii="Arial" w:eastAsia="Arial" w:hAnsi="Arial" w:cs="Arial"/>
          <w:b/>
          <w:sz w:val="20"/>
          <w:szCs w:val="20"/>
          <w:lang w:bidi="fr-FR"/>
        </w:rPr>
        <w:t>Quelle est la technologie sous-jacente du test ?</w:t>
      </w:r>
    </w:p>
    <w:p w14:paraId="0344F192" w14:textId="350C8DB4" w:rsidR="00407C58" w:rsidRDefault="009D4DED" w:rsidP="00416E89">
      <w:pPr>
        <w:spacing w:after="0"/>
        <w:ind w:left="709"/>
        <w:jc w:val="both"/>
        <w:rPr>
          <w:rFonts w:ascii="Arial" w:eastAsia="Arial" w:hAnsi="Arial" w:cs="Arial"/>
          <w:sz w:val="20"/>
          <w:szCs w:val="20"/>
          <w:lang w:bidi="fr-FR"/>
        </w:rPr>
      </w:pPr>
      <w:r w:rsidRPr="00416E89">
        <w:rPr>
          <w:rFonts w:ascii="Arial" w:eastAsia="Arial" w:hAnsi="Arial" w:cs="Arial"/>
          <w:sz w:val="20"/>
          <w:szCs w:val="20"/>
          <w:lang w:bidi="fr-FR"/>
        </w:rPr>
        <w:t xml:space="preserve">La technologie sous-jacente du test est </w:t>
      </w:r>
      <w:r w:rsidR="00407C58">
        <w:rPr>
          <w:rFonts w:ascii="Arial" w:eastAsia="Arial" w:hAnsi="Arial" w:cs="Arial"/>
          <w:sz w:val="20"/>
          <w:szCs w:val="20"/>
          <w:lang w:bidi="fr-FR"/>
        </w:rPr>
        <w:t>l’</w:t>
      </w:r>
      <w:proofErr w:type="spellStart"/>
      <w:r w:rsidR="00407C58">
        <w:rPr>
          <w:rFonts w:ascii="Arial" w:eastAsia="Arial" w:hAnsi="Arial" w:cs="Arial"/>
          <w:sz w:val="20"/>
          <w:szCs w:val="20"/>
          <w:lang w:bidi="fr-FR"/>
        </w:rPr>
        <w:t>immunochromatographie</w:t>
      </w:r>
      <w:proofErr w:type="spellEnd"/>
      <w:r w:rsidRPr="00416E89">
        <w:rPr>
          <w:rFonts w:ascii="Arial" w:eastAsia="Arial" w:hAnsi="Arial" w:cs="Arial"/>
          <w:sz w:val="20"/>
          <w:szCs w:val="20"/>
          <w:lang w:bidi="fr-FR"/>
        </w:rPr>
        <w:t xml:space="preserve"> à flux latéral (pour plus d'explications, voir le document de l'OMS intitulé Détection de l'antigène dans le diagnostic de l'infection par le CoV-2 du SA</w:t>
      </w:r>
      <w:r w:rsidR="00407C58">
        <w:rPr>
          <w:rFonts w:ascii="Arial" w:eastAsia="Arial" w:hAnsi="Arial" w:cs="Arial"/>
          <w:sz w:val="20"/>
          <w:szCs w:val="20"/>
          <w:lang w:bidi="fr-FR"/>
        </w:rPr>
        <w:t>R</w:t>
      </w:r>
      <w:r w:rsidRPr="00416E89">
        <w:rPr>
          <w:rFonts w:ascii="Arial" w:eastAsia="Arial" w:hAnsi="Arial" w:cs="Arial"/>
          <w:sz w:val="20"/>
          <w:szCs w:val="20"/>
          <w:lang w:bidi="fr-FR"/>
        </w:rPr>
        <w:t>S à l'aide de tests immunologiques rapides. Orientations provisoires - 11 septembre 2020 :</w:t>
      </w:r>
    </w:p>
    <w:p w14:paraId="498E9418" w14:textId="06F42E68" w:rsidR="00DA74A0" w:rsidRDefault="009D4DED" w:rsidP="00416E89">
      <w:pPr>
        <w:spacing w:after="0"/>
        <w:ind w:left="709"/>
        <w:jc w:val="both"/>
        <w:rPr>
          <w:rFonts w:ascii="Arial" w:hAnsi="Arial" w:cs="Arial"/>
          <w:sz w:val="20"/>
          <w:szCs w:val="20"/>
        </w:rPr>
      </w:pPr>
      <w:r w:rsidRPr="00416E89">
        <w:rPr>
          <w:rFonts w:ascii="Arial" w:eastAsia="Arial" w:hAnsi="Arial" w:cs="Arial"/>
          <w:sz w:val="20"/>
          <w:szCs w:val="20"/>
          <w:lang w:bidi="fr-FR"/>
        </w:rPr>
        <w:t xml:space="preserve"> https://www.who.int/publications/i/item/antigen-detection-in-the-diagnosis-of-sars-cov-2infection-using-rapid-immunoassays).</w:t>
      </w:r>
      <w:r w:rsidRPr="00416E89">
        <w:rPr>
          <w:rFonts w:ascii="Arial" w:eastAsia="Arial" w:hAnsi="Arial" w:cs="Arial"/>
          <w:i/>
          <w:sz w:val="20"/>
          <w:szCs w:val="20"/>
          <w:lang w:bidi="fr-FR"/>
        </w:rPr>
        <w:t xml:space="preserve"> </w:t>
      </w:r>
      <w:r w:rsidRPr="00416E89">
        <w:rPr>
          <w:rFonts w:ascii="Arial" w:eastAsia="Arial" w:hAnsi="Arial" w:cs="Arial"/>
          <w:sz w:val="20"/>
          <w:szCs w:val="20"/>
          <w:lang w:bidi="fr-FR"/>
        </w:rPr>
        <w:t>Orientations provisoires – 11 septembre 2020.</w:t>
      </w:r>
    </w:p>
    <w:p w14:paraId="727ADDDC" w14:textId="7DBB6BA9" w:rsidR="009D4DED" w:rsidRPr="00416E89" w:rsidRDefault="00DA74A0" w:rsidP="00416E89">
      <w:pPr>
        <w:spacing w:after="0" w:line="259" w:lineRule="auto"/>
        <w:ind w:left="709"/>
        <w:jc w:val="both"/>
        <w:rPr>
          <w:rFonts w:ascii="Arial" w:hAnsi="Arial" w:cs="Arial"/>
          <w:sz w:val="20"/>
          <w:szCs w:val="20"/>
        </w:rPr>
      </w:pPr>
      <w:r>
        <w:rPr>
          <w:lang w:bidi="fr-FR"/>
        </w:rPr>
        <w:t xml:space="preserve"> </w:t>
      </w:r>
      <w:hyperlink r:id="rId13" w:history="1">
        <w:r w:rsidR="000C7583" w:rsidRPr="00690322">
          <w:rPr>
            <w:rStyle w:val="Hyperlink"/>
            <w:rFonts w:ascii="Arial" w:eastAsia="Arial" w:hAnsi="Arial" w:cs="Arial"/>
            <w:color w:val="009AC9"/>
            <w:sz w:val="20"/>
            <w:szCs w:val="20"/>
            <w:lang w:bidi="fr-FR"/>
          </w:rPr>
          <w:t>https://www.who.int/publications/i/item/antigen-detection-in-the-diagnosis-of-sars-cov-2infection-using-rapid-immunoassays</w:t>
        </w:r>
      </w:hyperlink>
      <w:r w:rsidR="004911D6" w:rsidRPr="00416E89">
        <w:rPr>
          <w:rStyle w:val="Hyperlink"/>
          <w:rFonts w:ascii="Arial" w:eastAsia="Arial" w:hAnsi="Arial" w:cs="Arial"/>
          <w:color w:val="000000" w:themeColor="text1"/>
          <w:sz w:val="20"/>
          <w:szCs w:val="20"/>
          <w:u w:val="none"/>
          <w:lang w:bidi="fr-FR"/>
        </w:rPr>
        <w:t>).</w:t>
      </w:r>
    </w:p>
    <w:p w14:paraId="1CA04313" w14:textId="77777777" w:rsidR="008A1B65" w:rsidRPr="007D7E1F" w:rsidRDefault="008A1B65" w:rsidP="009D4DED">
      <w:pPr>
        <w:pStyle w:val="ListParagraph"/>
        <w:rPr>
          <w:rFonts w:ascii="Arial" w:hAnsi="Arial" w:cs="Arial"/>
          <w:sz w:val="20"/>
          <w:szCs w:val="20"/>
        </w:rPr>
      </w:pPr>
    </w:p>
    <w:p w14:paraId="6E9E3D60" w14:textId="77777777" w:rsidR="00F43E3E" w:rsidRDefault="00F43E3E" w:rsidP="00F43E3E">
      <w:pPr>
        <w:pStyle w:val="ListParagraph"/>
        <w:numPr>
          <w:ilvl w:val="0"/>
          <w:numId w:val="1"/>
        </w:numPr>
        <w:rPr>
          <w:rFonts w:ascii="Arial" w:hAnsi="Arial" w:cs="Arial"/>
          <w:b/>
          <w:sz w:val="20"/>
          <w:szCs w:val="20"/>
        </w:rPr>
      </w:pPr>
      <w:r w:rsidRPr="00CB2AA4">
        <w:rPr>
          <w:rFonts w:ascii="Arial" w:eastAsia="Arial" w:hAnsi="Arial" w:cs="Arial"/>
          <w:b/>
          <w:sz w:val="20"/>
          <w:szCs w:val="20"/>
          <w:lang w:bidi="fr-FR"/>
        </w:rPr>
        <w:t>Quelles sont les limites de ce test ?</w:t>
      </w:r>
    </w:p>
    <w:p w14:paraId="47A580D7" w14:textId="60FE250F" w:rsidR="00397A70" w:rsidRPr="00416E89" w:rsidRDefault="00397A70" w:rsidP="00416E89">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La méthode d'essai, les précautions d'emploi et l’interprétation des résultats du test doivent être scrupuleusement respectés. Le non-respect de la procédure de test et de l'interprétation des résultats peut nuire aux performances du test et/ou produire des résultats non valides.</w:t>
      </w:r>
    </w:p>
    <w:p w14:paraId="7E57962C" w14:textId="77777777" w:rsidR="00407C58" w:rsidRPr="00407C58"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Le test doit être utilisé pour la détection de l'antigène du SARS-CoV-2 dans des échantillons de prélèvement nasopharyngé humain.</w:t>
      </w:r>
    </w:p>
    <w:p w14:paraId="18E720DA" w14:textId="77777777"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Ni la valeur quantitative ni le taux de concentration de l'antigène du SARS-CoV-2 ne peuvent être déterminés par ce test qualitatif.</w:t>
      </w:r>
    </w:p>
    <w:p w14:paraId="4765D5E1" w14:textId="213C3610"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Un résultat négatif peut être obtenu si le taux d'antigène extrait dans un échantillon est inférieur à la sensibilité du test ou si un échantillon de mauvaise qualité est obtenu.</w:t>
      </w:r>
    </w:p>
    <w:p w14:paraId="28CAF713" w14:textId="1DF2DB08"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Pour une évaluation de l'état immunitaire, il est recommandé de procéder à des tests de suivi supplémentaires en utilisant d'autres méthodes de laboratoire.</w:t>
      </w:r>
    </w:p>
    <w:p w14:paraId="0D7561AE" w14:textId="08C9915F"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Le résultat du test doit toujours être évalué en même temps que les autres données dont dispose le médecin.</w:t>
      </w:r>
    </w:p>
    <w:p w14:paraId="558664A8" w14:textId="02B4048F"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Des résultats positifs n'excluent pas les co-infections avec d'autres agents pathogènes.</w:t>
      </w:r>
    </w:p>
    <w:p w14:paraId="1FD05FAB" w14:textId="75036B3B" w:rsidR="00397A70" w:rsidRPr="00407C58" w:rsidRDefault="00397A70" w:rsidP="00397A70">
      <w:pPr>
        <w:pStyle w:val="ListParagraph"/>
        <w:numPr>
          <w:ilvl w:val="0"/>
          <w:numId w:val="8"/>
        </w:numPr>
        <w:spacing w:line="259" w:lineRule="auto"/>
        <w:ind w:left="993" w:hanging="284"/>
        <w:jc w:val="both"/>
        <w:rPr>
          <w:rFonts w:ascii="Arial" w:hAnsi="Arial" w:cs="Arial"/>
          <w:sz w:val="20"/>
          <w:szCs w:val="20"/>
        </w:rPr>
      </w:pPr>
      <w:r w:rsidRPr="00397A70">
        <w:rPr>
          <w:rFonts w:ascii="Arial" w:eastAsia="Arial" w:hAnsi="Arial" w:cs="Arial"/>
          <w:sz w:val="20"/>
          <w:szCs w:val="20"/>
          <w:lang w:bidi="fr-FR"/>
        </w:rPr>
        <w:t>Les résultats négatifs ne visent pas à exclure une autre infection par un coronavirus, mais uniquement par le SARS-CoV-2</w:t>
      </w:r>
      <w:r w:rsidR="00407C58">
        <w:rPr>
          <w:rFonts w:ascii="Arial" w:eastAsia="Arial" w:hAnsi="Arial" w:cs="Arial"/>
          <w:sz w:val="20"/>
          <w:szCs w:val="20"/>
          <w:lang w:bidi="fr-FR"/>
        </w:rPr>
        <w:t>.</w:t>
      </w:r>
    </w:p>
    <w:p w14:paraId="1F35A09C" w14:textId="70420DC9" w:rsidR="00407C58" w:rsidRDefault="00407C58" w:rsidP="00407C58">
      <w:pPr>
        <w:spacing w:line="259" w:lineRule="auto"/>
        <w:jc w:val="both"/>
        <w:rPr>
          <w:rFonts w:ascii="Arial" w:hAnsi="Arial" w:cs="Arial"/>
          <w:sz w:val="20"/>
          <w:szCs w:val="20"/>
        </w:rPr>
      </w:pPr>
    </w:p>
    <w:p w14:paraId="3117DA19" w14:textId="7B16B124" w:rsidR="00A67869" w:rsidRDefault="00A67869" w:rsidP="00407C58">
      <w:pPr>
        <w:spacing w:line="259" w:lineRule="auto"/>
        <w:jc w:val="both"/>
        <w:rPr>
          <w:rFonts w:ascii="Arial" w:hAnsi="Arial" w:cs="Arial"/>
          <w:sz w:val="20"/>
          <w:szCs w:val="20"/>
        </w:rPr>
      </w:pPr>
    </w:p>
    <w:p w14:paraId="3096BDE5" w14:textId="77777777" w:rsidR="00A67869" w:rsidRDefault="00A67869" w:rsidP="00407C58">
      <w:pPr>
        <w:spacing w:line="259" w:lineRule="auto"/>
        <w:jc w:val="both"/>
        <w:rPr>
          <w:rFonts w:ascii="Arial" w:hAnsi="Arial" w:cs="Arial"/>
          <w:sz w:val="20"/>
          <w:szCs w:val="20"/>
        </w:rPr>
      </w:pPr>
    </w:p>
    <w:p w14:paraId="45424D92" w14:textId="77777777" w:rsidR="00A67869" w:rsidRPr="00A67869" w:rsidRDefault="00A67869" w:rsidP="00A67869">
      <w:pPr>
        <w:pStyle w:val="ListParagraph"/>
        <w:numPr>
          <w:ilvl w:val="0"/>
          <w:numId w:val="13"/>
        </w:numPr>
        <w:spacing w:line="259" w:lineRule="auto"/>
        <w:jc w:val="both"/>
        <w:rPr>
          <w:rFonts w:ascii="Arial" w:hAnsi="Arial" w:cs="Arial"/>
          <w:b/>
          <w:bCs/>
          <w:sz w:val="20"/>
          <w:szCs w:val="20"/>
        </w:rPr>
      </w:pPr>
      <w:r w:rsidRPr="00A67869">
        <w:rPr>
          <w:rFonts w:ascii="Arial" w:hAnsi="Arial" w:cs="Arial"/>
          <w:b/>
          <w:bCs/>
          <w:sz w:val="20"/>
          <w:szCs w:val="20"/>
        </w:rPr>
        <w:lastRenderedPageBreak/>
        <w:t xml:space="preserve">Comment les variants affectent-ils la performance de ce test ? </w:t>
      </w:r>
    </w:p>
    <w:p w14:paraId="1BA6A831" w14:textId="77777777" w:rsidR="00A67869" w:rsidRPr="00A67869" w:rsidRDefault="00A67869" w:rsidP="00A67869">
      <w:pPr>
        <w:spacing w:line="259" w:lineRule="auto"/>
        <w:jc w:val="both"/>
        <w:rPr>
          <w:rFonts w:ascii="Arial" w:hAnsi="Arial" w:cs="Arial"/>
          <w:sz w:val="20"/>
          <w:szCs w:val="20"/>
        </w:rPr>
      </w:pPr>
    </w:p>
    <w:p w14:paraId="30489E8A" w14:textId="638F2495" w:rsidR="00407C58" w:rsidRPr="00407C58" w:rsidRDefault="00A67869" w:rsidP="00A67869">
      <w:pPr>
        <w:spacing w:line="259" w:lineRule="auto"/>
        <w:jc w:val="both"/>
        <w:rPr>
          <w:rFonts w:ascii="Arial" w:hAnsi="Arial" w:cs="Arial"/>
          <w:sz w:val="20"/>
          <w:szCs w:val="20"/>
        </w:rPr>
      </w:pPr>
      <w:r w:rsidRPr="00A67869">
        <w:rPr>
          <w:rFonts w:ascii="Arial" w:hAnsi="Arial" w:cs="Arial"/>
          <w:sz w:val="20"/>
          <w:szCs w:val="20"/>
        </w:rPr>
        <w:t xml:space="preserve">Le virus SARS-CoV-2 a muté au fil du temps, ce qui a entraîné une variation génétique de la population des souches virales en circulation au cours de la pandémie de COVID-19. L’impact des mutations de ces souches sur la performance des tests antigéniques dépend notamment du fait que le test détecte la protéine </w:t>
      </w:r>
      <w:proofErr w:type="spellStart"/>
      <w:r w:rsidRPr="00A67869">
        <w:rPr>
          <w:rFonts w:ascii="Arial" w:hAnsi="Arial" w:cs="Arial"/>
          <w:sz w:val="20"/>
          <w:szCs w:val="20"/>
        </w:rPr>
        <w:t>nucléocapsidique</w:t>
      </w:r>
      <w:proofErr w:type="spellEnd"/>
      <w:r w:rsidRPr="00A67869">
        <w:rPr>
          <w:rFonts w:ascii="Arial" w:hAnsi="Arial" w:cs="Arial"/>
          <w:sz w:val="20"/>
          <w:szCs w:val="20"/>
        </w:rPr>
        <w:t xml:space="preserve"> (N) ou la protéine de spicule (S). Les professionnels de santé et le personnel de laboratoire doivent être conscients que des résultats faux négatifs peuvent être obtenus avec **n’importe quel** test moléculaire de détection du SARS-CoV-2, en particulier si une mutation s’est produite dans la partie du génome viral évaluée par ce test. Les tests qui ont obtenu une autorisation d’utilisation d’urgence au titre du protocole EUL de l’OMS n’ont pas montré de diminution de leur capacité à détecter les variants du virus SARS-CoV-2.</w:t>
      </w:r>
    </w:p>
    <w:p w14:paraId="19AAA368" w14:textId="368C629C" w:rsidR="00A67869" w:rsidRPr="00416E89" w:rsidRDefault="00A67869" w:rsidP="00A67869">
      <w:pPr>
        <w:pStyle w:val="Heading2"/>
        <w:keepNext w:val="0"/>
        <w:keepLines w:val="0"/>
        <w:spacing w:before="480" w:after="160" w:line="276" w:lineRule="auto"/>
        <w:rPr>
          <w:rFonts w:ascii="Arial" w:hAnsi="Arial" w:cs="Arial"/>
          <w:b/>
          <w:bCs/>
          <w:color w:val="auto"/>
          <w:sz w:val="26"/>
          <w:szCs w:val="26"/>
        </w:rPr>
      </w:pPr>
      <w:r>
        <w:rPr>
          <w:rFonts w:ascii="Arial" w:eastAsia="Arial" w:hAnsi="Arial" w:cs="Arial"/>
          <w:b/>
          <w:color w:val="auto"/>
          <w:sz w:val="26"/>
          <w:szCs w:val="26"/>
          <w:lang w:bidi="fr-FR"/>
        </w:rPr>
        <w:t>L’</w:t>
      </w:r>
      <w:proofErr w:type="spellStart"/>
      <w:r>
        <w:rPr>
          <w:rFonts w:ascii="Arial" w:eastAsia="Arial" w:hAnsi="Arial" w:cs="Arial"/>
          <w:b/>
          <w:color w:val="auto"/>
          <w:sz w:val="26"/>
          <w:szCs w:val="26"/>
          <w:lang w:bidi="fr-FR"/>
        </w:rPr>
        <w:t>autodépistage</w:t>
      </w:r>
      <w:proofErr w:type="spellEnd"/>
    </w:p>
    <w:p w14:paraId="675473DF" w14:textId="1FECE12F" w:rsidR="00A67869" w:rsidRDefault="00A67869" w:rsidP="00A67869">
      <w:pPr>
        <w:pStyle w:val="paragraph"/>
        <w:spacing w:before="0" w:beforeAutospacing="0" w:after="0" w:afterAutospacing="0"/>
        <w:textAlignment w:val="baseline"/>
        <w:rPr>
          <w:rFonts w:ascii="Segoe UI" w:hAnsi="Segoe UI" w:cs="Segoe UI"/>
          <w:color w:val="2F5496"/>
          <w:sz w:val="18"/>
          <w:szCs w:val="18"/>
        </w:rPr>
      </w:pPr>
    </w:p>
    <w:p w14:paraId="2DEE2C73" w14:textId="77777777" w:rsidR="00A67869" w:rsidRPr="00A67869" w:rsidRDefault="00A67869" w:rsidP="00A67869">
      <w:pPr>
        <w:pStyle w:val="paragraph"/>
        <w:numPr>
          <w:ilvl w:val="0"/>
          <w:numId w:val="14"/>
        </w:numPr>
        <w:spacing w:before="0" w:beforeAutospacing="0" w:after="0" w:afterAutospacing="0"/>
        <w:ind w:left="1080" w:firstLine="0"/>
        <w:textAlignment w:val="baseline"/>
        <w:rPr>
          <w:rFonts w:ascii="Arial" w:hAnsi="Arial" w:cs="Arial"/>
          <w:sz w:val="20"/>
          <w:szCs w:val="20"/>
        </w:rPr>
      </w:pPr>
      <w:r w:rsidRPr="00A67869">
        <w:rPr>
          <w:rStyle w:val="normaltextrun"/>
          <w:rFonts w:ascii="Arial" w:hAnsi="Arial" w:cs="Arial"/>
          <w:b/>
          <w:bCs/>
          <w:sz w:val="20"/>
          <w:szCs w:val="20"/>
          <w:lang w:val="fr-FR"/>
        </w:rPr>
        <w:t>Quel est l’avantage de l’</w:t>
      </w:r>
      <w:proofErr w:type="spellStart"/>
      <w:r w:rsidRPr="00A67869">
        <w:rPr>
          <w:rStyle w:val="normaltextrun"/>
          <w:rFonts w:ascii="Arial" w:hAnsi="Arial" w:cs="Arial"/>
          <w:b/>
          <w:bCs/>
          <w:sz w:val="20"/>
          <w:szCs w:val="20"/>
          <w:lang w:val="fr-FR"/>
        </w:rPr>
        <w:t>autodépistage</w:t>
      </w:r>
      <w:proofErr w:type="spellEnd"/>
      <w:r w:rsidRPr="00A67869">
        <w:rPr>
          <w:rStyle w:val="normaltextrun"/>
          <w:rFonts w:ascii="Arial" w:hAnsi="Arial" w:cs="Arial"/>
          <w:b/>
          <w:bCs/>
          <w:sz w:val="20"/>
          <w:szCs w:val="20"/>
          <w:lang w:val="fr-FR"/>
        </w:rPr>
        <w:t xml:space="preserve"> ?</w:t>
      </w:r>
      <w:r w:rsidRPr="00A67869">
        <w:rPr>
          <w:rStyle w:val="eop"/>
          <w:rFonts w:ascii="Arial" w:eastAsiaTheme="majorEastAsia" w:hAnsi="Arial" w:cs="Arial"/>
          <w:sz w:val="20"/>
          <w:szCs w:val="20"/>
        </w:rPr>
        <w:t> </w:t>
      </w:r>
    </w:p>
    <w:p w14:paraId="252BFA9E" w14:textId="77777777" w:rsidR="00A67869" w:rsidRPr="00A67869" w:rsidRDefault="00A67869" w:rsidP="00A67869">
      <w:pPr>
        <w:pStyle w:val="paragraph"/>
        <w:numPr>
          <w:ilvl w:val="0"/>
          <w:numId w:val="15"/>
        </w:numPr>
        <w:spacing w:before="0" w:beforeAutospacing="0" w:after="0" w:afterAutospacing="0"/>
        <w:ind w:left="1440" w:firstLine="0"/>
        <w:textAlignment w:val="baseline"/>
        <w:rPr>
          <w:rFonts w:ascii="Arial" w:hAnsi="Arial" w:cs="Arial"/>
          <w:sz w:val="20"/>
          <w:szCs w:val="20"/>
        </w:rPr>
      </w:pPr>
      <w:r w:rsidRPr="00A67869">
        <w:rPr>
          <w:rStyle w:val="normaltextrun"/>
          <w:rFonts w:ascii="Arial" w:hAnsi="Arial" w:cs="Arial"/>
          <w:sz w:val="20"/>
          <w:szCs w:val="20"/>
          <w:lang w:val="fr-FR"/>
        </w:rPr>
        <w:t>L’</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de la COVID-19 est faisable et les utilisateurs peuvent effectuer avec fiabilité et exactitude les TDR-Ag du SARS-CoV-2, par rapport à des professionnels formés.</w:t>
      </w:r>
      <w:r w:rsidRPr="00A67869">
        <w:rPr>
          <w:rStyle w:val="eop"/>
          <w:rFonts w:ascii="Arial" w:eastAsiaTheme="majorEastAsia" w:hAnsi="Arial" w:cs="Arial"/>
          <w:sz w:val="20"/>
          <w:szCs w:val="20"/>
        </w:rPr>
        <w:t> </w:t>
      </w:r>
    </w:p>
    <w:p w14:paraId="233A33C7" w14:textId="77777777" w:rsidR="00A67869" w:rsidRPr="00A67869" w:rsidRDefault="00A67869" w:rsidP="00A67869">
      <w:pPr>
        <w:pStyle w:val="paragraph"/>
        <w:numPr>
          <w:ilvl w:val="0"/>
          <w:numId w:val="15"/>
        </w:numPr>
        <w:spacing w:before="0" w:beforeAutospacing="0" w:after="0" w:afterAutospacing="0"/>
        <w:ind w:left="1440" w:firstLine="0"/>
        <w:textAlignment w:val="baseline"/>
        <w:rPr>
          <w:rFonts w:ascii="Arial" w:hAnsi="Arial" w:cs="Arial"/>
          <w:sz w:val="20"/>
          <w:szCs w:val="20"/>
        </w:rPr>
      </w:pPr>
      <w:r w:rsidRPr="00A67869">
        <w:rPr>
          <w:rStyle w:val="normaltextrun"/>
          <w:rFonts w:ascii="Arial" w:hAnsi="Arial" w:cs="Arial"/>
          <w:sz w:val="20"/>
          <w:szCs w:val="20"/>
          <w:lang w:val="fr-FR"/>
        </w:rPr>
        <w:t>L’offre d’</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de la COVID-19 est acceptable et a le potentiel d’être largement adoptée.</w:t>
      </w:r>
      <w:r w:rsidRPr="00A67869">
        <w:rPr>
          <w:rStyle w:val="eop"/>
          <w:rFonts w:ascii="Arial" w:eastAsiaTheme="majorEastAsia" w:hAnsi="Arial" w:cs="Arial"/>
          <w:sz w:val="20"/>
          <w:szCs w:val="20"/>
        </w:rPr>
        <w:t> </w:t>
      </w:r>
    </w:p>
    <w:p w14:paraId="0AE10B80" w14:textId="77777777" w:rsidR="00A67869" w:rsidRPr="00A67869" w:rsidRDefault="00A67869" w:rsidP="00A67869">
      <w:pPr>
        <w:pStyle w:val="paragraph"/>
        <w:numPr>
          <w:ilvl w:val="0"/>
          <w:numId w:val="15"/>
        </w:numPr>
        <w:spacing w:before="0" w:beforeAutospacing="0" w:after="0" w:afterAutospacing="0"/>
        <w:ind w:left="1440" w:firstLine="0"/>
        <w:textAlignment w:val="baseline"/>
        <w:rPr>
          <w:rFonts w:ascii="Arial" w:hAnsi="Arial" w:cs="Arial"/>
          <w:sz w:val="20"/>
          <w:szCs w:val="20"/>
          <w:lang w:val="es-ES"/>
        </w:rPr>
      </w:pPr>
      <w:r w:rsidRPr="00A67869">
        <w:rPr>
          <w:rStyle w:val="normaltextrun"/>
          <w:rFonts w:ascii="Arial" w:hAnsi="Arial" w:cs="Arial"/>
          <w:sz w:val="20"/>
          <w:szCs w:val="20"/>
          <w:lang w:val="fr-FR"/>
        </w:rPr>
        <w:t>L’offre d’</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de la COVID-19 a le potentiel de permettre un diagnostic rapide, et donc la prise rapide de décisions basées sur le risque et de mesures après le test, en particulier dans les communautés difficiles d’accès. </w:t>
      </w:r>
      <w:r w:rsidRPr="00A67869">
        <w:rPr>
          <w:rStyle w:val="eop"/>
          <w:rFonts w:ascii="Arial" w:eastAsiaTheme="majorEastAsia" w:hAnsi="Arial" w:cs="Arial"/>
          <w:sz w:val="20"/>
          <w:szCs w:val="20"/>
          <w:lang w:val="es-ES"/>
        </w:rPr>
        <w:t> </w:t>
      </w:r>
    </w:p>
    <w:p w14:paraId="7682D56F" w14:textId="77777777" w:rsidR="00A67869" w:rsidRPr="00A67869" w:rsidRDefault="00A67869" w:rsidP="00A67869">
      <w:pPr>
        <w:pStyle w:val="paragraph"/>
        <w:numPr>
          <w:ilvl w:val="0"/>
          <w:numId w:val="15"/>
        </w:numPr>
        <w:spacing w:before="0" w:beforeAutospacing="0" w:after="0" w:afterAutospacing="0"/>
        <w:ind w:left="1440" w:firstLine="0"/>
        <w:textAlignment w:val="baseline"/>
        <w:rPr>
          <w:rFonts w:ascii="Arial" w:hAnsi="Arial" w:cs="Arial"/>
          <w:sz w:val="20"/>
          <w:szCs w:val="20"/>
          <w:lang w:val="es-ES"/>
        </w:rPr>
      </w:pPr>
      <w:r w:rsidRPr="00A67869">
        <w:rPr>
          <w:rStyle w:val="normaltextrun"/>
          <w:rFonts w:ascii="Arial" w:hAnsi="Arial" w:cs="Arial"/>
          <w:sz w:val="20"/>
          <w:szCs w:val="20"/>
          <w:lang w:val="fr-FR"/>
        </w:rPr>
        <w:t>L’offre d’</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de la COVID-19 a potentiellement des avantages additionnels pour la personne et la société, notamment en permettant aux personnes de prendre plus rapidement des mesures après le test, en particulier des décisions susceptibles d’influer sur leur santé et celle de leur famille et de leur communauté.</w:t>
      </w:r>
      <w:r w:rsidRPr="00A67869">
        <w:rPr>
          <w:rStyle w:val="eop"/>
          <w:rFonts w:ascii="Arial" w:eastAsiaTheme="majorEastAsia" w:hAnsi="Arial" w:cs="Arial"/>
          <w:sz w:val="20"/>
          <w:szCs w:val="20"/>
          <w:lang w:val="es-ES"/>
        </w:rPr>
        <w:t> </w:t>
      </w:r>
    </w:p>
    <w:p w14:paraId="1442FC69" w14:textId="77777777" w:rsidR="00A67869" w:rsidRPr="00A67869" w:rsidRDefault="00A67869" w:rsidP="00A67869">
      <w:pPr>
        <w:pStyle w:val="paragraph"/>
        <w:spacing w:before="0" w:beforeAutospacing="0" w:after="0" w:afterAutospacing="0"/>
        <w:ind w:left="720"/>
        <w:textAlignment w:val="baseline"/>
        <w:rPr>
          <w:rFonts w:ascii="Arial" w:hAnsi="Arial" w:cs="Arial"/>
          <w:sz w:val="20"/>
          <w:szCs w:val="20"/>
          <w:lang w:val="es-ES"/>
        </w:rPr>
      </w:pPr>
      <w:r w:rsidRPr="00A67869">
        <w:rPr>
          <w:rStyle w:val="eop"/>
          <w:rFonts w:ascii="Arial" w:eastAsiaTheme="majorEastAsia" w:hAnsi="Arial" w:cs="Arial"/>
          <w:sz w:val="20"/>
          <w:szCs w:val="20"/>
          <w:lang w:val="es-ES"/>
        </w:rPr>
        <w:t> </w:t>
      </w:r>
    </w:p>
    <w:p w14:paraId="68DA1000" w14:textId="77777777" w:rsidR="00A67869" w:rsidRPr="00A67869" w:rsidRDefault="00A67869" w:rsidP="00A67869">
      <w:pPr>
        <w:pStyle w:val="paragraph"/>
        <w:numPr>
          <w:ilvl w:val="0"/>
          <w:numId w:val="16"/>
        </w:numPr>
        <w:spacing w:before="0" w:beforeAutospacing="0" w:after="0" w:afterAutospacing="0"/>
        <w:ind w:left="1080" w:firstLine="0"/>
        <w:textAlignment w:val="baseline"/>
        <w:rPr>
          <w:rFonts w:ascii="Arial" w:hAnsi="Arial" w:cs="Arial"/>
          <w:sz w:val="20"/>
          <w:szCs w:val="20"/>
        </w:rPr>
      </w:pPr>
      <w:r w:rsidRPr="00A67869">
        <w:rPr>
          <w:rStyle w:val="normaltextrun"/>
          <w:rFonts w:ascii="Arial" w:hAnsi="Arial" w:cs="Arial"/>
          <w:b/>
          <w:bCs/>
          <w:sz w:val="20"/>
          <w:szCs w:val="20"/>
          <w:lang w:val="fr-FR"/>
        </w:rPr>
        <w:t>Tous les TDR-Ag peuvent-ils être utilisés pour l’</w:t>
      </w:r>
      <w:proofErr w:type="spellStart"/>
      <w:r w:rsidRPr="00A67869">
        <w:rPr>
          <w:rStyle w:val="normaltextrun"/>
          <w:rFonts w:ascii="Arial" w:hAnsi="Arial" w:cs="Arial"/>
          <w:b/>
          <w:bCs/>
          <w:sz w:val="20"/>
          <w:szCs w:val="20"/>
          <w:lang w:val="fr-FR"/>
        </w:rPr>
        <w:t>autodépistage</w:t>
      </w:r>
      <w:proofErr w:type="spellEnd"/>
      <w:r w:rsidRPr="00A67869">
        <w:rPr>
          <w:rStyle w:val="normaltextrun"/>
          <w:rFonts w:ascii="Arial" w:hAnsi="Arial" w:cs="Arial"/>
          <w:b/>
          <w:bCs/>
          <w:sz w:val="20"/>
          <w:szCs w:val="20"/>
          <w:lang w:val="fr-FR"/>
        </w:rPr>
        <w:t> ?</w:t>
      </w:r>
      <w:r w:rsidRPr="00A67869">
        <w:rPr>
          <w:rStyle w:val="eop"/>
          <w:rFonts w:ascii="Arial" w:eastAsiaTheme="majorEastAsia" w:hAnsi="Arial" w:cs="Arial"/>
          <w:sz w:val="20"/>
          <w:szCs w:val="20"/>
        </w:rPr>
        <w:t> </w:t>
      </w:r>
    </w:p>
    <w:p w14:paraId="10A4B143" w14:textId="77777777" w:rsidR="00A67869" w:rsidRPr="00A67869" w:rsidRDefault="00A67869" w:rsidP="00A67869">
      <w:pPr>
        <w:pStyle w:val="paragraph"/>
        <w:spacing w:before="0" w:beforeAutospacing="0" w:after="0" w:afterAutospacing="0"/>
        <w:ind w:left="720"/>
        <w:textAlignment w:val="baseline"/>
        <w:rPr>
          <w:rFonts w:ascii="Arial" w:hAnsi="Arial" w:cs="Arial"/>
          <w:sz w:val="20"/>
          <w:szCs w:val="20"/>
          <w:lang w:val="fr-FR"/>
        </w:rPr>
      </w:pPr>
      <w:r w:rsidRPr="00A67869">
        <w:rPr>
          <w:rStyle w:val="normaltextrun"/>
          <w:rFonts w:ascii="Arial" w:hAnsi="Arial" w:cs="Arial"/>
          <w:sz w:val="20"/>
          <w:szCs w:val="20"/>
          <w:lang w:val="fr-FR"/>
        </w:rPr>
        <w:t>Les TDR-Ag qui ont été approuvés pour l’</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sont ceux pouvant être utilisés. En général, ces tests sont emballés individuellement, avec un mode d’emploi pour chaque test. Les tests à usage professionnel qui n’ont pas été approuvés pour l’</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et qui sont reconditionnés à des fins d’</w:t>
      </w:r>
      <w:proofErr w:type="spellStart"/>
      <w:r w:rsidRPr="00A67869">
        <w:rPr>
          <w:rStyle w:val="normaltextrun"/>
          <w:rFonts w:ascii="Arial" w:hAnsi="Arial" w:cs="Arial"/>
          <w:sz w:val="20"/>
          <w:szCs w:val="20"/>
          <w:lang w:val="fr-FR"/>
        </w:rPr>
        <w:t>autodépistage</w:t>
      </w:r>
      <w:proofErr w:type="spellEnd"/>
      <w:r w:rsidRPr="00A67869">
        <w:rPr>
          <w:rStyle w:val="normaltextrun"/>
          <w:rFonts w:ascii="Arial" w:hAnsi="Arial" w:cs="Arial"/>
          <w:sz w:val="20"/>
          <w:szCs w:val="20"/>
          <w:lang w:val="fr-FR"/>
        </w:rPr>
        <w:t xml:space="preserve"> ne devraient pas être utilisés.</w:t>
      </w:r>
      <w:r w:rsidRPr="00A67869">
        <w:rPr>
          <w:rStyle w:val="eop"/>
          <w:rFonts w:ascii="Arial" w:eastAsiaTheme="majorEastAsia" w:hAnsi="Arial" w:cs="Arial"/>
          <w:sz w:val="20"/>
          <w:szCs w:val="20"/>
          <w:lang w:val="fr-FR"/>
        </w:rPr>
        <w:t> </w:t>
      </w:r>
    </w:p>
    <w:p w14:paraId="193101FA" w14:textId="77777777" w:rsidR="00A67869" w:rsidRPr="00A67869" w:rsidRDefault="00A67869" w:rsidP="00A67869">
      <w:pPr>
        <w:pStyle w:val="paragraph"/>
        <w:spacing w:before="0" w:beforeAutospacing="0" w:after="0" w:afterAutospacing="0"/>
        <w:ind w:left="720"/>
        <w:textAlignment w:val="baseline"/>
        <w:rPr>
          <w:rFonts w:ascii="Arial" w:hAnsi="Arial" w:cs="Arial"/>
          <w:sz w:val="20"/>
          <w:szCs w:val="20"/>
          <w:lang w:val="fr-FR"/>
        </w:rPr>
      </w:pPr>
      <w:r w:rsidRPr="00A67869">
        <w:rPr>
          <w:rStyle w:val="eop"/>
          <w:rFonts w:ascii="Arial" w:eastAsiaTheme="majorEastAsia" w:hAnsi="Arial" w:cs="Arial"/>
          <w:sz w:val="20"/>
          <w:szCs w:val="20"/>
          <w:lang w:val="fr-FR"/>
        </w:rPr>
        <w:t> </w:t>
      </w:r>
    </w:p>
    <w:p w14:paraId="082594DD" w14:textId="77777777" w:rsidR="00A67869" w:rsidRPr="00A67869" w:rsidRDefault="00A67869" w:rsidP="00A67869">
      <w:pPr>
        <w:pStyle w:val="paragraph"/>
        <w:numPr>
          <w:ilvl w:val="0"/>
          <w:numId w:val="17"/>
        </w:numPr>
        <w:spacing w:before="0" w:beforeAutospacing="0" w:after="0" w:afterAutospacing="0"/>
        <w:ind w:left="1080" w:firstLine="0"/>
        <w:textAlignment w:val="baseline"/>
        <w:rPr>
          <w:rFonts w:ascii="Arial" w:hAnsi="Arial" w:cs="Arial"/>
          <w:sz w:val="20"/>
          <w:szCs w:val="20"/>
        </w:rPr>
      </w:pPr>
      <w:r w:rsidRPr="00A67869">
        <w:rPr>
          <w:rStyle w:val="normaltextrun"/>
          <w:rFonts w:ascii="Arial" w:hAnsi="Arial" w:cs="Arial"/>
          <w:b/>
          <w:bCs/>
          <w:sz w:val="20"/>
          <w:szCs w:val="20"/>
          <w:lang w:val="fr-FR"/>
        </w:rPr>
        <w:t>Comment faut-il utiliser les résultats d’un autotest ?</w:t>
      </w:r>
      <w:r w:rsidRPr="00A67869">
        <w:rPr>
          <w:rStyle w:val="eop"/>
          <w:rFonts w:ascii="Arial" w:eastAsiaTheme="majorEastAsia" w:hAnsi="Arial" w:cs="Arial"/>
          <w:sz w:val="20"/>
          <w:szCs w:val="20"/>
        </w:rPr>
        <w:t> </w:t>
      </w:r>
    </w:p>
    <w:p w14:paraId="6E258C32" w14:textId="2053B1B1" w:rsidR="00A67869" w:rsidRPr="00A67869" w:rsidRDefault="00A67869" w:rsidP="00A67869">
      <w:pPr>
        <w:pStyle w:val="paragraph"/>
        <w:spacing w:before="0" w:beforeAutospacing="0" w:after="0" w:afterAutospacing="0"/>
        <w:ind w:left="720"/>
        <w:jc w:val="both"/>
        <w:textAlignment w:val="baseline"/>
        <w:rPr>
          <w:rFonts w:ascii="Arial" w:hAnsi="Arial" w:cs="Arial"/>
          <w:sz w:val="20"/>
          <w:szCs w:val="20"/>
        </w:rPr>
      </w:pPr>
      <w:r w:rsidRPr="00A67869">
        <w:rPr>
          <w:rStyle w:val="normaltextrun"/>
          <w:rFonts w:ascii="Arial" w:hAnsi="Arial" w:cs="Arial"/>
          <w:sz w:val="20"/>
          <w:szCs w:val="20"/>
          <w:lang w:val="fr-FR"/>
        </w:rPr>
        <w:t>Sur le plan du diagnostic, une personne ayant un autotest positif peut être considérée comme un cas probable d’infection à SARS-CoV-2 et doit prendre des mesures après le test, notamment anti-infectieuses conformément aux directives nationales en vigueur. Un autotest négatif est compatible avec l’absence de signes actuels d’infection, mais il faut informer les personnes de la possibilité de faux négatifs. Les sujets ayant eu un autotest négatif, notamment ceux présentant des symptômes persistants ou qui évoluent, doivent envisager de refaire un test, p. ex. 24 à 48 heures plus tard et/ou de demander des tests pour d’autres diagnostics, notamment pour rechercher d’autres infections respiratoires. Ces deuxièmes tests peuvent être des autotests ou être faits par des professionnels.</w:t>
      </w:r>
      <w:r w:rsidRPr="00A67869">
        <w:rPr>
          <w:rStyle w:val="eop"/>
          <w:rFonts w:ascii="Arial" w:eastAsiaTheme="majorEastAsia" w:hAnsi="Arial" w:cs="Arial"/>
          <w:sz w:val="20"/>
          <w:szCs w:val="20"/>
        </w:rPr>
        <w:t> </w:t>
      </w:r>
    </w:p>
    <w:p w14:paraId="50DF43ED" w14:textId="21FFD1EF" w:rsidR="0050384A" w:rsidRPr="00407C58" w:rsidRDefault="0050384A" w:rsidP="008A1B65">
      <w:pPr>
        <w:pStyle w:val="Heading2"/>
        <w:keepNext w:val="0"/>
        <w:keepLines w:val="0"/>
        <w:spacing w:before="480" w:after="160" w:line="276" w:lineRule="auto"/>
        <w:rPr>
          <w:rFonts w:ascii="Arial" w:eastAsia="Arial" w:hAnsi="Arial" w:cs="Arial"/>
          <w:b/>
          <w:color w:val="auto"/>
          <w:sz w:val="26"/>
          <w:szCs w:val="26"/>
          <w:lang w:bidi="fr-FR"/>
        </w:rPr>
      </w:pPr>
      <w:r w:rsidRPr="00416E89">
        <w:rPr>
          <w:rFonts w:ascii="Arial" w:eastAsia="Arial" w:hAnsi="Arial" w:cs="Arial"/>
          <w:b/>
          <w:color w:val="auto"/>
          <w:sz w:val="26"/>
          <w:szCs w:val="26"/>
          <w:lang w:bidi="fr-FR"/>
        </w:rPr>
        <w:t>Exigences relatives aux échantillons</w:t>
      </w:r>
    </w:p>
    <w:p w14:paraId="203DBF6E" w14:textId="77777777" w:rsidR="00F61D4F" w:rsidRPr="00F61D4F" w:rsidRDefault="00F61D4F" w:rsidP="00584997">
      <w:pPr>
        <w:pStyle w:val="ListParagraph"/>
        <w:numPr>
          <w:ilvl w:val="0"/>
          <w:numId w:val="1"/>
        </w:numPr>
        <w:jc w:val="both"/>
        <w:rPr>
          <w:rFonts w:ascii="Arial" w:hAnsi="Arial" w:cs="Arial"/>
          <w:b/>
          <w:bCs/>
          <w:sz w:val="20"/>
          <w:szCs w:val="20"/>
        </w:rPr>
      </w:pPr>
      <w:r w:rsidRPr="00F61D4F">
        <w:rPr>
          <w:rFonts w:ascii="Arial" w:eastAsia="Arial" w:hAnsi="Arial" w:cs="Arial"/>
          <w:b/>
          <w:sz w:val="20"/>
          <w:szCs w:val="20"/>
          <w:lang w:bidi="fr-FR"/>
        </w:rPr>
        <w:t>Quels échantillons puis-je tester à l'aide des tests de détection des antigènes ?</w:t>
      </w:r>
    </w:p>
    <w:p w14:paraId="7BE59AC0" w14:textId="09A49B02" w:rsidR="00F61D4F" w:rsidRDefault="00F61D4F" w:rsidP="00584997">
      <w:pPr>
        <w:pStyle w:val="ListParagraph"/>
        <w:jc w:val="both"/>
        <w:rPr>
          <w:rFonts w:ascii="Arial" w:hAnsi="Arial" w:cs="Arial"/>
          <w:sz w:val="20"/>
          <w:szCs w:val="20"/>
        </w:rPr>
      </w:pPr>
      <w:r w:rsidRPr="00F61D4F">
        <w:rPr>
          <w:rFonts w:ascii="Arial" w:eastAsia="Arial" w:hAnsi="Arial" w:cs="Arial"/>
          <w:sz w:val="20"/>
          <w:szCs w:val="20"/>
          <w:lang w:bidi="fr-FR"/>
        </w:rPr>
        <w:t xml:space="preserve">Les tests de détection des antigènes sont actuellement approuvés pour tester les </w:t>
      </w:r>
      <w:r w:rsidR="00407C58">
        <w:rPr>
          <w:rFonts w:ascii="Arial" w:eastAsia="Arial" w:hAnsi="Arial" w:cs="Arial"/>
          <w:sz w:val="20"/>
          <w:szCs w:val="20"/>
          <w:lang w:bidi="fr-FR"/>
        </w:rPr>
        <w:t>prélèvements</w:t>
      </w:r>
      <w:r w:rsidRPr="00F61D4F">
        <w:rPr>
          <w:rFonts w:ascii="Arial" w:eastAsia="Arial" w:hAnsi="Arial" w:cs="Arial"/>
          <w:sz w:val="20"/>
          <w:szCs w:val="20"/>
          <w:lang w:bidi="fr-FR"/>
        </w:rPr>
        <w:t xml:space="preserve"> nasopharyngés. Consultez toujours les instructions du fabricant pour obtenir des informations concernant la compatibilité des types d'échantillons.  </w:t>
      </w:r>
    </w:p>
    <w:p w14:paraId="606881A8" w14:textId="77777777" w:rsidR="008A1B65" w:rsidRDefault="008A1B65" w:rsidP="00584997">
      <w:pPr>
        <w:pStyle w:val="ListParagraph"/>
        <w:jc w:val="both"/>
        <w:rPr>
          <w:rFonts w:ascii="Arial" w:hAnsi="Arial" w:cs="Arial"/>
          <w:sz w:val="20"/>
          <w:szCs w:val="20"/>
        </w:rPr>
      </w:pPr>
    </w:p>
    <w:p w14:paraId="4C7F982C" w14:textId="27CCB7EA" w:rsidR="00A67869" w:rsidRPr="00A67869" w:rsidRDefault="00A67869" w:rsidP="00A67869">
      <w:pPr>
        <w:pStyle w:val="ListParagraph"/>
        <w:numPr>
          <w:ilvl w:val="0"/>
          <w:numId w:val="1"/>
        </w:numPr>
        <w:jc w:val="both"/>
        <w:rPr>
          <w:rFonts w:ascii="Arial" w:hAnsi="Arial" w:cs="Arial"/>
          <w:b/>
          <w:bCs/>
          <w:sz w:val="20"/>
          <w:szCs w:val="20"/>
        </w:rPr>
      </w:pPr>
      <w:r w:rsidRPr="00A67869">
        <w:rPr>
          <w:rFonts w:ascii="Arial" w:hAnsi="Arial" w:cs="Arial"/>
          <w:b/>
          <w:bCs/>
          <w:sz w:val="20"/>
          <w:szCs w:val="20"/>
        </w:rPr>
        <w:t xml:space="preserve">Quels sont les échantillons couramment utilisés pour les autotests ? </w:t>
      </w:r>
    </w:p>
    <w:p w14:paraId="05577110" w14:textId="73B865B2" w:rsidR="00A67869" w:rsidRDefault="00A67869" w:rsidP="00A67869">
      <w:pPr>
        <w:pStyle w:val="ListParagraph"/>
        <w:jc w:val="both"/>
        <w:rPr>
          <w:rFonts w:ascii="Arial" w:hAnsi="Arial" w:cs="Arial"/>
          <w:sz w:val="20"/>
          <w:szCs w:val="20"/>
        </w:rPr>
      </w:pPr>
      <w:r w:rsidRPr="00A67869">
        <w:rPr>
          <w:rFonts w:ascii="Arial" w:hAnsi="Arial" w:cs="Arial"/>
          <w:sz w:val="20"/>
          <w:szCs w:val="20"/>
        </w:rPr>
        <w:t>Les échantillons obtenus par écouvillonnage nasal sont souvent les échantillons de choix pour les autotests utilisant des TDR-Ag du SARS-CoV-2. Au fur et à mesure que de nouveaux tests sont disponibles, d’autres types d’échantillons sont utilisés, tels que les écouvillons pharyngés ou la salive. Reportez-vous toujours au mode d’emploi du kit qui spécifie le type d’échantillons à utiliser.</w:t>
      </w:r>
    </w:p>
    <w:p w14:paraId="042247C4" w14:textId="77777777" w:rsidR="00A67869" w:rsidRPr="00A67869" w:rsidRDefault="00A67869" w:rsidP="00A67869">
      <w:pPr>
        <w:pStyle w:val="ListParagraph"/>
        <w:jc w:val="both"/>
        <w:rPr>
          <w:rFonts w:ascii="Arial" w:hAnsi="Arial" w:cs="Arial"/>
          <w:sz w:val="20"/>
          <w:szCs w:val="20"/>
        </w:rPr>
      </w:pPr>
    </w:p>
    <w:p w14:paraId="326EB601" w14:textId="45D4874D" w:rsidR="00F61D4F" w:rsidRPr="00F61D4F" w:rsidRDefault="00F61D4F" w:rsidP="00584997">
      <w:pPr>
        <w:pStyle w:val="ListParagraph"/>
        <w:numPr>
          <w:ilvl w:val="0"/>
          <w:numId w:val="1"/>
        </w:numPr>
        <w:jc w:val="both"/>
        <w:rPr>
          <w:rFonts w:ascii="Arial" w:hAnsi="Arial" w:cs="Arial"/>
          <w:b/>
          <w:bCs/>
          <w:sz w:val="20"/>
          <w:szCs w:val="20"/>
        </w:rPr>
      </w:pPr>
      <w:r w:rsidRPr="00F61D4F">
        <w:rPr>
          <w:rFonts w:ascii="Arial" w:eastAsia="Arial" w:hAnsi="Arial" w:cs="Arial"/>
          <w:b/>
          <w:sz w:val="20"/>
          <w:szCs w:val="20"/>
          <w:lang w:bidi="fr-FR"/>
        </w:rPr>
        <w:t>Combien de temps les échantillons peuvent-ils être conservés après leur prélèvement avant d'être testés ?</w:t>
      </w:r>
    </w:p>
    <w:p w14:paraId="5C4920C0" w14:textId="00691DE9" w:rsidR="00F61D4F" w:rsidRDefault="000B79FB" w:rsidP="00584997">
      <w:pPr>
        <w:pStyle w:val="ListParagraph"/>
        <w:jc w:val="both"/>
        <w:rPr>
          <w:rFonts w:ascii="Arial" w:hAnsi="Arial" w:cs="Arial"/>
          <w:sz w:val="20"/>
          <w:szCs w:val="20"/>
        </w:rPr>
      </w:pPr>
      <w:r>
        <w:rPr>
          <w:rFonts w:ascii="Arial" w:eastAsia="Arial" w:hAnsi="Arial" w:cs="Arial"/>
          <w:sz w:val="20"/>
          <w:szCs w:val="20"/>
          <w:lang w:bidi="fr-FR"/>
        </w:rPr>
        <w:t>Suivre le mode d'emploi du fabricant avant utilisation. Certains échantillons doivent être testés dans les quatre heures suivant leur prélèvement lorsqu'ils sont conservés à température ambiante.</w:t>
      </w:r>
    </w:p>
    <w:p w14:paraId="37041E7A" w14:textId="77777777" w:rsidR="008A1B65" w:rsidRPr="00F61D4F" w:rsidRDefault="008A1B65" w:rsidP="00584997">
      <w:pPr>
        <w:pStyle w:val="ListParagraph"/>
        <w:jc w:val="both"/>
        <w:rPr>
          <w:rFonts w:ascii="Arial" w:hAnsi="Arial" w:cs="Arial"/>
          <w:sz w:val="20"/>
          <w:szCs w:val="20"/>
        </w:rPr>
      </w:pPr>
    </w:p>
    <w:p w14:paraId="7C7A3E29" w14:textId="5BAD1942" w:rsidR="00F61D4F" w:rsidRPr="00F61D4F" w:rsidRDefault="00F61D4F" w:rsidP="00584997">
      <w:pPr>
        <w:pStyle w:val="ListParagraph"/>
        <w:numPr>
          <w:ilvl w:val="0"/>
          <w:numId w:val="1"/>
        </w:numPr>
        <w:jc w:val="both"/>
        <w:rPr>
          <w:rFonts w:ascii="Arial" w:hAnsi="Arial" w:cs="Arial"/>
          <w:b/>
          <w:bCs/>
          <w:sz w:val="20"/>
          <w:szCs w:val="20"/>
        </w:rPr>
      </w:pPr>
      <w:r w:rsidRPr="00F61D4F">
        <w:rPr>
          <w:rFonts w:ascii="Arial" w:eastAsia="Arial" w:hAnsi="Arial" w:cs="Arial"/>
          <w:b/>
          <w:sz w:val="20"/>
          <w:szCs w:val="20"/>
          <w:lang w:bidi="fr-FR"/>
        </w:rPr>
        <w:t xml:space="preserve">Comment les échantillons doivent-ils être stockés en attendant les tests ou pendant le transport ?  </w:t>
      </w:r>
    </w:p>
    <w:p w14:paraId="460F1646" w14:textId="77777777" w:rsidR="00407C58" w:rsidRDefault="000B79FB" w:rsidP="00416E89">
      <w:pPr>
        <w:pStyle w:val="ListParagraph"/>
        <w:spacing w:after="0"/>
        <w:jc w:val="both"/>
        <w:rPr>
          <w:rFonts w:ascii="Arial" w:eastAsia="Arial" w:hAnsi="Arial" w:cs="Arial"/>
          <w:sz w:val="20"/>
          <w:szCs w:val="20"/>
          <w:lang w:bidi="fr-FR"/>
        </w:rPr>
      </w:pPr>
      <w:r>
        <w:rPr>
          <w:rFonts w:ascii="Arial" w:eastAsia="Arial" w:hAnsi="Arial" w:cs="Arial"/>
          <w:sz w:val="20"/>
          <w:szCs w:val="20"/>
          <w:lang w:bidi="fr-FR"/>
        </w:rPr>
        <w:t>Suivre le mode d'emploi du fabricant avant utilisation. Dans certains cas, les échantillons peuvent être stockés à 4-30°C avant d'être testés. Si la température ambiante est supérieure à 30°C, les échantillons doivent être conservés dans un réfrigérateur ou une glacière pendant le transport et avant les tests.</w:t>
      </w:r>
    </w:p>
    <w:p w14:paraId="2F324836" w14:textId="77777777" w:rsidR="008A1B65" w:rsidRPr="00416E89" w:rsidRDefault="008A1B65" w:rsidP="00416E89">
      <w:pPr>
        <w:spacing w:after="0"/>
        <w:jc w:val="both"/>
        <w:rPr>
          <w:rFonts w:ascii="Arial" w:hAnsi="Arial" w:cs="Arial"/>
          <w:sz w:val="20"/>
          <w:szCs w:val="20"/>
        </w:rPr>
      </w:pPr>
    </w:p>
    <w:p w14:paraId="6265AFE4" w14:textId="77777777" w:rsidR="00407C58" w:rsidRPr="00407C58" w:rsidRDefault="00F61D4F" w:rsidP="00584997">
      <w:pPr>
        <w:pStyle w:val="ListParagraph"/>
        <w:numPr>
          <w:ilvl w:val="0"/>
          <w:numId w:val="1"/>
        </w:numPr>
        <w:jc w:val="both"/>
        <w:rPr>
          <w:rFonts w:ascii="Arial" w:hAnsi="Arial" w:cs="Arial"/>
          <w:b/>
          <w:bCs/>
          <w:sz w:val="20"/>
          <w:szCs w:val="20"/>
        </w:rPr>
      </w:pPr>
      <w:r w:rsidRPr="00F61D4F">
        <w:rPr>
          <w:rFonts w:ascii="Arial" w:eastAsia="Arial" w:hAnsi="Arial" w:cs="Arial"/>
          <w:b/>
          <w:sz w:val="20"/>
          <w:szCs w:val="20"/>
          <w:lang w:bidi="fr-FR"/>
        </w:rPr>
        <w:t>L'échantillon contient du sang, puis-je l'utiliser pour le test ?</w:t>
      </w:r>
    </w:p>
    <w:p w14:paraId="050C5DA5" w14:textId="6074992E" w:rsidR="00F61D4F" w:rsidRDefault="00407C58" w:rsidP="00584997">
      <w:pPr>
        <w:pStyle w:val="ListParagraph"/>
        <w:jc w:val="both"/>
        <w:rPr>
          <w:rFonts w:ascii="Arial" w:hAnsi="Arial" w:cs="Arial"/>
          <w:sz w:val="20"/>
          <w:szCs w:val="20"/>
        </w:rPr>
      </w:pPr>
      <w:r>
        <w:rPr>
          <w:rFonts w:ascii="Arial" w:eastAsia="Arial" w:hAnsi="Arial" w:cs="Arial"/>
          <w:sz w:val="20"/>
          <w:szCs w:val="20"/>
          <w:lang w:bidi="fr-FR"/>
        </w:rPr>
        <w:t>O</w:t>
      </w:r>
      <w:r w:rsidR="00F61D4F" w:rsidRPr="00F61D4F">
        <w:rPr>
          <w:rFonts w:ascii="Arial" w:eastAsia="Arial" w:hAnsi="Arial" w:cs="Arial"/>
          <w:sz w:val="20"/>
          <w:szCs w:val="20"/>
          <w:lang w:bidi="fr-FR"/>
        </w:rPr>
        <w:t>ui. Les échantillons qui contiennent des traces de sang peuvent toujours être utilisés pour effectuer un test de dépistage d'antigènes</w:t>
      </w:r>
      <w:r>
        <w:rPr>
          <w:rFonts w:ascii="Arial" w:eastAsia="Arial" w:hAnsi="Arial" w:cs="Arial"/>
          <w:sz w:val="20"/>
          <w:szCs w:val="20"/>
          <w:lang w:bidi="fr-FR"/>
        </w:rPr>
        <w:t>.</w:t>
      </w:r>
    </w:p>
    <w:p w14:paraId="29FCDDF9" w14:textId="77777777" w:rsidR="00966F68" w:rsidRDefault="00966F68" w:rsidP="00584997">
      <w:pPr>
        <w:pStyle w:val="ListParagraph"/>
        <w:jc w:val="both"/>
        <w:rPr>
          <w:rFonts w:ascii="Arial" w:hAnsi="Arial" w:cs="Arial"/>
          <w:sz w:val="20"/>
          <w:szCs w:val="20"/>
        </w:rPr>
      </w:pPr>
    </w:p>
    <w:p w14:paraId="467147BA" w14:textId="77777777" w:rsidR="00F61D4F" w:rsidRPr="00F61D4F" w:rsidRDefault="00F61D4F" w:rsidP="00584997">
      <w:pPr>
        <w:pStyle w:val="ListParagraph"/>
        <w:numPr>
          <w:ilvl w:val="0"/>
          <w:numId w:val="1"/>
        </w:numPr>
        <w:jc w:val="both"/>
        <w:rPr>
          <w:rFonts w:ascii="Arial" w:hAnsi="Arial" w:cs="Arial"/>
          <w:b/>
          <w:bCs/>
          <w:sz w:val="20"/>
          <w:szCs w:val="20"/>
        </w:rPr>
      </w:pPr>
      <w:r w:rsidRPr="00F61D4F">
        <w:rPr>
          <w:rFonts w:ascii="Arial" w:eastAsia="Arial" w:hAnsi="Arial" w:cs="Arial"/>
          <w:b/>
          <w:sz w:val="20"/>
          <w:szCs w:val="20"/>
          <w:lang w:bidi="fr-FR"/>
        </w:rPr>
        <w:t>Peut-on utiliser les TDR de détection des antigènes pour tester les échantillons de sang ?</w:t>
      </w:r>
    </w:p>
    <w:p w14:paraId="02D97AAC" w14:textId="5DE7C56D" w:rsidR="00F61D4F" w:rsidRDefault="00F61D4F" w:rsidP="00584997">
      <w:pPr>
        <w:pStyle w:val="ListParagraph"/>
        <w:jc w:val="both"/>
        <w:rPr>
          <w:rFonts w:ascii="Arial" w:hAnsi="Arial" w:cs="Arial"/>
          <w:sz w:val="20"/>
          <w:szCs w:val="20"/>
        </w:rPr>
      </w:pPr>
      <w:r w:rsidRPr="00F61D4F">
        <w:rPr>
          <w:rFonts w:ascii="Arial" w:eastAsia="Arial" w:hAnsi="Arial" w:cs="Arial"/>
          <w:sz w:val="20"/>
          <w:szCs w:val="20"/>
          <w:lang w:bidi="fr-FR"/>
        </w:rPr>
        <w:t xml:space="preserve">Non. Les TDR de détection des antigènes sont actuellement approuvés pour tester les </w:t>
      </w:r>
      <w:r w:rsidR="00407C58">
        <w:rPr>
          <w:rFonts w:ascii="Arial" w:eastAsia="Arial" w:hAnsi="Arial" w:cs="Arial"/>
          <w:sz w:val="20"/>
          <w:szCs w:val="20"/>
          <w:lang w:bidi="fr-FR"/>
        </w:rPr>
        <w:t>prélèvements</w:t>
      </w:r>
      <w:r w:rsidR="00407C58" w:rsidRPr="00F61D4F">
        <w:rPr>
          <w:rFonts w:ascii="Arial" w:eastAsia="Arial" w:hAnsi="Arial" w:cs="Arial"/>
          <w:sz w:val="20"/>
          <w:szCs w:val="20"/>
          <w:lang w:bidi="fr-FR"/>
        </w:rPr>
        <w:t xml:space="preserve"> </w:t>
      </w:r>
      <w:r w:rsidRPr="00F61D4F">
        <w:rPr>
          <w:rFonts w:ascii="Arial" w:eastAsia="Arial" w:hAnsi="Arial" w:cs="Arial"/>
          <w:sz w:val="20"/>
          <w:szCs w:val="20"/>
          <w:lang w:bidi="fr-FR"/>
        </w:rPr>
        <w:t xml:space="preserve">nasopharyngés.  </w:t>
      </w:r>
    </w:p>
    <w:p w14:paraId="62DA94ED" w14:textId="77777777" w:rsidR="008A1B65" w:rsidRDefault="008A1B65" w:rsidP="00584997">
      <w:pPr>
        <w:pStyle w:val="ListParagraph"/>
        <w:jc w:val="both"/>
        <w:rPr>
          <w:rFonts w:ascii="Arial" w:hAnsi="Arial" w:cs="Arial"/>
          <w:sz w:val="20"/>
          <w:szCs w:val="20"/>
        </w:rPr>
      </w:pPr>
    </w:p>
    <w:p w14:paraId="6C43D2A0" w14:textId="77777777" w:rsidR="00F61D4F" w:rsidRPr="00F61D4F" w:rsidRDefault="00F61D4F" w:rsidP="00584997">
      <w:pPr>
        <w:pStyle w:val="ListParagraph"/>
        <w:numPr>
          <w:ilvl w:val="0"/>
          <w:numId w:val="1"/>
        </w:numPr>
        <w:jc w:val="both"/>
        <w:rPr>
          <w:rFonts w:ascii="Arial" w:hAnsi="Arial" w:cs="Arial"/>
          <w:b/>
          <w:bCs/>
          <w:sz w:val="20"/>
          <w:szCs w:val="20"/>
        </w:rPr>
      </w:pPr>
      <w:r w:rsidRPr="00F61D4F">
        <w:rPr>
          <w:rFonts w:ascii="Arial" w:eastAsia="Arial" w:hAnsi="Arial" w:cs="Arial"/>
          <w:b/>
          <w:sz w:val="20"/>
          <w:szCs w:val="20"/>
          <w:lang w:bidi="fr-FR"/>
        </w:rPr>
        <w:t>Peut-on utiliser les TDR de détection des antigènes pour tester la salive ?</w:t>
      </w:r>
    </w:p>
    <w:p w14:paraId="00F44289" w14:textId="200D4CF8" w:rsidR="00F61D4F" w:rsidRDefault="00F61D4F" w:rsidP="00584997">
      <w:pPr>
        <w:pStyle w:val="ListParagraph"/>
        <w:jc w:val="both"/>
        <w:rPr>
          <w:rFonts w:ascii="Arial" w:hAnsi="Arial" w:cs="Arial"/>
          <w:sz w:val="20"/>
          <w:szCs w:val="20"/>
        </w:rPr>
      </w:pPr>
      <w:r w:rsidRPr="00F61D4F">
        <w:rPr>
          <w:rFonts w:ascii="Arial" w:eastAsia="Arial" w:hAnsi="Arial" w:cs="Arial"/>
          <w:sz w:val="20"/>
          <w:szCs w:val="20"/>
          <w:lang w:bidi="fr-FR"/>
        </w:rPr>
        <w:t xml:space="preserve">Non. Les TDR de détection des antigènes sont actuellement approuvés pour tester les </w:t>
      </w:r>
      <w:r w:rsidR="00407C58">
        <w:rPr>
          <w:rFonts w:ascii="Arial" w:eastAsia="Arial" w:hAnsi="Arial" w:cs="Arial"/>
          <w:sz w:val="20"/>
          <w:szCs w:val="20"/>
          <w:lang w:bidi="fr-FR"/>
        </w:rPr>
        <w:t>prélèvements</w:t>
      </w:r>
      <w:r w:rsidRPr="00F61D4F">
        <w:rPr>
          <w:rFonts w:ascii="Arial" w:eastAsia="Arial" w:hAnsi="Arial" w:cs="Arial"/>
          <w:sz w:val="20"/>
          <w:szCs w:val="20"/>
          <w:lang w:bidi="fr-FR"/>
        </w:rPr>
        <w:t xml:space="preserve"> nasopharyngés.  Des évaluations sont en cours pour évaluer les performances avec d'autres types d'échantillons.  </w:t>
      </w:r>
    </w:p>
    <w:p w14:paraId="35A9364C" w14:textId="2DF59E77" w:rsidR="007208E0" w:rsidRPr="00416E89" w:rsidRDefault="007208E0"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fr-FR"/>
        </w:rPr>
        <w:t>Sécurité</w:t>
      </w:r>
    </w:p>
    <w:p w14:paraId="3794C1C0" w14:textId="77777777" w:rsidR="007208E0" w:rsidRPr="00F7741C" w:rsidRDefault="007208E0" w:rsidP="00584997">
      <w:pPr>
        <w:pStyle w:val="ListParagraph"/>
        <w:numPr>
          <w:ilvl w:val="0"/>
          <w:numId w:val="1"/>
        </w:numPr>
        <w:jc w:val="both"/>
        <w:rPr>
          <w:rFonts w:ascii="Arial" w:hAnsi="Arial" w:cs="Arial"/>
          <w:b/>
          <w:bCs/>
          <w:sz w:val="20"/>
          <w:szCs w:val="20"/>
        </w:rPr>
      </w:pPr>
      <w:r w:rsidRPr="00F7741C">
        <w:rPr>
          <w:rFonts w:ascii="Arial" w:eastAsia="Arial" w:hAnsi="Arial" w:cs="Arial"/>
          <w:b/>
          <w:sz w:val="20"/>
          <w:szCs w:val="20"/>
          <w:lang w:bidi="fr-FR"/>
        </w:rPr>
        <w:t>Quelles sont les exigences de sécurité nécessaires pour le prélèvement d'échantillons ?</w:t>
      </w:r>
    </w:p>
    <w:p w14:paraId="42F26027" w14:textId="09C7BE06" w:rsidR="00E20754" w:rsidRDefault="007208E0" w:rsidP="00617B34">
      <w:pPr>
        <w:pStyle w:val="ListParagraph"/>
        <w:jc w:val="both"/>
        <w:rPr>
          <w:rFonts w:ascii="Arial" w:hAnsi="Arial" w:cs="Arial"/>
          <w:sz w:val="20"/>
          <w:szCs w:val="20"/>
        </w:rPr>
      </w:pPr>
      <w:r w:rsidRPr="669908FF">
        <w:rPr>
          <w:rFonts w:ascii="Arial" w:eastAsia="Arial" w:hAnsi="Arial" w:cs="Arial"/>
          <w:sz w:val="20"/>
          <w:szCs w:val="20"/>
          <w:lang w:bidi="fr-FR"/>
        </w:rPr>
        <w:t xml:space="preserve">Un équipement de protection individuelle (EPI), comprenant des gants, une protection oculaire, un respirateur et une blouse, doit être porté lors du prélèvement d'échantillons sur des personnes faisant l'objet d'une enquête pour une infection à COVID-19 (voir le document de l'OMS intitulé </w:t>
      </w:r>
      <w:proofErr w:type="spellStart"/>
      <w:r w:rsidRPr="669908FF">
        <w:rPr>
          <w:rFonts w:ascii="Arial" w:eastAsia="Arial" w:hAnsi="Arial" w:cs="Arial"/>
          <w:i/>
          <w:sz w:val="20"/>
          <w:szCs w:val="20"/>
          <w:lang w:bidi="fr-FR"/>
        </w:rPr>
        <w:t>Personal</w:t>
      </w:r>
      <w:proofErr w:type="spellEnd"/>
      <w:r w:rsidRPr="669908FF">
        <w:rPr>
          <w:rFonts w:ascii="Arial" w:eastAsia="Arial" w:hAnsi="Arial" w:cs="Arial"/>
          <w:i/>
          <w:sz w:val="20"/>
          <w:szCs w:val="20"/>
          <w:lang w:bidi="fr-FR"/>
        </w:rPr>
        <w:t xml:space="preserve"> protective </w:t>
      </w:r>
      <w:proofErr w:type="spellStart"/>
      <w:r w:rsidRPr="669908FF">
        <w:rPr>
          <w:rFonts w:ascii="Arial" w:eastAsia="Arial" w:hAnsi="Arial" w:cs="Arial"/>
          <w:i/>
          <w:sz w:val="20"/>
          <w:szCs w:val="20"/>
          <w:lang w:bidi="fr-FR"/>
        </w:rPr>
        <w:t>equipment</w:t>
      </w:r>
      <w:proofErr w:type="spellEnd"/>
      <w:r w:rsidRPr="669908FF">
        <w:rPr>
          <w:rFonts w:ascii="Arial" w:eastAsia="Arial" w:hAnsi="Arial" w:cs="Arial"/>
          <w:i/>
          <w:sz w:val="20"/>
          <w:szCs w:val="20"/>
          <w:lang w:bidi="fr-FR"/>
        </w:rPr>
        <w:t xml:space="preserve"> for COVID-19 : </w:t>
      </w:r>
    </w:p>
    <w:p w14:paraId="60D9B445" w14:textId="4ED19098" w:rsidR="007208E0" w:rsidRPr="00407C58" w:rsidRDefault="00000000">
      <w:pPr>
        <w:pStyle w:val="ListParagraph"/>
        <w:jc w:val="both"/>
        <w:rPr>
          <w:rFonts w:ascii="Arial" w:hAnsi="Arial" w:cs="Arial"/>
          <w:b/>
          <w:bCs/>
          <w:color w:val="009AC9"/>
          <w:sz w:val="20"/>
          <w:szCs w:val="20"/>
        </w:rPr>
      </w:pPr>
      <w:hyperlink r:id="rId14" w:history="1">
        <w:r w:rsidR="008F161E" w:rsidRPr="00E20754">
          <w:rPr>
            <w:rStyle w:val="Hyperlink"/>
            <w:rFonts w:ascii="Arial" w:eastAsia="Arial" w:hAnsi="Arial" w:cs="Arial"/>
            <w:color w:val="009AC9"/>
            <w:sz w:val="20"/>
            <w:szCs w:val="20"/>
            <w:lang w:bidi="fr-FR"/>
          </w:rPr>
          <w:t>https://www.who.int/medical_devices/priority/COVID_19_PPE/en/</w:t>
        </w:r>
      </w:hyperlink>
      <w:r w:rsidR="00E20754" w:rsidRPr="00416E89">
        <w:rPr>
          <w:rFonts w:ascii="Arial" w:eastAsia="Arial" w:hAnsi="Arial" w:cs="Arial"/>
          <w:color w:val="000000" w:themeColor="text1"/>
          <w:sz w:val="20"/>
          <w:szCs w:val="20"/>
          <w:lang w:bidi="fr-FR"/>
        </w:rPr>
        <w:t xml:space="preserve">).  </w:t>
      </w:r>
    </w:p>
    <w:p w14:paraId="648D7C91" w14:textId="77777777" w:rsidR="008A1B65" w:rsidRPr="00F7741C" w:rsidRDefault="008A1B65" w:rsidP="00F7741C">
      <w:pPr>
        <w:pStyle w:val="ListParagraph"/>
        <w:jc w:val="both"/>
        <w:rPr>
          <w:rFonts w:ascii="Arial" w:hAnsi="Arial" w:cs="Arial"/>
          <w:color w:val="FF0000"/>
          <w:sz w:val="20"/>
          <w:szCs w:val="20"/>
        </w:rPr>
      </w:pPr>
    </w:p>
    <w:p w14:paraId="1AE5ACE3" w14:textId="58A4FBB2" w:rsidR="007208E0" w:rsidRPr="00F7741C" w:rsidRDefault="007208E0" w:rsidP="00584997">
      <w:pPr>
        <w:pStyle w:val="ListParagraph"/>
        <w:numPr>
          <w:ilvl w:val="0"/>
          <w:numId w:val="1"/>
        </w:numPr>
        <w:jc w:val="both"/>
        <w:rPr>
          <w:rFonts w:ascii="Arial" w:hAnsi="Arial" w:cs="Arial"/>
          <w:b/>
          <w:bCs/>
          <w:sz w:val="20"/>
          <w:szCs w:val="20"/>
        </w:rPr>
      </w:pPr>
      <w:r w:rsidRPr="00F7741C">
        <w:rPr>
          <w:rFonts w:ascii="Arial" w:eastAsia="Arial" w:hAnsi="Arial" w:cs="Arial"/>
          <w:b/>
          <w:sz w:val="20"/>
          <w:szCs w:val="20"/>
          <w:lang w:bidi="fr-FR"/>
        </w:rPr>
        <w:t>Quelles sont les exigences de sécurité nécessaires pour effectuer les TDR de détection des antigènes ?</w:t>
      </w:r>
    </w:p>
    <w:p w14:paraId="78263091" w14:textId="4C58CBC2" w:rsidR="007208E0" w:rsidRDefault="007208E0" w:rsidP="00584997">
      <w:pPr>
        <w:pStyle w:val="ListParagraph"/>
        <w:jc w:val="both"/>
        <w:rPr>
          <w:rFonts w:ascii="Arial" w:hAnsi="Arial" w:cs="Arial"/>
          <w:sz w:val="20"/>
          <w:szCs w:val="20"/>
        </w:rPr>
      </w:pPr>
      <w:r w:rsidRPr="669908FF">
        <w:rPr>
          <w:rFonts w:ascii="Arial" w:eastAsia="Arial" w:hAnsi="Arial" w:cs="Arial"/>
          <w:sz w:val="20"/>
          <w:szCs w:val="20"/>
          <w:lang w:bidi="fr-FR"/>
        </w:rPr>
        <w:t xml:space="preserve">L'équipement de protection individuelle (EPI), y compris les gants, la protection oculaire, le masque médical (ou le respirateur si le prélèvement est effectué directement après le prélèvement) et la blouse, doit être porté lors de la réalisation des TDR.   </w:t>
      </w:r>
    </w:p>
    <w:p w14:paraId="069DBEDC" w14:textId="77777777" w:rsidR="008A1B65" w:rsidRPr="00EE4AF7" w:rsidRDefault="008A1B65" w:rsidP="00584997">
      <w:pPr>
        <w:pStyle w:val="ListParagraph"/>
        <w:jc w:val="both"/>
        <w:rPr>
          <w:rFonts w:ascii="Arial" w:hAnsi="Arial" w:cs="Arial"/>
          <w:color w:val="FF0000"/>
          <w:sz w:val="20"/>
          <w:szCs w:val="20"/>
        </w:rPr>
      </w:pPr>
    </w:p>
    <w:p w14:paraId="6C221C0A" w14:textId="77777777" w:rsidR="005E5491" w:rsidRDefault="005E5491" w:rsidP="00584997">
      <w:pPr>
        <w:pStyle w:val="ListParagraph"/>
        <w:numPr>
          <w:ilvl w:val="0"/>
          <w:numId w:val="1"/>
        </w:numPr>
        <w:jc w:val="both"/>
        <w:rPr>
          <w:rFonts w:ascii="Arial" w:hAnsi="Arial" w:cs="Arial"/>
          <w:b/>
          <w:bCs/>
          <w:sz w:val="20"/>
          <w:szCs w:val="20"/>
        </w:rPr>
      </w:pPr>
      <w:r w:rsidRPr="005E5491">
        <w:rPr>
          <w:rFonts w:ascii="Arial" w:eastAsia="Arial" w:hAnsi="Arial" w:cs="Arial"/>
          <w:b/>
          <w:sz w:val="20"/>
          <w:szCs w:val="20"/>
          <w:lang w:bidi="fr-FR"/>
        </w:rPr>
        <w:t>Quelles sont les précautions particulières à prendre lors des tests ?</w:t>
      </w:r>
    </w:p>
    <w:p w14:paraId="739AA517" w14:textId="1A919B58" w:rsidR="009F0E03" w:rsidRDefault="009F0E03" w:rsidP="009F0E03">
      <w:pPr>
        <w:pStyle w:val="ListParagraph"/>
        <w:jc w:val="both"/>
        <w:rPr>
          <w:rFonts w:ascii="Arial" w:hAnsi="Arial" w:cs="Arial"/>
          <w:bCs/>
          <w:sz w:val="20"/>
          <w:szCs w:val="20"/>
        </w:rPr>
      </w:pPr>
      <w:r w:rsidRPr="009F0E03">
        <w:rPr>
          <w:rFonts w:ascii="Arial" w:eastAsia="Arial" w:hAnsi="Arial" w:cs="Arial"/>
          <w:sz w:val="20"/>
          <w:szCs w:val="20"/>
          <w:lang w:bidi="fr-FR"/>
        </w:rPr>
        <w:t>Respecter strictement les instructions d'utilisation et les modes opératoires normalisés du fabricant.</w:t>
      </w:r>
    </w:p>
    <w:p w14:paraId="35D3E50B" w14:textId="77777777" w:rsidR="008A1B65" w:rsidRPr="009F0E03" w:rsidRDefault="008A1B65" w:rsidP="009F0E03">
      <w:pPr>
        <w:pStyle w:val="ListParagraph"/>
        <w:jc w:val="both"/>
        <w:rPr>
          <w:rFonts w:ascii="Arial" w:hAnsi="Arial" w:cs="Arial"/>
          <w:bCs/>
          <w:sz w:val="20"/>
          <w:szCs w:val="20"/>
        </w:rPr>
      </w:pPr>
    </w:p>
    <w:p w14:paraId="15512B42" w14:textId="6574A2C2" w:rsidR="000D1018" w:rsidRPr="000D1018" w:rsidRDefault="000D1018" w:rsidP="000D1018">
      <w:pPr>
        <w:pStyle w:val="ListParagraph"/>
        <w:numPr>
          <w:ilvl w:val="0"/>
          <w:numId w:val="1"/>
        </w:numPr>
        <w:jc w:val="both"/>
        <w:rPr>
          <w:rFonts w:ascii="Arial" w:eastAsia="Arial" w:hAnsi="Arial" w:cs="Arial"/>
          <w:b/>
          <w:sz w:val="20"/>
          <w:szCs w:val="20"/>
          <w:lang w:bidi="fr-FR"/>
        </w:rPr>
      </w:pPr>
      <w:r w:rsidRPr="000D1018">
        <w:rPr>
          <w:rFonts w:ascii="Arial" w:eastAsia="Arial" w:hAnsi="Arial" w:cs="Arial"/>
          <w:b/>
          <w:sz w:val="20"/>
          <w:szCs w:val="20"/>
          <w:lang w:bidi="fr-FR"/>
        </w:rPr>
        <w:t xml:space="preserve">Comment faut-il se débarrasser des déchets (p. ex. tests usagés, récipients d’échantillons, etc.) ? </w:t>
      </w:r>
    </w:p>
    <w:p w14:paraId="65F54716" w14:textId="77777777" w:rsidR="000D1018" w:rsidRPr="000D1018" w:rsidRDefault="000D1018" w:rsidP="000D1018">
      <w:pPr>
        <w:pStyle w:val="ListParagraph"/>
        <w:jc w:val="both"/>
        <w:rPr>
          <w:rFonts w:ascii="Arial" w:eastAsia="Arial" w:hAnsi="Arial" w:cs="Arial"/>
          <w:bCs/>
          <w:sz w:val="20"/>
          <w:szCs w:val="20"/>
          <w:lang w:bidi="fr-FR"/>
        </w:rPr>
      </w:pPr>
      <w:r w:rsidRPr="000D1018">
        <w:rPr>
          <w:rFonts w:ascii="Arial" w:eastAsia="Arial" w:hAnsi="Arial" w:cs="Arial"/>
          <w:bCs/>
          <w:sz w:val="20"/>
          <w:szCs w:val="20"/>
          <w:lang w:bidi="fr-FR"/>
        </w:rPr>
        <w:t xml:space="preserve">Sauf indication contraire dans le mode d’emploi, tous les déchets produits par l’analyse des échantillons provenant de cas suspects ou confirmés de COVID-19 doivent être classés comme déchets biologiques dangereux et doivent être manipulés conformément aux directives locales applicables. </w:t>
      </w:r>
    </w:p>
    <w:p w14:paraId="690E1BAE" w14:textId="144B78E2" w:rsidR="0030549D" w:rsidRPr="000D1018" w:rsidRDefault="000D1018" w:rsidP="000D1018">
      <w:pPr>
        <w:pStyle w:val="ListParagraph"/>
        <w:jc w:val="both"/>
        <w:rPr>
          <w:rFonts w:ascii="Arial" w:eastAsia="Arial" w:hAnsi="Arial" w:cs="Arial"/>
          <w:bCs/>
          <w:sz w:val="20"/>
          <w:szCs w:val="20"/>
          <w:lang w:bidi="fr-FR"/>
        </w:rPr>
      </w:pPr>
      <w:r w:rsidRPr="000D1018">
        <w:rPr>
          <w:rFonts w:ascii="Arial" w:eastAsia="Arial" w:hAnsi="Arial" w:cs="Arial"/>
          <w:bCs/>
          <w:sz w:val="20"/>
          <w:szCs w:val="20"/>
          <w:lang w:bidi="fr-FR"/>
        </w:rPr>
        <w:t xml:space="preserve">À noter que certains tampons d’extraction de kits de TDR antigénique, lorsqu’ils sont utilisés conformément au mode d’emploi, inactivent le virus SARS-CoV-2 lorsque l’échantillon est ajouté au tampon dans le tube d’extraction. Les procédures de gestion des déchets applicables peuvent être consultées dans le mode d’emploi. </w:t>
      </w:r>
    </w:p>
    <w:p w14:paraId="5D48DE4A" w14:textId="77777777" w:rsidR="005E5491" w:rsidRPr="00416E89" w:rsidRDefault="005E5491"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fr-FR"/>
        </w:rPr>
        <w:t>Test préliminaire</w:t>
      </w:r>
    </w:p>
    <w:p w14:paraId="4F84B54B" w14:textId="77777777" w:rsidR="005E5491" w:rsidRDefault="00F53D28" w:rsidP="00584997">
      <w:pPr>
        <w:pStyle w:val="ListParagraph"/>
        <w:numPr>
          <w:ilvl w:val="0"/>
          <w:numId w:val="1"/>
        </w:numPr>
        <w:jc w:val="both"/>
        <w:rPr>
          <w:rFonts w:ascii="Arial" w:hAnsi="Arial" w:cs="Arial"/>
          <w:b/>
          <w:bCs/>
          <w:sz w:val="20"/>
          <w:szCs w:val="20"/>
        </w:rPr>
      </w:pPr>
      <w:r>
        <w:rPr>
          <w:rFonts w:ascii="Arial" w:eastAsia="Arial" w:hAnsi="Arial" w:cs="Arial"/>
          <w:b/>
          <w:sz w:val="20"/>
          <w:szCs w:val="20"/>
          <w:lang w:bidi="fr-FR"/>
        </w:rPr>
        <w:t>Comment dois-je conserver le kit ?</w:t>
      </w:r>
    </w:p>
    <w:p w14:paraId="312BD41D" w14:textId="47995C82" w:rsidR="00F53D28" w:rsidRDefault="00C75714" w:rsidP="00F53D28">
      <w:pPr>
        <w:pStyle w:val="ListParagraph"/>
        <w:jc w:val="both"/>
        <w:rPr>
          <w:rFonts w:ascii="Arial" w:hAnsi="Arial" w:cs="Arial"/>
          <w:bCs/>
          <w:sz w:val="20"/>
          <w:szCs w:val="20"/>
        </w:rPr>
      </w:pPr>
      <w:r>
        <w:rPr>
          <w:rFonts w:ascii="Arial" w:eastAsia="Arial" w:hAnsi="Arial" w:cs="Arial"/>
          <w:sz w:val="20"/>
          <w:szCs w:val="20"/>
          <w:lang w:bidi="fr-FR"/>
        </w:rPr>
        <w:t xml:space="preserve">Suivez les instructions fournies par le fabricant, qui se trouvent généralement sur le côté de la boîte pour les kits de test.  En règle générale, le kit doit être conservé à une température variant de 2 à 30 °C (36 à 86 °F), à l'abri de la lumière directe du soleil.  </w:t>
      </w:r>
    </w:p>
    <w:p w14:paraId="161116E5" w14:textId="77777777" w:rsidR="008A1B65" w:rsidRDefault="008A1B65" w:rsidP="00F53D28">
      <w:pPr>
        <w:pStyle w:val="ListParagraph"/>
        <w:jc w:val="both"/>
        <w:rPr>
          <w:rFonts w:ascii="Arial" w:hAnsi="Arial" w:cs="Arial"/>
          <w:bCs/>
          <w:sz w:val="20"/>
          <w:szCs w:val="20"/>
        </w:rPr>
      </w:pPr>
    </w:p>
    <w:p w14:paraId="79753C84" w14:textId="617EC5DC" w:rsidR="005E5491" w:rsidRPr="00F53D28" w:rsidRDefault="005E5491" w:rsidP="00F53D28">
      <w:pPr>
        <w:pStyle w:val="ListParagraph"/>
        <w:numPr>
          <w:ilvl w:val="0"/>
          <w:numId w:val="1"/>
        </w:numPr>
        <w:jc w:val="both"/>
        <w:rPr>
          <w:rFonts w:ascii="Arial" w:hAnsi="Arial" w:cs="Arial"/>
          <w:bCs/>
          <w:sz w:val="20"/>
          <w:szCs w:val="20"/>
        </w:rPr>
      </w:pPr>
      <w:r w:rsidRPr="00F53D28">
        <w:rPr>
          <w:rFonts w:ascii="Arial" w:eastAsia="Arial" w:hAnsi="Arial" w:cs="Arial"/>
          <w:b/>
          <w:sz w:val="20"/>
          <w:szCs w:val="20"/>
          <w:lang w:bidi="fr-FR"/>
        </w:rPr>
        <w:t>Quelle est la durée de conservation du kit ?</w:t>
      </w:r>
    </w:p>
    <w:p w14:paraId="4D9DBBAB" w14:textId="692D2939" w:rsidR="008A1B65" w:rsidRPr="00556709" w:rsidRDefault="00F53D28">
      <w:pPr>
        <w:pStyle w:val="ListParagraph"/>
        <w:jc w:val="both"/>
      </w:pPr>
      <w:r w:rsidRPr="00F53D28">
        <w:rPr>
          <w:rFonts w:ascii="Arial" w:eastAsia="Arial" w:hAnsi="Arial" w:cs="Arial"/>
          <w:sz w:val="20"/>
          <w:szCs w:val="20"/>
          <w:lang w:bidi="fr-FR"/>
        </w:rPr>
        <w:t xml:space="preserve">Les matériaux du kit sont stables jusqu'à la date d'expiration imprimée sur la boîte extérieure. En règle générale, la durée de conservation est de 12 mois à compter de la date de fabrication.  </w:t>
      </w:r>
    </w:p>
    <w:p w14:paraId="0D6B4F56" w14:textId="77777777" w:rsidR="005E5491" w:rsidRPr="00416E89" w:rsidRDefault="005E5491"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fr-FR"/>
        </w:rPr>
        <w:t>Dépistage</w:t>
      </w:r>
    </w:p>
    <w:p w14:paraId="68CF4898" w14:textId="77777777" w:rsidR="00EE2C25" w:rsidRDefault="00EE2C25" w:rsidP="00584997">
      <w:pPr>
        <w:pStyle w:val="ListParagraph"/>
        <w:numPr>
          <w:ilvl w:val="0"/>
          <w:numId w:val="2"/>
        </w:numPr>
        <w:jc w:val="both"/>
        <w:rPr>
          <w:rFonts w:ascii="Arial" w:hAnsi="Arial" w:cs="Arial"/>
          <w:b/>
          <w:bCs/>
          <w:sz w:val="20"/>
          <w:szCs w:val="20"/>
        </w:rPr>
      </w:pPr>
      <w:r w:rsidRPr="00EE2C25">
        <w:rPr>
          <w:rFonts w:ascii="Arial" w:eastAsia="Arial" w:hAnsi="Arial" w:cs="Arial"/>
          <w:b/>
          <w:sz w:val="20"/>
          <w:szCs w:val="20"/>
          <w:lang w:bidi="fr-FR"/>
        </w:rPr>
        <w:t>Quelle est la quantité d’échantillon à utiliser ?</w:t>
      </w:r>
    </w:p>
    <w:p w14:paraId="33B60AFC" w14:textId="049355EA" w:rsidR="005E7E1C" w:rsidRDefault="00C84E9E" w:rsidP="00416E89">
      <w:pPr>
        <w:pStyle w:val="ListParagraph"/>
        <w:spacing w:after="0"/>
        <w:jc w:val="both"/>
        <w:rPr>
          <w:rFonts w:ascii="Arial" w:hAnsi="Arial" w:cs="Arial"/>
          <w:bCs/>
          <w:sz w:val="20"/>
          <w:szCs w:val="20"/>
        </w:rPr>
      </w:pPr>
      <w:r w:rsidRPr="00C84E9E">
        <w:rPr>
          <w:rFonts w:ascii="Arial" w:eastAsia="Arial" w:hAnsi="Arial" w:cs="Arial"/>
          <w:sz w:val="20"/>
          <w:szCs w:val="20"/>
          <w:lang w:bidi="fr-FR"/>
        </w:rPr>
        <w:t>Voir les instructions fournies par le fabricant.</w:t>
      </w:r>
    </w:p>
    <w:p w14:paraId="1689FCBB" w14:textId="77777777" w:rsidR="008A1B65" w:rsidRPr="00416E89" w:rsidRDefault="008A1B65" w:rsidP="00416E89">
      <w:pPr>
        <w:spacing w:after="0"/>
        <w:rPr>
          <w:rFonts w:ascii="Arial" w:hAnsi="Arial" w:cs="Arial"/>
          <w:bCs/>
          <w:sz w:val="20"/>
          <w:szCs w:val="20"/>
        </w:rPr>
      </w:pPr>
    </w:p>
    <w:p w14:paraId="4C2A11FB" w14:textId="77777777" w:rsidR="00EE2C25" w:rsidRDefault="00EE2C25" w:rsidP="00584997">
      <w:pPr>
        <w:pStyle w:val="ListParagraph"/>
        <w:numPr>
          <w:ilvl w:val="0"/>
          <w:numId w:val="2"/>
        </w:numPr>
        <w:jc w:val="both"/>
        <w:rPr>
          <w:rFonts w:ascii="Arial" w:hAnsi="Arial" w:cs="Arial"/>
          <w:b/>
          <w:bCs/>
          <w:sz w:val="20"/>
          <w:szCs w:val="20"/>
        </w:rPr>
      </w:pPr>
      <w:r w:rsidRPr="00EE2C25">
        <w:rPr>
          <w:rFonts w:ascii="Arial" w:eastAsia="Arial" w:hAnsi="Arial" w:cs="Arial"/>
          <w:b/>
          <w:sz w:val="20"/>
          <w:szCs w:val="20"/>
          <w:lang w:bidi="fr-FR"/>
        </w:rPr>
        <w:t>Que se passe-t-il si j'ai ajouté trop d'antigènes ou trop peu d'antigènes ?</w:t>
      </w:r>
    </w:p>
    <w:p w14:paraId="07D1A720" w14:textId="23539C32" w:rsidR="00EE2C25" w:rsidRDefault="00E71108" w:rsidP="005B3ACD">
      <w:pPr>
        <w:pStyle w:val="ListParagraph"/>
        <w:jc w:val="both"/>
        <w:rPr>
          <w:rFonts w:ascii="Arial" w:hAnsi="Arial" w:cs="Arial"/>
          <w:bCs/>
          <w:sz w:val="20"/>
          <w:szCs w:val="20"/>
        </w:rPr>
      </w:pPr>
      <w:r w:rsidRPr="00E71108">
        <w:rPr>
          <w:rFonts w:ascii="Arial" w:eastAsia="Arial" w:hAnsi="Arial" w:cs="Arial"/>
          <w:sz w:val="20"/>
          <w:szCs w:val="20"/>
          <w:lang w:bidi="fr-FR"/>
        </w:rPr>
        <w:t>Le fait d’ajouter trop ou trop peu d'antigènes peut empêcher le dispositif de fonctionner correctement, générant ainsi un résultat non valide ou un résultat susceptible d’être difficile à lire.</w:t>
      </w:r>
    </w:p>
    <w:p w14:paraId="66518152" w14:textId="77777777" w:rsidR="00C97468" w:rsidRDefault="00C97468" w:rsidP="005B3ACD">
      <w:pPr>
        <w:pStyle w:val="ListParagraph"/>
        <w:jc w:val="both"/>
        <w:rPr>
          <w:rFonts w:ascii="Arial" w:hAnsi="Arial" w:cs="Arial"/>
          <w:bCs/>
          <w:sz w:val="20"/>
          <w:szCs w:val="20"/>
        </w:rPr>
      </w:pPr>
    </w:p>
    <w:p w14:paraId="1DDCAF7C" w14:textId="77777777" w:rsidR="008A1B65" w:rsidRPr="005B3ACD" w:rsidRDefault="008A1B65" w:rsidP="005B3ACD">
      <w:pPr>
        <w:pStyle w:val="ListParagraph"/>
        <w:jc w:val="both"/>
        <w:rPr>
          <w:rFonts w:ascii="Arial" w:hAnsi="Arial" w:cs="Arial"/>
          <w:bCs/>
          <w:sz w:val="20"/>
          <w:szCs w:val="20"/>
        </w:rPr>
      </w:pPr>
    </w:p>
    <w:p w14:paraId="11053C89" w14:textId="484CD5D7" w:rsidR="00F43E3E" w:rsidRPr="00962C24" w:rsidRDefault="00F43E3E" w:rsidP="00F43E3E">
      <w:pPr>
        <w:pStyle w:val="ListParagraph"/>
        <w:numPr>
          <w:ilvl w:val="0"/>
          <w:numId w:val="6"/>
        </w:numPr>
        <w:rPr>
          <w:rFonts w:ascii="Arial" w:eastAsia="Times New Roman" w:hAnsi="Arial" w:cs="Arial"/>
          <w:b/>
          <w:bCs/>
          <w:sz w:val="20"/>
          <w:szCs w:val="20"/>
        </w:rPr>
      </w:pPr>
      <w:r w:rsidRPr="00962C24">
        <w:rPr>
          <w:rFonts w:ascii="Arial" w:eastAsia="Times New Roman" w:hAnsi="Arial" w:cs="Arial"/>
          <w:b/>
          <w:sz w:val="20"/>
          <w:szCs w:val="20"/>
          <w:lang w:bidi="fr-FR"/>
        </w:rPr>
        <w:t>Quels facteurs peuvent potentiellement affecter la qualité du test ?</w:t>
      </w:r>
    </w:p>
    <w:p w14:paraId="10F0194E" w14:textId="77777777" w:rsidR="00962C24" w:rsidRPr="00962C24" w:rsidRDefault="00962C24" w:rsidP="00962C24">
      <w:pPr>
        <w:pStyle w:val="ListParagraph"/>
        <w:numPr>
          <w:ilvl w:val="0"/>
          <w:numId w:val="8"/>
        </w:numPr>
        <w:ind w:left="1134" w:hanging="283"/>
        <w:rPr>
          <w:rFonts w:ascii="Arial" w:eastAsia="Times New Roman" w:hAnsi="Arial" w:cs="Arial"/>
          <w:bCs/>
          <w:sz w:val="20"/>
          <w:szCs w:val="20"/>
        </w:rPr>
      </w:pPr>
      <w:r w:rsidRPr="00962C24">
        <w:rPr>
          <w:rFonts w:ascii="Arial" w:eastAsia="Times New Roman" w:hAnsi="Arial" w:cs="Arial"/>
          <w:sz w:val="20"/>
          <w:szCs w:val="20"/>
          <w:lang w:bidi="fr-FR"/>
        </w:rPr>
        <w:t>La qualité de l'échantillon</w:t>
      </w:r>
    </w:p>
    <w:p w14:paraId="66078E64" w14:textId="77777777" w:rsidR="00962C24" w:rsidRDefault="00962C24" w:rsidP="00962C24">
      <w:pPr>
        <w:pStyle w:val="ListParagraph"/>
        <w:numPr>
          <w:ilvl w:val="0"/>
          <w:numId w:val="8"/>
        </w:numPr>
        <w:ind w:left="1134" w:hanging="283"/>
        <w:rPr>
          <w:rFonts w:ascii="Arial" w:eastAsia="Times New Roman" w:hAnsi="Arial" w:cs="Arial"/>
          <w:bCs/>
          <w:sz w:val="20"/>
          <w:szCs w:val="20"/>
        </w:rPr>
      </w:pPr>
      <w:r w:rsidRPr="00962C24">
        <w:rPr>
          <w:rFonts w:ascii="Arial" w:eastAsia="Times New Roman" w:hAnsi="Arial" w:cs="Arial"/>
          <w:sz w:val="20"/>
          <w:szCs w:val="20"/>
          <w:lang w:bidi="fr-FR"/>
        </w:rPr>
        <w:t>L’utilisation de kits de test périmés</w:t>
      </w:r>
    </w:p>
    <w:p w14:paraId="4AEE6FFD" w14:textId="2CE034BA" w:rsidR="00962C24" w:rsidRDefault="00962C24" w:rsidP="00962C24">
      <w:pPr>
        <w:pStyle w:val="ListParagraph"/>
        <w:numPr>
          <w:ilvl w:val="0"/>
          <w:numId w:val="8"/>
        </w:numPr>
        <w:ind w:left="1134" w:hanging="283"/>
        <w:rPr>
          <w:rFonts w:ascii="Arial" w:eastAsia="Times New Roman" w:hAnsi="Arial" w:cs="Arial"/>
          <w:bCs/>
          <w:sz w:val="20"/>
          <w:szCs w:val="20"/>
        </w:rPr>
      </w:pPr>
      <w:r>
        <w:rPr>
          <w:rFonts w:ascii="Arial" w:eastAsia="Times New Roman" w:hAnsi="Arial" w:cs="Arial"/>
          <w:sz w:val="20"/>
          <w:szCs w:val="20"/>
          <w:lang w:bidi="fr-FR"/>
        </w:rPr>
        <w:t xml:space="preserve">Le dépassement des conditions de stockage recommandées pour les kits  </w:t>
      </w:r>
    </w:p>
    <w:p w14:paraId="4C76A3A0" w14:textId="7772356C" w:rsidR="00F87EEA" w:rsidRDefault="00F87EEA" w:rsidP="00962C24">
      <w:pPr>
        <w:pStyle w:val="ListParagraph"/>
        <w:numPr>
          <w:ilvl w:val="0"/>
          <w:numId w:val="8"/>
        </w:numPr>
        <w:ind w:left="1134" w:hanging="283"/>
        <w:rPr>
          <w:rFonts w:ascii="Arial" w:eastAsia="Times New Roman" w:hAnsi="Arial" w:cs="Arial"/>
          <w:bCs/>
          <w:sz w:val="20"/>
          <w:szCs w:val="20"/>
        </w:rPr>
      </w:pPr>
      <w:r>
        <w:rPr>
          <w:rFonts w:ascii="Arial" w:eastAsia="Times New Roman" w:hAnsi="Arial" w:cs="Arial"/>
          <w:sz w:val="20"/>
          <w:szCs w:val="20"/>
          <w:lang w:bidi="fr-FR"/>
        </w:rPr>
        <w:t xml:space="preserve">Un mauvais conditionnement </w:t>
      </w:r>
    </w:p>
    <w:p w14:paraId="384B18B3" w14:textId="30537E04" w:rsidR="00962C24" w:rsidRDefault="00962C24" w:rsidP="00962C24">
      <w:pPr>
        <w:pStyle w:val="ListParagraph"/>
        <w:numPr>
          <w:ilvl w:val="0"/>
          <w:numId w:val="8"/>
        </w:numPr>
        <w:ind w:left="1134" w:hanging="283"/>
        <w:rPr>
          <w:rFonts w:ascii="Arial" w:eastAsia="Times New Roman" w:hAnsi="Arial" w:cs="Arial"/>
          <w:bCs/>
          <w:sz w:val="20"/>
          <w:szCs w:val="20"/>
        </w:rPr>
      </w:pPr>
      <w:r>
        <w:rPr>
          <w:rFonts w:ascii="Arial" w:eastAsia="Times New Roman" w:hAnsi="Arial" w:cs="Arial"/>
          <w:sz w:val="20"/>
          <w:szCs w:val="20"/>
          <w:lang w:bidi="fr-FR"/>
        </w:rPr>
        <w:t>Le non-respect des instructions fournies par le fabricant</w:t>
      </w:r>
    </w:p>
    <w:p w14:paraId="0E8348DE" w14:textId="77777777" w:rsidR="008A1B65" w:rsidRPr="00962C24" w:rsidRDefault="008A1B65" w:rsidP="008A1B65">
      <w:pPr>
        <w:pStyle w:val="ListParagraph"/>
        <w:ind w:left="1134"/>
        <w:rPr>
          <w:rFonts w:ascii="Arial" w:eastAsia="Times New Roman" w:hAnsi="Arial" w:cs="Arial"/>
          <w:bCs/>
          <w:sz w:val="20"/>
          <w:szCs w:val="20"/>
        </w:rPr>
      </w:pPr>
    </w:p>
    <w:p w14:paraId="33FF520F" w14:textId="77777777" w:rsidR="00EE2C25" w:rsidRDefault="00EE2C25" w:rsidP="00584997">
      <w:pPr>
        <w:pStyle w:val="ListParagraph"/>
        <w:numPr>
          <w:ilvl w:val="0"/>
          <w:numId w:val="4"/>
        </w:numPr>
        <w:jc w:val="both"/>
        <w:rPr>
          <w:rFonts w:ascii="Arial" w:hAnsi="Arial" w:cs="Arial"/>
          <w:b/>
          <w:bCs/>
          <w:sz w:val="20"/>
          <w:szCs w:val="20"/>
        </w:rPr>
      </w:pPr>
      <w:r w:rsidRPr="00EE2C25">
        <w:rPr>
          <w:rFonts w:ascii="Arial" w:eastAsia="Arial" w:hAnsi="Arial" w:cs="Arial"/>
          <w:b/>
          <w:sz w:val="20"/>
          <w:szCs w:val="20"/>
          <w:lang w:bidi="fr-FR"/>
        </w:rPr>
        <w:t>Combien de temps le test doit-il être incubé avant de lire le résultat ?</w:t>
      </w:r>
    </w:p>
    <w:p w14:paraId="64FBEAC7" w14:textId="46B4848D" w:rsidR="00B20782" w:rsidRDefault="00E253CF" w:rsidP="00B20782">
      <w:pPr>
        <w:pStyle w:val="ListParagraph"/>
        <w:jc w:val="both"/>
        <w:rPr>
          <w:rFonts w:ascii="Arial" w:eastAsia="Arial" w:hAnsi="Arial" w:cs="Arial"/>
          <w:sz w:val="20"/>
          <w:szCs w:val="20"/>
          <w:lang w:bidi="fr-FR"/>
        </w:rPr>
      </w:pPr>
      <w:r>
        <w:rPr>
          <w:rFonts w:ascii="Arial" w:eastAsia="Arial" w:hAnsi="Arial" w:cs="Arial"/>
          <w:sz w:val="20"/>
          <w:szCs w:val="20"/>
          <w:lang w:bidi="fr-FR"/>
        </w:rPr>
        <w:t>Suivre le mode d'emploi du fabricant avant utilisation. En règle générale, les résultats sont lus en 10 à 30 minutes.  Ne pas lire les résultats après le délai maximum fixé par le fabricant, car les résultats des tests dans de telles situations ne sont pas fiables et peuvent donner des résultats faussement positifs ou négatifs.  En cas de doute, il convient de répéter le test.</w:t>
      </w:r>
    </w:p>
    <w:p w14:paraId="164E0132" w14:textId="4990AB30" w:rsidR="00407C58" w:rsidRDefault="00407C58" w:rsidP="00B20782">
      <w:pPr>
        <w:pStyle w:val="ListParagraph"/>
        <w:jc w:val="both"/>
        <w:rPr>
          <w:rFonts w:ascii="Arial" w:eastAsia="Arial" w:hAnsi="Arial" w:cs="Arial"/>
          <w:sz w:val="20"/>
          <w:szCs w:val="20"/>
          <w:lang w:bidi="fr-FR"/>
        </w:rPr>
      </w:pPr>
    </w:p>
    <w:p w14:paraId="4E0429FA" w14:textId="10CB37FC" w:rsidR="00407C58" w:rsidRDefault="00407C58" w:rsidP="00B20782">
      <w:pPr>
        <w:pStyle w:val="ListParagraph"/>
        <w:jc w:val="both"/>
        <w:rPr>
          <w:rFonts w:ascii="Arial" w:eastAsia="Arial" w:hAnsi="Arial" w:cs="Arial"/>
          <w:sz w:val="20"/>
          <w:szCs w:val="20"/>
          <w:lang w:bidi="fr-FR"/>
        </w:rPr>
      </w:pPr>
    </w:p>
    <w:p w14:paraId="5F2F820E" w14:textId="3C9D462D" w:rsidR="00407C58" w:rsidRDefault="00407C58" w:rsidP="00B20782">
      <w:pPr>
        <w:pStyle w:val="ListParagraph"/>
        <w:jc w:val="both"/>
        <w:rPr>
          <w:rFonts w:ascii="Arial" w:eastAsia="Arial" w:hAnsi="Arial" w:cs="Arial"/>
          <w:sz w:val="20"/>
          <w:szCs w:val="20"/>
          <w:lang w:bidi="fr-FR"/>
        </w:rPr>
      </w:pPr>
    </w:p>
    <w:p w14:paraId="789A062F" w14:textId="47EC311C" w:rsidR="00407C58" w:rsidRDefault="00407C58" w:rsidP="00B20782">
      <w:pPr>
        <w:pStyle w:val="ListParagraph"/>
        <w:jc w:val="both"/>
        <w:rPr>
          <w:rFonts w:ascii="Arial" w:eastAsia="Arial" w:hAnsi="Arial" w:cs="Arial"/>
          <w:sz w:val="20"/>
          <w:szCs w:val="20"/>
          <w:lang w:bidi="fr-FR"/>
        </w:rPr>
      </w:pPr>
    </w:p>
    <w:p w14:paraId="4B24D8B6" w14:textId="77777777" w:rsidR="00407C58" w:rsidRPr="00B20782" w:rsidRDefault="00407C58" w:rsidP="00B20782">
      <w:pPr>
        <w:pStyle w:val="ListParagraph"/>
        <w:jc w:val="both"/>
        <w:rPr>
          <w:rFonts w:ascii="Arial" w:hAnsi="Arial" w:cs="Arial"/>
          <w:bCs/>
          <w:sz w:val="20"/>
          <w:szCs w:val="20"/>
        </w:rPr>
      </w:pPr>
    </w:p>
    <w:p w14:paraId="2F6AD2A0" w14:textId="77777777" w:rsidR="00325BD9" w:rsidRPr="00416E89" w:rsidRDefault="00325BD9" w:rsidP="008A1B65">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fr-FR"/>
        </w:rPr>
        <w:t>Interprétation des résultats</w:t>
      </w:r>
    </w:p>
    <w:p w14:paraId="301F010B" w14:textId="63FB1272" w:rsidR="00584997" w:rsidRPr="00584997" w:rsidRDefault="00584997" w:rsidP="00584997">
      <w:pPr>
        <w:pStyle w:val="ListParagraph"/>
        <w:numPr>
          <w:ilvl w:val="0"/>
          <w:numId w:val="5"/>
        </w:numPr>
        <w:jc w:val="both"/>
        <w:rPr>
          <w:rFonts w:ascii="Arial" w:hAnsi="Arial" w:cs="Arial"/>
          <w:b/>
          <w:bCs/>
          <w:sz w:val="20"/>
          <w:szCs w:val="20"/>
        </w:rPr>
      </w:pPr>
      <w:r w:rsidRPr="00584997">
        <w:rPr>
          <w:rFonts w:ascii="Arial" w:eastAsia="Arial" w:hAnsi="Arial" w:cs="Arial"/>
          <w:b/>
          <w:sz w:val="20"/>
          <w:szCs w:val="20"/>
          <w:lang w:bidi="fr-FR"/>
        </w:rPr>
        <w:t>Que signifie un résultat de TDR de détection des antigènes non valide ou infructueux ?</w:t>
      </w:r>
    </w:p>
    <w:p w14:paraId="3077D053" w14:textId="0CB7E3E5" w:rsidR="00584997" w:rsidRDefault="00584997" w:rsidP="00584997">
      <w:pPr>
        <w:pStyle w:val="ListParagraph"/>
        <w:jc w:val="both"/>
        <w:rPr>
          <w:rFonts w:ascii="Arial" w:hAnsi="Arial" w:cs="Arial"/>
          <w:sz w:val="20"/>
          <w:szCs w:val="20"/>
        </w:rPr>
      </w:pPr>
      <w:r w:rsidRPr="00584997">
        <w:rPr>
          <w:rFonts w:ascii="Arial" w:eastAsia="Arial" w:hAnsi="Arial" w:cs="Arial"/>
          <w:sz w:val="20"/>
          <w:szCs w:val="20"/>
          <w:lang w:bidi="fr-FR"/>
        </w:rPr>
        <w:t>Il arrive parfois qu'une personne obtienne un résultat de test non valide ou insatisfaisant, ce qui peut être dû à un excès de mucus dans l'échantillon, qui interfère avec le test, ou à d'autres problèmes liés au prélèvement de l'échantillon. Dans ce cas, cette personne doit faire prélever un nouvel échantillon et l'envoyer pour un test de dépistage du SARS-CoV-2.</w:t>
      </w:r>
    </w:p>
    <w:p w14:paraId="2364E6F3" w14:textId="77777777" w:rsidR="008A1B65" w:rsidRPr="00584997" w:rsidRDefault="008A1B65" w:rsidP="00584997">
      <w:pPr>
        <w:pStyle w:val="ListParagraph"/>
        <w:jc w:val="both"/>
        <w:rPr>
          <w:rFonts w:ascii="Arial" w:hAnsi="Arial" w:cs="Arial"/>
          <w:sz w:val="20"/>
          <w:szCs w:val="20"/>
        </w:rPr>
      </w:pPr>
    </w:p>
    <w:p w14:paraId="7F7FC502" w14:textId="7C557DE0" w:rsidR="00584997" w:rsidRPr="00584997" w:rsidRDefault="00584997" w:rsidP="00584997">
      <w:pPr>
        <w:pStyle w:val="ListParagraph"/>
        <w:numPr>
          <w:ilvl w:val="0"/>
          <w:numId w:val="5"/>
        </w:numPr>
        <w:jc w:val="both"/>
        <w:rPr>
          <w:rFonts w:ascii="Arial" w:hAnsi="Arial" w:cs="Arial"/>
          <w:b/>
          <w:bCs/>
          <w:sz w:val="20"/>
          <w:szCs w:val="20"/>
        </w:rPr>
      </w:pPr>
      <w:r w:rsidRPr="00584997">
        <w:rPr>
          <w:rFonts w:ascii="Arial" w:eastAsia="Arial" w:hAnsi="Arial" w:cs="Arial"/>
          <w:b/>
          <w:sz w:val="20"/>
          <w:szCs w:val="20"/>
          <w:lang w:bidi="fr-FR"/>
        </w:rPr>
        <w:t>Un patient ayant obtenu un résultat négatif au TDR de détection des antigènes peut-il être infecté par la COVID-19 à nouveau ?</w:t>
      </w:r>
    </w:p>
    <w:p w14:paraId="76EE2499" w14:textId="6412D07A" w:rsidR="008A1B65" w:rsidRDefault="00584997" w:rsidP="005325FA">
      <w:pPr>
        <w:pStyle w:val="ListParagraph"/>
        <w:jc w:val="both"/>
        <w:rPr>
          <w:rFonts w:ascii="Arial" w:hAnsi="Arial" w:cs="Arial"/>
          <w:sz w:val="20"/>
          <w:szCs w:val="20"/>
        </w:rPr>
      </w:pPr>
      <w:r w:rsidRPr="00584997">
        <w:rPr>
          <w:rFonts w:ascii="Arial" w:eastAsia="Arial" w:hAnsi="Arial" w:cs="Arial"/>
          <w:sz w:val="20"/>
          <w:szCs w:val="20"/>
          <w:lang w:bidi="fr-FR"/>
        </w:rPr>
        <w:t>Oui. Les personnes infectées par la COVID-19 peuvent obtenir un résultat de test négatif. Les données actuelles suggèrent que 15 à 20 % des patients peuvent ne pas être dépistés lors des tests de détection des antigènes.</w:t>
      </w:r>
    </w:p>
    <w:p w14:paraId="5746E394" w14:textId="77777777" w:rsidR="005325FA" w:rsidRPr="005325FA" w:rsidRDefault="005325FA" w:rsidP="005325FA">
      <w:pPr>
        <w:pStyle w:val="ListParagraph"/>
        <w:jc w:val="both"/>
        <w:rPr>
          <w:rFonts w:ascii="Arial" w:hAnsi="Arial" w:cs="Arial"/>
          <w:sz w:val="20"/>
          <w:szCs w:val="20"/>
        </w:rPr>
      </w:pPr>
    </w:p>
    <w:p w14:paraId="0AB8C20C" w14:textId="77777777" w:rsidR="00407C58" w:rsidRPr="00407C58" w:rsidRDefault="00584997" w:rsidP="00B71C16">
      <w:pPr>
        <w:pStyle w:val="ListParagraph"/>
        <w:numPr>
          <w:ilvl w:val="0"/>
          <w:numId w:val="5"/>
        </w:numPr>
        <w:jc w:val="both"/>
        <w:rPr>
          <w:rFonts w:ascii="Arial" w:hAnsi="Arial" w:cs="Arial"/>
          <w:sz w:val="20"/>
          <w:szCs w:val="20"/>
        </w:rPr>
      </w:pPr>
      <w:r w:rsidRPr="00407C58">
        <w:rPr>
          <w:rFonts w:ascii="Arial" w:eastAsia="Arial" w:hAnsi="Arial" w:cs="Arial"/>
          <w:b/>
          <w:sz w:val="20"/>
          <w:szCs w:val="20"/>
          <w:lang w:bidi="fr-FR"/>
        </w:rPr>
        <w:t>Dois-je refaire un test de détection des antigènes chez les patients dont le résultat du TDR de détection des antigènes est négatif en utilisant un deuxième TDR de détection des antigènes ?</w:t>
      </w:r>
    </w:p>
    <w:p w14:paraId="56F7B02A" w14:textId="25CC2178" w:rsidR="008A1B65" w:rsidRPr="00407C58" w:rsidRDefault="002C24D4" w:rsidP="00407C58">
      <w:pPr>
        <w:pStyle w:val="ListParagraph"/>
        <w:jc w:val="both"/>
        <w:rPr>
          <w:rFonts w:ascii="Arial" w:hAnsi="Arial" w:cs="Arial"/>
          <w:sz w:val="20"/>
          <w:szCs w:val="20"/>
        </w:rPr>
      </w:pPr>
      <w:r w:rsidRPr="00407C58">
        <w:rPr>
          <w:rFonts w:ascii="Arial" w:eastAsia="Arial" w:hAnsi="Arial" w:cs="Arial"/>
          <w:sz w:val="20"/>
          <w:szCs w:val="20"/>
          <w:lang w:bidi="fr-FR"/>
        </w:rPr>
        <w:t xml:space="preserve">Il est préférable de tester une seconde fois les patients ayant un résultat négatif au TDR de détection des antigènes avec un test plus sensible comme la RT-PCR. Toutefois, si un test moléculaire n'est pas disponible, on peut envisager de refaire le test avec un second TDR de détection des antigènes dans les 48 heures suivantes, surtout si les symptômes persistent ou progressent.  </w:t>
      </w:r>
    </w:p>
    <w:p w14:paraId="19666FA5" w14:textId="77777777" w:rsidR="000D504F" w:rsidRPr="00584997" w:rsidRDefault="000D504F" w:rsidP="00584997">
      <w:pPr>
        <w:pStyle w:val="ListParagraph"/>
        <w:jc w:val="both"/>
        <w:rPr>
          <w:rFonts w:ascii="Arial" w:hAnsi="Arial" w:cs="Arial"/>
          <w:sz w:val="20"/>
          <w:szCs w:val="20"/>
        </w:rPr>
      </w:pPr>
    </w:p>
    <w:p w14:paraId="17F3358B" w14:textId="799ED71C" w:rsidR="00584997" w:rsidRPr="00584997" w:rsidRDefault="00584997" w:rsidP="00584997">
      <w:pPr>
        <w:pStyle w:val="ListParagraph"/>
        <w:numPr>
          <w:ilvl w:val="0"/>
          <w:numId w:val="5"/>
        </w:numPr>
        <w:jc w:val="both"/>
        <w:rPr>
          <w:rFonts w:ascii="Arial" w:hAnsi="Arial" w:cs="Arial"/>
          <w:b/>
          <w:bCs/>
          <w:sz w:val="20"/>
          <w:szCs w:val="20"/>
        </w:rPr>
      </w:pPr>
      <w:r w:rsidRPr="00584997">
        <w:rPr>
          <w:rFonts w:ascii="Arial" w:eastAsia="Arial" w:hAnsi="Arial" w:cs="Arial"/>
          <w:b/>
          <w:sz w:val="20"/>
          <w:szCs w:val="20"/>
          <w:lang w:bidi="fr-FR"/>
        </w:rPr>
        <w:t>Dois-je confirmer un résultat positif au TDR de détection des antigènes par PCR ?</w:t>
      </w:r>
    </w:p>
    <w:p w14:paraId="06BD5E97" w14:textId="77777777" w:rsidR="00407C58" w:rsidRDefault="00FF606C" w:rsidP="00584997">
      <w:pPr>
        <w:pStyle w:val="ListParagraph"/>
        <w:jc w:val="both"/>
        <w:rPr>
          <w:rFonts w:ascii="Arial" w:eastAsia="Arial" w:hAnsi="Arial" w:cs="Arial"/>
          <w:sz w:val="20"/>
          <w:szCs w:val="20"/>
          <w:lang w:bidi="fr-FR"/>
        </w:rPr>
      </w:pPr>
      <w:r w:rsidRPr="669908FF">
        <w:rPr>
          <w:rFonts w:ascii="Arial" w:eastAsia="Arial" w:hAnsi="Arial" w:cs="Arial"/>
          <w:sz w:val="20"/>
          <w:szCs w:val="20"/>
          <w:lang w:bidi="fr-FR"/>
        </w:rPr>
        <w:t>Si les TDR sont utilisés pour diagnostiquer des patients symptomatiques ou des contacts asymptomatiques de cas dans des zones où la transmission communautaire est répandue, le résultat positif du TDR de détection des antigènes est suffisant pour confirmer un cas et un test de confirmation n'est pas nécessaire.</w:t>
      </w:r>
    </w:p>
    <w:p w14:paraId="6859D495" w14:textId="70D21CAB" w:rsidR="00584997" w:rsidRDefault="00FF606C" w:rsidP="00584997">
      <w:pPr>
        <w:pStyle w:val="ListParagraph"/>
        <w:jc w:val="both"/>
        <w:rPr>
          <w:rFonts w:ascii="Arial" w:hAnsi="Arial" w:cs="Arial"/>
          <w:sz w:val="20"/>
          <w:szCs w:val="20"/>
        </w:rPr>
      </w:pPr>
      <w:r w:rsidRPr="669908FF">
        <w:rPr>
          <w:rFonts w:ascii="Arial" w:eastAsia="Arial" w:hAnsi="Arial" w:cs="Arial"/>
          <w:sz w:val="20"/>
          <w:szCs w:val="20"/>
          <w:lang w:bidi="fr-FR"/>
        </w:rPr>
        <w:t>Toutefois, si les TDR de détection des antigènes sont utilisés dans des milieux à faible prévalence, les résultats positifs peuvent être plus susceptibles d'être des faux positifs que des vrais positifs, et il est fortement conseillé de procéder à des tests de confirmation des TDR positifs.</w:t>
      </w:r>
    </w:p>
    <w:p w14:paraId="4233607B" w14:textId="77777777" w:rsidR="008A1B65" w:rsidRPr="00584997" w:rsidRDefault="008A1B65" w:rsidP="00584997">
      <w:pPr>
        <w:pStyle w:val="ListParagraph"/>
        <w:jc w:val="both"/>
        <w:rPr>
          <w:rFonts w:ascii="Arial" w:hAnsi="Arial" w:cs="Arial"/>
          <w:sz w:val="20"/>
          <w:szCs w:val="20"/>
        </w:rPr>
      </w:pPr>
    </w:p>
    <w:p w14:paraId="593D5615" w14:textId="77777777" w:rsidR="00584997" w:rsidRPr="00584997" w:rsidRDefault="00584997" w:rsidP="00584997">
      <w:pPr>
        <w:pStyle w:val="ListParagraph"/>
        <w:numPr>
          <w:ilvl w:val="0"/>
          <w:numId w:val="5"/>
        </w:numPr>
        <w:jc w:val="both"/>
        <w:rPr>
          <w:rFonts w:ascii="Arial" w:hAnsi="Arial" w:cs="Arial"/>
          <w:b/>
          <w:bCs/>
          <w:sz w:val="20"/>
          <w:szCs w:val="20"/>
        </w:rPr>
      </w:pPr>
      <w:r w:rsidRPr="00584997">
        <w:rPr>
          <w:rFonts w:ascii="Arial" w:eastAsia="Arial" w:hAnsi="Arial" w:cs="Arial"/>
          <w:b/>
          <w:sz w:val="20"/>
          <w:szCs w:val="20"/>
          <w:lang w:bidi="fr-FR"/>
        </w:rPr>
        <w:t>Aucune bande de contrôle n'est visible sur le test après incubation pendant le temps requis.  Que dois-je faire ?</w:t>
      </w:r>
    </w:p>
    <w:p w14:paraId="211C4A6F" w14:textId="0045D2D4" w:rsidR="00584997" w:rsidRPr="00407C58" w:rsidRDefault="00DB61D8" w:rsidP="00584997">
      <w:pPr>
        <w:pStyle w:val="ListParagraph"/>
        <w:jc w:val="both"/>
        <w:rPr>
          <w:rFonts w:ascii="Arial" w:hAnsi="Arial" w:cs="Arial"/>
          <w:sz w:val="20"/>
          <w:szCs w:val="20"/>
        </w:rPr>
      </w:pPr>
      <w:r w:rsidRPr="00407C58">
        <w:rPr>
          <w:rFonts w:ascii="Arial" w:eastAsia="Arial" w:hAnsi="Arial" w:cs="Arial"/>
          <w:sz w:val="20"/>
          <w:szCs w:val="20"/>
          <w:lang w:bidi="fr-FR"/>
        </w:rPr>
        <w:t>Prenez un nouvel échantillon et répétez le test.</w:t>
      </w:r>
    </w:p>
    <w:p w14:paraId="223D7EE7" w14:textId="77777777" w:rsidR="008A1B65" w:rsidRPr="00584997" w:rsidRDefault="008A1B65" w:rsidP="00584997">
      <w:pPr>
        <w:pStyle w:val="ListParagraph"/>
        <w:jc w:val="both"/>
        <w:rPr>
          <w:rFonts w:ascii="Arial" w:hAnsi="Arial" w:cs="Arial"/>
          <w:sz w:val="20"/>
          <w:szCs w:val="20"/>
        </w:rPr>
      </w:pPr>
    </w:p>
    <w:p w14:paraId="55603FE4" w14:textId="77777777" w:rsidR="00584997" w:rsidRPr="00584997" w:rsidRDefault="00584997" w:rsidP="00584997">
      <w:pPr>
        <w:pStyle w:val="ListParagraph"/>
        <w:numPr>
          <w:ilvl w:val="0"/>
          <w:numId w:val="5"/>
        </w:numPr>
        <w:jc w:val="both"/>
        <w:rPr>
          <w:rFonts w:ascii="Arial" w:hAnsi="Arial" w:cs="Arial"/>
          <w:b/>
          <w:bCs/>
          <w:sz w:val="20"/>
          <w:szCs w:val="20"/>
        </w:rPr>
      </w:pPr>
      <w:r w:rsidRPr="00584997">
        <w:rPr>
          <w:rFonts w:ascii="Arial" w:eastAsia="Arial" w:hAnsi="Arial" w:cs="Arial"/>
          <w:b/>
          <w:sz w:val="20"/>
          <w:szCs w:val="20"/>
          <w:lang w:bidi="fr-FR"/>
        </w:rPr>
        <w:t>Qu'est-ce qui peut provoquer un résultat faux négatif au test ?</w:t>
      </w:r>
    </w:p>
    <w:p w14:paraId="687FF72D" w14:textId="4A2C6D6B" w:rsidR="00584997" w:rsidRDefault="00584997" w:rsidP="00584997">
      <w:pPr>
        <w:pStyle w:val="ListParagraph"/>
        <w:jc w:val="both"/>
        <w:rPr>
          <w:rFonts w:ascii="Arial" w:hAnsi="Arial" w:cs="Arial"/>
          <w:sz w:val="20"/>
          <w:szCs w:val="20"/>
        </w:rPr>
      </w:pPr>
      <w:r w:rsidRPr="669908FF">
        <w:rPr>
          <w:rFonts w:ascii="Arial" w:eastAsia="Arial" w:hAnsi="Arial" w:cs="Arial"/>
          <w:sz w:val="20"/>
          <w:szCs w:val="20"/>
          <w:lang w:bidi="fr-FR"/>
        </w:rPr>
        <w:t xml:space="preserve">Un résultat faux négatif (un résultat de test négatif provenant d'un patient atteint d'une infection à COVID-19) peut se produire lorsque la quantité d'antigène viral dans l'échantillon est inférieure à la limite de détection du test. Cela peut se produire en raison de mauvaises méthodes de prélèvement des échantillons ou lorsque la charge virale est faible, par exemple au tout début de la maladie ou plus tard dans la maladie, par exemple plus de sept jours après l'apparition des symptômes.  Les tests sont plus efficaces lorsque les personnes sont testées dans les cinq à sept jours suivant l'apparition des symptômes </w:t>
      </w:r>
    </w:p>
    <w:p w14:paraId="4E916D7B" w14:textId="77777777" w:rsidR="008A1B65" w:rsidRDefault="008A1B65" w:rsidP="00584997">
      <w:pPr>
        <w:pStyle w:val="ListParagraph"/>
        <w:jc w:val="both"/>
        <w:rPr>
          <w:rFonts w:ascii="Arial" w:hAnsi="Arial" w:cs="Arial"/>
          <w:sz w:val="20"/>
          <w:szCs w:val="20"/>
        </w:rPr>
      </w:pPr>
    </w:p>
    <w:p w14:paraId="103A6207" w14:textId="77777777" w:rsidR="003B748D" w:rsidRDefault="003B748D" w:rsidP="003B748D">
      <w:pPr>
        <w:pStyle w:val="ListParagraph"/>
        <w:numPr>
          <w:ilvl w:val="0"/>
          <w:numId w:val="5"/>
        </w:numPr>
        <w:rPr>
          <w:rFonts w:ascii="Arial" w:hAnsi="Arial" w:cs="Arial"/>
          <w:b/>
          <w:bCs/>
          <w:sz w:val="20"/>
          <w:szCs w:val="20"/>
        </w:rPr>
      </w:pPr>
      <w:r w:rsidRPr="003B748D">
        <w:rPr>
          <w:rFonts w:ascii="Arial" w:eastAsia="Arial" w:hAnsi="Arial" w:cs="Arial"/>
          <w:b/>
          <w:sz w:val="20"/>
          <w:szCs w:val="20"/>
          <w:lang w:bidi="fr-FR"/>
        </w:rPr>
        <w:t>La bande de contrôle (C) et la bande de test (T) sont toutes deux visibles.  Qu'est-ce que cela signifie ?</w:t>
      </w:r>
    </w:p>
    <w:p w14:paraId="2ACF5081" w14:textId="6062CE0C" w:rsidR="00083AB8" w:rsidRDefault="00083AB8" w:rsidP="00083AB8">
      <w:pPr>
        <w:pStyle w:val="ListParagraph"/>
        <w:rPr>
          <w:rFonts w:ascii="Arial" w:hAnsi="Arial" w:cs="Arial"/>
          <w:bCs/>
          <w:sz w:val="20"/>
          <w:szCs w:val="20"/>
        </w:rPr>
      </w:pPr>
      <w:r>
        <w:rPr>
          <w:rFonts w:ascii="Arial" w:eastAsia="Arial" w:hAnsi="Arial" w:cs="Arial"/>
          <w:sz w:val="20"/>
          <w:szCs w:val="20"/>
          <w:lang w:bidi="fr-FR"/>
        </w:rPr>
        <w:lastRenderedPageBreak/>
        <w:t>Lorsque la bande de contrôle et la bande de test sont toutes deux visibles, cela signifie que le test est positif.</w:t>
      </w:r>
    </w:p>
    <w:p w14:paraId="79EFADB2" w14:textId="77777777" w:rsidR="008A1B65" w:rsidRPr="00083AB8" w:rsidRDefault="008A1B65" w:rsidP="00083AB8">
      <w:pPr>
        <w:pStyle w:val="ListParagraph"/>
        <w:rPr>
          <w:rFonts w:ascii="Arial" w:hAnsi="Arial" w:cs="Arial"/>
          <w:bCs/>
          <w:sz w:val="20"/>
          <w:szCs w:val="20"/>
        </w:rPr>
      </w:pPr>
    </w:p>
    <w:p w14:paraId="6E5033E9" w14:textId="35FB562D" w:rsidR="003B748D" w:rsidRDefault="003B748D" w:rsidP="003B748D">
      <w:pPr>
        <w:pStyle w:val="ListParagraph"/>
        <w:numPr>
          <w:ilvl w:val="0"/>
          <w:numId w:val="5"/>
        </w:numPr>
        <w:rPr>
          <w:rFonts w:ascii="Arial" w:hAnsi="Arial" w:cs="Arial"/>
          <w:b/>
          <w:bCs/>
          <w:sz w:val="20"/>
          <w:szCs w:val="20"/>
        </w:rPr>
      </w:pPr>
      <w:r w:rsidRPr="003B748D">
        <w:rPr>
          <w:rFonts w:ascii="Arial" w:eastAsia="Arial" w:hAnsi="Arial" w:cs="Arial"/>
          <w:b/>
          <w:sz w:val="20"/>
          <w:szCs w:val="20"/>
          <w:lang w:bidi="fr-FR"/>
        </w:rPr>
        <w:t>La bande de contrôle (C) est visible, mais la bande de test (T) ne l'est pas.  Qu'est-ce que cela signifie ?</w:t>
      </w:r>
    </w:p>
    <w:p w14:paraId="75D11C18" w14:textId="0625C70E" w:rsidR="00F61D4F" w:rsidRPr="00556709" w:rsidRDefault="00083AB8" w:rsidP="00416E89">
      <w:pPr>
        <w:pStyle w:val="ListParagraph"/>
      </w:pPr>
      <w:r>
        <w:rPr>
          <w:rFonts w:ascii="Arial" w:eastAsia="Arial" w:hAnsi="Arial" w:cs="Arial"/>
          <w:sz w:val="20"/>
          <w:szCs w:val="20"/>
          <w:lang w:bidi="fr-FR"/>
        </w:rPr>
        <w:t>Lorsque la bande de contrôle est visible, mais que la bande de test n'est pas visible, cela signifie que le test est négatif.</w:t>
      </w:r>
    </w:p>
    <w:p w14:paraId="4981232B" w14:textId="2E812463" w:rsidR="00500247" w:rsidRPr="00416E89" w:rsidRDefault="00500247" w:rsidP="00500247">
      <w:pPr>
        <w:pStyle w:val="Heading2"/>
        <w:keepNext w:val="0"/>
        <w:keepLines w:val="0"/>
        <w:spacing w:before="480" w:after="160" w:line="276" w:lineRule="auto"/>
        <w:rPr>
          <w:rFonts w:ascii="Arial" w:hAnsi="Arial" w:cs="Arial"/>
          <w:b/>
          <w:bCs/>
          <w:color w:val="auto"/>
          <w:sz w:val="26"/>
          <w:szCs w:val="26"/>
        </w:rPr>
      </w:pPr>
      <w:r w:rsidRPr="00416E89">
        <w:rPr>
          <w:rFonts w:ascii="Arial" w:eastAsia="Arial" w:hAnsi="Arial" w:cs="Arial"/>
          <w:b/>
          <w:color w:val="auto"/>
          <w:sz w:val="26"/>
          <w:szCs w:val="26"/>
          <w:lang w:bidi="fr-FR"/>
        </w:rPr>
        <w:t>Où puis-je trouver plus d'informations sur le diagnostic du SARS-CoV-2 ?</w:t>
      </w:r>
    </w:p>
    <w:p w14:paraId="331524A4" w14:textId="72521B3B" w:rsidR="0040628F" w:rsidRDefault="0040628F" w:rsidP="002C6B88">
      <w:pPr>
        <w:pStyle w:val="ListParagraph"/>
        <w:numPr>
          <w:ilvl w:val="0"/>
          <w:numId w:val="11"/>
        </w:numPr>
        <w:rPr>
          <w:rFonts w:ascii="Arial" w:hAnsi="Arial" w:cs="Arial"/>
          <w:bCs/>
          <w:color w:val="009AC9"/>
          <w:sz w:val="20"/>
          <w:szCs w:val="20"/>
          <w:u w:val="single"/>
        </w:rPr>
      </w:pPr>
      <w:r w:rsidRPr="0040628F">
        <w:rPr>
          <w:rFonts w:ascii="Arial" w:eastAsia="Arial" w:hAnsi="Arial" w:cs="Arial"/>
          <w:sz w:val="20"/>
          <w:szCs w:val="20"/>
          <w:lang w:bidi="fr-FR"/>
        </w:rPr>
        <w:t xml:space="preserve">Organisation mondiale de la Santé. Détection des antigènes à l’aide de tests immunologiques rapides pour le diagnostic de l’infection à SARS-CoV-2. Orientations provisoires - 11 septembre 2020 : </w:t>
      </w:r>
      <w:hyperlink r:id="rId15" w:history="1">
        <w:r w:rsidRPr="0040628F">
          <w:rPr>
            <w:rStyle w:val="Hyperlink"/>
            <w:rFonts w:ascii="Arial" w:eastAsia="Arial" w:hAnsi="Arial" w:cs="Arial"/>
            <w:color w:val="009AC9"/>
            <w:sz w:val="20"/>
            <w:szCs w:val="20"/>
            <w:lang w:bidi="fr-FR"/>
          </w:rPr>
          <w:t>https://apps.who.int/iris/bitstream/handle/10665/334409/WHO-2019-nCoV-Antigen_Detection-2020.1-fre.pdf</w:t>
        </w:r>
      </w:hyperlink>
    </w:p>
    <w:p w14:paraId="71AE5555" w14:textId="017E6B39" w:rsidR="0040628F" w:rsidRPr="00407C58" w:rsidRDefault="000074F6" w:rsidP="002C6B88">
      <w:pPr>
        <w:pStyle w:val="ListParagraph"/>
        <w:numPr>
          <w:ilvl w:val="0"/>
          <w:numId w:val="11"/>
        </w:numPr>
        <w:rPr>
          <w:rFonts w:ascii="Arial" w:hAnsi="Arial" w:cs="Arial"/>
          <w:bCs/>
          <w:color w:val="009AC9"/>
          <w:sz w:val="20"/>
          <w:szCs w:val="20"/>
          <w:u w:val="single"/>
          <w:lang w:val="en-US"/>
        </w:rPr>
      </w:pPr>
      <w:r w:rsidRPr="0040628F">
        <w:rPr>
          <w:rFonts w:ascii="Arial" w:eastAsia="Arial" w:hAnsi="Arial" w:cs="Arial"/>
          <w:sz w:val="20"/>
          <w:szCs w:val="20"/>
          <w:lang w:bidi="fr-FR"/>
        </w:rPr>
        <w:t xml:space="preserve">Organisation mondiale de la Santé. </w:t>
      </w:r>
      <w:r w:rsidRPr="00407C58">
        <w:rPr>
          <w:rFonts w:ascii="Arial" w:eastAsia="Arial" w:hAnsi="Arial" w:cs="Arial"/>
          <w:sz w:val="20"/>
          <w:szCs w:val="20"/>
          <w:lang w:val="en-US" w:bidi="fr-FR"/>
        </w:rPr>
        <w:t xml:space="preserve">Country &amp; technical guidance – Coronavirus disease (COVID-19) : </w:t>
      </w:r>
      <w:hyperlink r:id="rId16" w:history="1">
        <w:r w:rsidR="0040628F" w:rsidRPr="00407C58">
          <w:rPr>
            <w:rStyle w:val="Hyperlink"/>
            <w:rFonts w:ascii="Arial" w:eastAsia="Arial" w:hAnsi="Arial" w:cs="Arial"/>
            <w:color w:val="009AC9"/>
            <w:sz w:val="20"/>
            <w:szCs w:val="20"/>
            <w:lang w:val="en-US" w:bidi="fr-FR"/>
          </w:rPr>
          <w:t>https://www.who.int/emergencies/diseases/novel-coronavirus-2019/technical-guidance</w:t>
        </w:r>
      </w:hyperlink>
      <w:r w:rsidRPr="00407C58">
        <w:rPr>
          <w:rFonts w:ascii="Arial" w:eastAsia="Arial" w:hAnsi="Arial" w:cs="Arial"/>
          <w:sz w:val="20"/>
          <w:szCs w:val="20"/>
          <w:lang w:val="en-US" w:bidi="fr-FR"/>
        </w:rPr>
        <w:t xml:space="preserve"> (</w:t>
      </w:r>
      <w:proofErr w:type="spellStart"/>
      <w:r w:rsidRPr="00407C58">
        <w:rPr>
          <w:rFonts w:ascii="Arial" w:eastAsia="Arial" w:hAnsi="Arial" w:cs="Arial"/>
          <w:sz w:val="20"/>
          <w:szCs w:val="20"/>
          <w:lang w:val="en-US" w:bidi="fr-FR"/>
        </w:rPr>
        <w:t>en</w:t>
      </w:r>
      <w:proofErr w:type="spellEnd"/>
      <w:r w:rsidRPr="00407C58">
        <w:rPr>
          <w:rFonts w:ascii="Arial" w:eastAsia="Arial" w:hAnsi="Arial" w:cs="Arial"/>
          <w:sz w:val="20"/>
          <w:szCs w:val="20"/>
          <w:lang w:val="en-US" w:bidi="fr-FR"/>
        </w:rPr>
        <w:t xml:space="preserve"> </w:t>
      </w:r>
      <w:proofErr w:type="spellStart"/>
      <w:r w:rsidRPr="00407C58">
        <w:rPr>
          <w:rFonts w:ascii="Arial" w:eastAsia="Arial" w:hAnsi="Arial" w:cs="Arial"/>
          <w:sz w:val="20"/>
          <w:szCs w:val="20"/>
          <w:lang w:val="en-US" w:bidi="fr-FR"/>
        </w:rPr>
        <w:t>anglais</w:t>
      </w:r>
      <w:proofErr w:type="spellEnd"/>
      <w:r w:rsidRPr="00407C58">
        <w:rPr>
          <w:rFonts w:ascii="Arial" w:eastAsia="Arial" w:hAnsi="Arial" w:cs="Arial"/>
          <w:sz w:val="20"/>
          <w:szCs w:val="20"/>
          <w:lang w:val="en-US" w:bidi="fr-FR"/>
        </w:rPr>
        <w:t>).</w:t>
      </w:r>
      <w:r w:rsidR="0040628F" w:rsidRPr="00407C58">
        <w:rPr>
          <w:rFonts w:ascii="Arial" w:eastAsia="Arial" w:hAnsi="Arial" w:cs="Arial"/>
          <w:color w:val="009AC9"/>
          <w:sz w:val="20"/>
          <w:szCs w:val="20"/>
          <w:lang w:val="en-US" w:bidi="fr-FR"/>
        </w:rPr>
        <w:t xml:space="preserve"> </w:t>
      </w:r>
    </w:p>
    <w:p w14:paraId="3FB2541D" w14:textId="69E41E3B" w:rsidR="000074F6" w:rsidRPr="0040628F" w:rsidRDefault="000074F6" w:rsidP="0040628F">
      <w:pPr>
        <w:pStyle w:val="ListParagraph"/>
        <w:numPr>
          <w:ilvl w:val="0"/>
          <w:numId w:val="11"/>
        </w:numPr>
        <w:rPr>
          <w:rFonts w:ascii="Arial" w:hAnsi="Arial" w:cs="Arial"/>
          <w:bCs/>
          <w:color w:val="009AC9"/>
          <w:sz w:val="20"/>
          <w:szCs w:val="20"/>
          <w:u w:val="single"/>
        </w:rPr>
      </w:pPr>
      <w:r w:rsidRPr="0040628F">
        <w:rPr>
          <w:rFonts w:ascii="Arial" w:eastAsia="Arial" w:hAnsi="Arial" w:cs="Arial"/>
          <w:sz w:val="20"/>
          <w:szCs w:val="20"/>
          <w:lang w:bidi="fr-FR"/>
        </w:rPr>
        <w:t xml:space="preserve">Organisation mondiale de la Santé. </w:t>
      </w:r>
      <w:r w:rsidRPr="00407C58">
        <w:rPr>
          <w:rFonts w:ascii="Arial" w:eastAsia="Arial" w:hAnsi="Arial" w:cs="Arial"/>
          <w:sz w:val="20"/>
          <w:szCs w:val="20"/>
          <w:lang w:val="en-US" w:bidi="fr-FR"/>
        </w:rPr>
        <w:t xml:space="preserve">Diagnostic testing for SARS-CoV-2. </w:t>
      </w:r>
      <w:proofErr w:type="spellStart"/>
      <w:r w:rsidRPr="0040628F">
        <w:rPr>
          <w:rFonts w:ascii="Arial" w:eastAsia="Arial" w:hAnsi="Arial" w:cs="Arial"/>
          <w:sz w:val="20"/>
          <w:szCs w:val="20"/>
          <w:lang w:bidi="fr-FR"/>
        </w:rPr>
        <w:t>Interim</w:t>
      </w:r>
      <w:proofErr w:type="spellEnd"/>
      <w:r w:rsidRPr="0040628F">
        <w:rPr>
          <w:rFonts w:ascii="Arial" w:eastAsia="Arial" w:hAnsi="Arial" w:cs="Arial"/>
          <w:sz w:val="20"/>
          <w:szCs w:val="20"/>
          <w:lang w:bidi="fr-FR"/>
        </w:rPr>
        <w:t xml:space="preserve"> guidance – 11 </w:t>
      </w:r>
      <w:proofErr w:type="spellStart"/>
      <w:r w:rsidRPr="0040628F">
        <w:rPr>
          <w:rFonts w:ascii="Arial" w:eastAsia="Arial" w:hAnsi="Arial" w:cs="Arial"/>
          <w:sz w:val="20"/>
          <w:szCs w:val="20"/>
          <w:lang w:bidi="fr-FR"/>
        </w:rPr>
        <w:t>September</w:t>
      </w:r>
      <w:proofErr w:type="spellEnd"/>
      <w:r w:rsidRPr="0040628F">
        <w:rPr>
          <w:rFonts w:ascii="Arial" w:eastAsia="Arial" w:hAnsi="Arial" w:cs="Arial"/>
          <w:sz w:val="20"/>
          <w:szCs w:val="20"/>
          <w:lang w:bidi="fr-FR"/>
        </w:rPr>
        <w:t xml:space="preserve"> </w:t>
      </w:r>
      <w:proofErr w:type="gramStart"/>
      <w:r w:rsidRPr="0040628F">
        <w:rPr>
          <w:rFonts w:ascii="Arial" w:eastAsia="Arial" w:hAnsi="Arial" w:cs="Arial"/>
          <w:sz w:val="20"/>
          <w:szCs w:val="20"/>
          <w:lang w:bidi="fr-FR"/>
        </w:rPr>
        <w:t>2020:</w:t>
      </w:r>
      <w:proofErr w:type="gramEnd"/>
      <w:r w:rsidRPr="0040628F">
        <w:rPr>
          <w:rFonts w:ascii="Arial" w:eastAsia="Arial" w:hAnsi="Arial" w:cs="Arial"/>
          <w:sz w:val="20"/>
          <w:szCs w:val="20"/>
          <w:lang w:bidi="fr-FR"/>
        </w:rPr>
        <w:t xml:space="preserve"> </w:t>
      </w:r>
      <w:hyperlink r:id="rId17" w:history="1">
        <w:r w:rsidR="0040628F" w:rsidRPr="0040628F">
          <w:rPr>
            <w:rStyle w:val="Hyperlink"/>
            <w:rFonts w:ascii="Arial" w:eastAsia="Arial" w:hAnsi="Arial" w:cs="Arial"/>
            <w:color w:val="009AC9"/>
            <w:sz w:val="20"/>
            <w:szCs w:val="20"/>
            <w:lang w:bidi="fr-FR"/>
          </w:rPr>
          <w:t>https://www.who.int/publications/i/item/diagnostic-testing-for-sars-cov-2</w:t>
        </w:r>
      </w:hyperlink>
      <w:r w:rsidRPr="0040628F">
        <w:rPr>
          <w:rFonts w:ascii="Arial" w:eastAsia="Arial" w:hAnsi="Arial" w:cs="Arial"/>
          <w:sz w:val="20"/>
          <w:szCs w:val="20"/>
          <w:lang w:bidi="fr-FR"/>
        </w:rPr>
        <w:t xml:space="preserve"> (en anglais).</w:t>
      </w:r>
    </w:p>
    <w:p w14:paraId="5DFDF865" w14:textId="6F68A3EF" w:rsidR="000074F6" w:rsidRPr="00407C58" w:rsidRDefault="000074F6" w:rsidP="000074F6">
      <w:pPr>
        <w:pStyle w:val="ListParagraph"/>
        <w:numPr>
          <w:ilvl w:val="0"/>
          <w:numId w:val="11"/>
        </w:numPr>
        <w:rPr>
          <w:rFonts w:ascii="Arial" w:hAnsi="Arial" w:cs="Arial"/>
          <w:bCs/>
          <w:color w:val="009AC9"/>
          <w:sz w:val="20"/>
          <w:szCs w:val="20"/>
          <w:u w:val="single"/>
          <w:lang w:val="en-US"/>
        </w:rPr>
      </w:pPr>
      <w:r w:rsidRPr="000074F6">
        <w:rPr>
          <w:rFonts w:ascii="Arial" w:eastAsia="Arial" w:hAnsi="Arial" w:cs="Arial"/>
          <w:sz w:val="20"/>
          <w:szCs w:val="20"/>
          <w:lang w:bidi="fr-FR"/>
        </w:rPr>
        <w:t xml:space="preserve">Organisation mondiale de la Santé. </w:t>
      </w:r>
      <w:r w:rsidRPr="00407C58">
        <w:rPr>
          <w:rFonts w:ascii="Arial" w:eastAsia="Arial" w:hAnsi="Arial" w:cs="Arial"/>
          <w:sz w:val="20"/>
          <w:szCs w:val="20"/>
          <w:lang w:val="en-US" w:bidi="fr-FR"/>
        </w:rPr>
        <w:t xml:space="preserve">Coronavirus disease (COVID-19) pandemic – Emergency Use Listing Procedure (EUL) open for in vitro diagnostics : </w:t>
      </w:r>
      <w:hyperlink r:id="rId18" w:history="1">
        <w:r w:rsidRPr="00407C58">
          <w:rPr>
            <w:color w:val="009AC9"/>
            <w:u w:val="single"/>
            <w:lang w:val="en-US" w:bidi="fr-FR"/>
          </w:rPr>
          <w:t>https://www.who.int/diagnostics_laboratory/EUL/en/</w:t>
        </w:r>
      </w:hyperlink>
      <w:r w:rsidRPr="00407C58">
        <w:rPr>
          <w:rFonts w:ascii="Arial" w:eastAsia="Arial" w:hAnsi="Arial" w:cs="Arial"/>
          <w:sz w:val="20"/>
          <w:szCs w:val="20"/>
          <w:u w:val="single"/>
          <w:lang w:val="en-US" w:bidi="fr-FR"/>
        </w:rPr>
        <w:t xml:space="preserve"> </w:t>
      </w:r>
      <w:r w:rsidRPr="00407C58">
        <w:rPr>
          <w:rFonts w:ascii="Arial" w:eastAsia="Arial" w:hAnsi="Arial" w:cs="Arial"/>
          <w:sz w:val="20"/>
          <w:szCs w:val="20"/>
          <w:lang w:val="en-US" w:bidi="fr-FR"/>
        </w:rPr>
        <w:t>(</w:t>
      </w:r>
      <w:proofErr w:type="spellStart"/>
      <w:r w:rsidRPr="00407C58">
        <w:rPr>
          <w:rFonts w:ascii="Arial" w:eastAsia="Arial" w:hAnsi="Arial" w:cs="Arial"/>
          <w:sz w:val="20"/>
          <w:szCs w:val="20"/>
          <w:lang w:val="en-US" w:bidi="fr-FR"/>
        </w:rPr>
        <w:t>en</w:t>
      </w:r>
      <w:proofErr w:type="spellEnd"/>
      <w:r w:rsidRPr="00407C58">
        <w:rPr>
          <w:rFonts w:ascii="Arial" w:eastAsia="Arial" w:hAnsi="Arial" w:cs="Arial"/>
          <w:sz w:val="20"/>
          <w:szCs w:val="20"/>
          <w:lang w:val="en-US" w:bidi="fr-FR"/>
        </w:rPr>
        <w:t xml:space="preserve"> </w:t>
      </w:r>
      <w:proofErr w:type="spellStart"/>
      <w:r w:rsidRPr="00407C58">
        <w:rPr>
          <w:rFonts w:ascii="Arial" w:eastAsia="Arial" w:hAnsi="Arial" w:cs="Arial"/>
          <w:sz w:val="20"/>
          <w:szCs w:val="20"/>
          <w:lang w:val="en-US" w:bidi="fr-FR"/>
        </w:rPr>
        <w:t>anglais</w:t>
      </w:r>
      <w:proofErr w:type="spellEnd"/>
      <w:r w:rsidRPr="00407C58">
        <w:rPr>
          <w:rFonts w:ascii="Arial" w:eastAsia="Arial" w:hAnsi="Arial" w:cs="Arial"/>
          <w:sz w:val="20"/>
          <w:szCs w:val="20"/>
          <w:lang w:val="en-US" w:bidi="fr-FR"/>
        </w:rPr>
        <w:t>).</w:t>
      </w:r>
      <w:r w:rsidRPr="00407C58">
        <w:rPr>
          <w:rFonts w:ascii="Arial" w:eastAsia="Arial" w:hAnsi="Arial" w:cs="Arial"/>
          <w:color w:val="009AC9"/>
          <w:sz w:val="20"/>
          <w:szCs w:val="20"/>
          <w:u w:val="single"/>
          <w:lang w:val="en-US" w:bidi="fr-FR"/>
        </w:rPr>
        <w:t xml:space="preserve">  </w:t>
      </w:r>
    </w:p>
    <w:p w14:paraId="52098A0A" w14:textId="355B85D2" w:rsidR="000074F6" w:rsidRDefault="000074F6" w:rsidP="000074F6">
      <w:pPr>
        <w:pStyle w:val="ListParagraph"/>
        <w:numPr>
          <w:ilvl w:val="0"/>
          <w:numId w:val="11"/>
        </w:numPr>
        <w:rPr>
          <w:rStyle w:val="Hyperlink"/>
          <w:rFonts w:ascii="Arial" w:hAnsi="Arial" w:cs="Arial"/>
          <w:bCs/>
          <w:color w:val="009AC9"/>
          <w:sz w:val="20"/>
          <w:szCs w:val="20"/>
        </w:rPr>
      </w:pPr>
      <w:r w:rsidRPr="000074F6">
        <w:rPr>
          <w:rFonts w:ascii="Arial" w:eastAsia="Arial" w:hAnsi="Arial" w:cs="Arial"/>
          <w:sz w:val="20"/>
          <w:szCs w:val="20"/>
          <w:lang w:bidi="fr-FR"/>
        </w:rPr>
        <w:t>Organisation mondiale de la Santé. Post-</w:t>
      </w:r>
      <w:proofErr w:type="spellStart"/>
      <w:r w:rsidRPr="000074F6">
        <w:rPr>
          <w:rFonts w:ascii="Arial" w:eastAsia="Arial" w:hAnsi="Arial" w:cs="Arial"/>
          <w:sz w:val="20"/>
          <w:szCs w:val="20"/>
          <w:lang w:bidi="fr-FR"/>
        </w:rPr>
        <w:t>market</w:t>
      </w:r>
      <w:proofErr w:type="spellEnd"/>
      <w:r w:rsidRPr="000074F6">
        <w:rPr>
          <w:rFonts w:ascii="Arial" w:eastAsia="Arial" w:hAnsi="Arial" w:cs="Arial"/>
          <w:sz w:val="20"/>
          <w:szCs w:val="20"/>
          <w:lang w:bidi="fr-FR"/>
        </w:rPr>
        <w:t xml:space="preserve"> surveillance for in vitro diagnostics (</w:t>
      </w:r>
      <w:proofErr w:type="spellStart"/>
      <w:r w:rsidRPr="000074F6">
        <w:rPr>
          <w:rFonts w:ascii="Arial" w:eastAsia="Arial" w:hAnsi="Arial" w:cs="Arial"/>
          <w:sz w:val="20"/>
          <w:szCs w:val="20"/>
          <w:lang w:bidi="fr-FR"/>
        </w:rPr>
        <w:t>IVDs</w:t>
      </w:r>
      <w:proofErr w:type="spellEnd"/>
      <w:r w:rsidRPr="000074F6">
        <w:rPr>
          <w:rFonts w:ascii="Arial" w:eastAsia="Arial" w:hAnsi="Arial" w:cs="Arial"/>
          <w:sz w:val="20"/>
          <w:szCs w:val="20"/>
          <w:lang w:bidi="fr-FR"/>
        </w:rPr>
        <w:t xml:space="preserve">) : </w:t>
      </w:r>
      <w:hyperlink r:id="rId19" w:history="1">
        <w:r w:rsidRPr="000074F6">
          <w:rPr>
            <w:rStyle w:val="Hyperlink"/>
            <w:rFonts w:ascii="Arial" w:eastAsia="Arial" w:hAnsi="Arial" w:cs="Arial"/>
            <w:color w:val="009AC9"/>
            <w:sz w:val="20"/>
            <w:szCs w:val="20"/>
            <w:lang w:bidi="fr-FR"/>
          </w:rPr>
          <w:t>https://www.who.int/diagnostics_laboratory/postmarket/en/</w:t>
        </w:r>
      </w:hyperlink>
      <w:r w:rsidRPr="000074F6">
        <w:rPr>
          <w:rFonts w:ascii="Arial" w:eastAsia="Arial" w:hAnsi="Arial" w:cs="Arial"/>
          <w:sz w:val="20"/>
          <w:szCs w:val="20"/>
          <w:lang w:bidi="fr-FR"/>
        </w:rPr>
        <w:t xml:space="preserve"> (en anglais).</w:t>
      </w:r>
    </w:p>
    <w:p w14:paraId="1C42F7CF" w14:textId="1C65FFB6" w:rsidR="00DE11BB" w:rsidRDefault="00DE11BB" w:rsidP="00DE11BB">
      <w:pPr>
        <w:pStyle w:val="ListParagraph"/>
        <w:numPr>
          <w:ilvl w:val="0"/>
          <w:numId w:val="11"/>
        </w:numPr>
        <w:jc w:val="both"/>
        <w:rPr>
          <w:rFonts w:ascii="Arial" w:hAnsi="Arial" w:cs="Arial"/>
          <w:sz w:val="20"/>
          <w:szCs w:val="20"/>
        </w:rPr>
      </w:pPr>
      <w:r>
        <w:rPr>
          <w:rFonts w:ascii="Arial" w:eastAsia="Arial" w:hAnsi="Arial" w:cs="Arial"/>
          <w:sz w:val="20"/>
          <w:szCs w:val="20"/>
          <w:lang w:bidi="fr-FR"/>
        </w:rPr>
        <w:t>Organisation mondiale de la Santé. Équipement de protection individuelle (EPI) dans le cadre de la COVID-19</w:t>
      </w:r>
    </w:p>
    <w:p w14:paraId="5029777F" w14:textId="77777777" w:rsidR="00DE11BB" w:rsidRPr="00407C58" w:rsidRDefault="00000000" w:rsidP="00DE11BB">
      <w:pPr>
        <w:pStyle w:val="ListParagraph"/>
        <w:numPr>
          <w:ilvl w:val="0"/>
          <w:numId w:val="11"/>
        </w:numPr>
        <w:jc w:val="both"/>
        <w:rPr>
          <w:rFonts w:ascii="Arial" w:hAnsi="Arial" w:cs="Arial"/>
          <w:b/>
          <w:bCs/>
          <w:color w:val="009AC9"/>
          <w:sz w:val="20"/>
          <w:szCs w:val="20"/>
        </w:rPr>
      </w:pPr>
      <w:hyperlink r:id="rId20" w:history="1">
        <w:r w:rsidR="00DE11BB" w:rsidRPr="008F161E">
          <w:rPr>
            <w:rStyle w:val="Hyperlink"/>
            <w:rFonts w:ascii="Arial" w:eastAsia="Arial" w:hAnsi="Arial" w:cs="Arial"/>
            <w:color w:val="009AC9"/>
            <w:sz w:val="20"/>
            <w:szCs w:val="20"/>
            <w:lang w:bidi="fr-FR"/>
          </w:rPr>
          <w:t>https://www.who.int/medical_devices/priority/COVID_19_PPE/en/</w:t>
        </w:r>
      </w:hyperlink>
      <w:r w:rsidR="00DE11BB" w:rsidRPr="008F161E">
        <w:rPr>
          <w:rFonts w:ascii="Arial" w:eastAsia="Arial" w:hAnsi="Arial" w:cs="Arial"/>
          <w:color w:val="009AC9"/>
          <w:sz w:val="20"/>
          <w:szCs w:val="20"/>
          <w:lang w:bidi="fr-FR"/>
        </w:rPr>
        <w:t xml:space="preserve">   </w:t>
      </w:r>
    </w:p>
    <w:p w14:paraId="30816B63" w14:textId="458F1B82" w:rsidR="000074F6" w:rsidRPr="00151707" w:rsidRDefault="00A65045" w:rsidP="007B366A">
      <w:pPr>
        <w:pStyle w:val="ListParagraph"/>
        <w:numPr>
          <w:ilvl w:val="0"/>
          <w:numId w:val="11"/>
        </w:numPr>
        <w:rPr>
          <w:rFonts w:ascii="Arial" w:hAnsi="Arial" w:cs="Arial"/>
          <w:bCs/>
          <w:color w:val="009AC9"/>
          <w:sz w:val="20"/>
          <w:szCs w:val="20"/>
          <w:u w:val="single"/>
        </w:rPr>
      </w:pPr>
      <w:r w:rsidRPr="00407C58">
        <w:rPr>
          <w:rFonts w:ascii="Arial" w:eastAsia="Arial" w:hAnsi="Arial" w:cs="Arial"/>
          <w:sz w:val="20"/>
          <w:szCs w:val="20"/>
          <w:lang w:val="en-US" w:bidi="fr-FR"/>
        </w:rPr>
        <w:t xml:space="preserve">Centers for Disease Control and Prevention. </w:t>
      </w:r>
      <w:r w:rsidRPr="00A65045">
        <w:rPr>
          <w:rFonts w:ascii="Arial" w:eastAsia="Arial" w:hAnsi="Arial" w:cs="Arial"/>
          <w:sz w:val="20"/>
          <w:szCs w:val="20"/>
          <w:lang w:bidi="fr-FR"/>
        </w:rPr>
        <w:t xml:space="preserve">Coronavirus </w:t>
      </w:r>
      <w:proofErr w:type="spellStart"/>
      <w:r w:rsidRPr="00A65045">
        <w:rPr>
          <w:rFonts w:ascii="Arial" w:eastAsia="Arial" w:hAnsi="Arial" w:cs="Arial"/>
          <w:sz w:val="20"/>
          <w:szCs w:val="20"/>
          <w:lang w:bidi="fr-FR"/>
        </w:rPr>
        <w:t>disease</w:t>
      </w:r>
      <w:proofErr w:type="spellEnd"/>
      <w:r w:rsidRPr="00A65045">
        <w:rPr>
          <w:rFonts w:ascii="Arial" w:eastAsia="Arial" w:hAnsi="Arial" w:cs="Arial"/>
          <w:sz w:val="20"/>
          <w:szCs w:val="20"/>
          <w:lang w:bidi="fr-FR"/>
        </w:rPr>
        <w:t xml:space="preserve"> 2019 (COVID-19) – Guidance </w:t>
      </w:r>
      <w:proofErr w:type="gramStart"/>
      <w:r w:rsidRPr="00A65045">
        <w:rPr>
          <w:rFonts w:ascii="Arial" w:eastAsia="Arial" w:hAnsi="Arial" w:cs="Arial"/>
          <w:sz w:val="20"/>
          <w:szCs w:val="20"/>
          <w:lang w:bidi="fr-FR"/>
        </w:rPr>
        <w:t>documents:</w:t>
      </w:r>
      <w:proofErr w:type="gramEnd"/>
      <w:r w:rsidRPr="00A65045">
        <w:rPr>
          <w:rFonts w:ascii="Arial" w:eastAsia="Arial" w:hAnsi="Arial" w:cs="Arial"/>
          <w:sz w:val="20"/>
          <w:szCs w:val="20"/>
          <w:lang w:bidi="fr-FR"/>
        </w:rPr>
        <w:t xml:space="preserve"> </w:t>
      </w:r>
      <w:hyperlink r:id="rId21" w:history="1">
        <w:r w:rsidRPr="00A65045">
          <w:rPr>
            <w:rStyle w:val="Hyperlink"/>
            <w:rFonts w:ascii="Arial" w:eastAsia="Arial" w:hAnsi="Arial" w:cs="Arial"/>
            <w:color w:val="009AC9"/>
            <w:sz w:val="20"/>
            <w:szCs w:val="20"/>
            <w:lang w:bidi="fr-FR"/>
          </w:rPr>
          <w:t>https://www.cdc.gov/coronavirus/2019-ncov/communication/guidance-list.html?Sort=Date%3A%3Adesc</w:t>
        </w:r>
      </w:hyperlink>
      <w:r w:rsidRPr="00A65045">
        <w:rPr>
          <w:rFonts w:ascii="Arial" w:eastAsia="Arial" w:hAnsi="Arial" w:cs="Arial"/>
          <w:sz w:val="20"/>
          <w:szCs w:val="20"/>
          <w:lang w:bidi="fr-FR"/>
        </w:rPr>
        <w:t xml:space="preserve"> (en anglais).</w:t>
      </w:r>
      <w:r w:rsidRPr="00A65045">
        <w:rPr>
          <w:rFonts w:ascii="Arial" w:eastAsia="Arial" w:hAnsi="Arial" w:cs="Arial"/>
          <w:color w:val="009AC9"/>
          <w:sz w:val="20"/>
          <w:szCs w:val="20"/>
          <w:lang w:bidi="fr-FR"/>
        </w:rPr>
        <w:t xml:space="preserve"> </w:t>
      </w:r>
    </w:p>
    <w:p w14:paraId="36E8B165" w14:textId="6D2184DE" w:rsidR="007A2999" w:rsidRPr="00BB23D0" w:rsidRDefault="007A2999" w:rsidP="007A2999">
      <w:pPr>
        <w:pStyle w:val="ListParagraph"/>
        <w:numPr>
          <w:ilvl w:val="0"/>
          <w:numId w:val="11"/>
        </w:numPr>
        <w:rPr>
          <w:rFonts w:ascii="Arial" w:hAnsi="Arial" w:cs="Arial"/>
          <w:bCs/>
          <w:color w:val="009AC9"/>
          <w:sz w:val="20"/>
          <w:szCs w:val="20"/>
          <w:u w:val="single"/>
          <w:lang w:val="en-ZA"/>
        </w:rPr>
      </w:pPr>
      <w:r w:rsidRPr="00407C58">
        <w:rPr>
          <w:rFonts w:ascii="Arial" w:eastAsia="Arial" w:hAnsi="Arial" w:cs="Arial"/>
          <w:sz w:val="20"/>
          <w:szCs w:val="20"/>
          <w:lang w:val="en-US" w:bidi="fr-FR"/>
        </w:rPr>
        <w:t xml:space="preserve">Center for Disease Control and Prevention (CDC). COVID-19 guidance on use of personal protective equipment for different clinical settings and activities, </w:t>
      </w:r>
      <w:proofErr w:type="spellStart"/>
      <w:r w:rsidRPr="00407C58">
        <w:rPr>
          <w:rFonts w:ascii="Arial" w:eastAsia="Arial" w:hAnsi="Arial" w:cs="Arial"/>
          <w:sz w:val="20"/>
          <w:szCs w:val="20"/>
          <w:lang w:val="en-US" w:bidi="fr-FR"/>
        </w:rPr>
        <w:t>mai</w:t>
      </w:r>
      <w:proofErr w:type="spellEnd"/>
      <w:r w:rsidRPr="00407C58">
        <w:rPr>
          <w:rFonts w:ascii="Arial" w:eastAsia="Arial" w:hAnsi="Arial" w:cs="Arial"/>
          <w:sz w:val="20"/>
          <w:szCs w:val="20"/>
          <w:lang w:val="en-US" w:bidi="fr-FR"/>
        </w:rPr>
        <w:t xml:space="preserve"> 2020 (</w:t>
      </w:r>
      <w:proofErr w:type="spellStart"/>
      <w:r w:rsidRPr="00407C58">
        <w:rPr>
          <w:rFonts w:ascii="Arial" w:eastAsia="Arial" w:hAnsi="Arial" w:cs="Arial"/>
          <w:sz w:val="20"/>
          <w:szCs w:val="20"/>
          <w:lang w:val="en-US" w:bidi="fr-FR"/>
        </w:rPr>
        <w:t>en</w:t>
      </w:r>
      <w:proofErr w:type="spellEnd"/>
      <w:r w:rsidRPr="00407C58">
        <w:rPr>
          <w:rFonts w:ascii="Arial" w:eastAsia="Arial" w:hAnsi="Arial" w:cs="Arial"/>
          <w:sz w:val="20"/>
          <w:szCs w:val="20"/>
          <w:lang w:val="en-US" w:bidi="fr-FR"/>
        </w:rPr>
        <w:t xml:space="preserve"> </w:t>
      </w:r>
      <w:proofErr w:type="spellStart"/>
      <w:r w:rsidRPr="00407C58">
        <w:rPr>
          <w:rFonts w:ascii="Arial" w:eastAsia="Arial" w:hAnsi="Arial" w:cs="Arial"/>
          <w:sz w:val="20"/>
          <w:szCs w:val="20"/>
          <w:lang w:val="en-US" w:bidi="fr-FR"/>
        </w:rPr>
        <w:t>anglais</w:t>
      </w:r>
      <w:proofErr w:type="spellEnd"/>
      <w:r w:rsidRPr="00407C58">
        <w:rPr>
          <w:rFonts w:ascii="Arial" w:eastAsia="Arial" w:hAnsi="Arial" w:cs="Arial"/>
          <w:sz w:val="20"/>
          <w:szCs w:val="20"/>
          <w:lang w:val="en-US" w:bidi="fr-FR"/>
        </w:rPr>
        <w:t>).:</w:t>
      </w:r>
    </w:p>
    <w:p w14:paraId="2F10818C" w14:textId="00C991B9" w:rsidR="00BB23D0" w:rsidRPr="00BB23D0" w:rsidRDefault="00000000" w:rsidP="00BB23D0">
      <w:pPr>
        <w:pStyle w:val="ListParagraph"/>
        <w:rPr>
          <w:rFonts w:ascii="Arial" w:hAnsi="Arial" w:cs="Arial"/>
          <w:bCs/>
          <w:color w:val="009AC9"/>
          <w:sz w:val="20"/>
          <w:szCs w:val="20"/>
          <w:u w:val="single"/>
          <w:lang w:val="en-ZA"/>
        </w:rPr>
      </w:pPr>
      <w:hyperlink r:id="rId22" w:history="1">
        <w:r w:rsidR="00BB23D0" w:rsidRPr="00407C58">
          <w:rPr>
            <w:rStyle w:val="Hyperlink"/>
            <w:rFonts w:ascii="Arial" w:eastAsia="Arial" w:hAnsi="Arial" w:cs="Arial"/>
            <w:color w:val="009AC9"/>
            <w:sz w:val="20"/>
            <w:szCs w:val="20"/>
            <w:lang w:val="en-ZA" w:bidi="fr-FR"/>
          </w:rPr>
          <w:t>https://africacdc.org/download/covid-19-guidance-on-use-of-personal-protective-equipment-for-different-clinical-settings-and-activities/</w:t>
        </w:r>
      </w:hyperlink>
    </w:p>
    <w:p w14:paraId="69C651E6" w14:textId="77777777" w:rsidR="00BB23D0" w:rsidRPr="007A2999" w:rsidRDefault="00BB23D0" w:rsidP="00BB23D0">
      <w:pPr>
        <w:pStyle w:val="ListParagraph"/>
        <w:rPr>
          <w:rFonts w:ascii="Arial" w:hAnsi="Arial" w:cs="Arial"/>
          <w:bCs/>
          <w:color w:val="009AC9"/>
          <w:sz w:val="20"/>
          <w:szCs w:val="20"/>
          <w:u w:val="single"/>
          <w:lang w:val="en-ZA"/>
        </w:rPr>
      </w:pPr>
    </w:p>
    <w:p w14:paraId="2BA59A73" w14:textId="256E7E09" w:rsidR="00407C58" w:rsidRDefault="00407C58">
      <w:pPr>
        <w:rPr>
          <w:rFonts w:ascii="Arial" w:hAnsi="Arial" w:cs="Arial"/>
          <w:b/>
          <w:sz w:val="20"/>
          <w:szCs w:val="20"/>
          <w:lang w:val="en-ZA"/>
        </w:rPr>
      </w:pPr>
      <w:r>
        <w:rPr>
          <w:rFonts w:ascii="Arial" w:hAnsi="Arial" w:cs="Arial"/>
          <w:b/>
          <w:sz w:val="20"/>
          <w:szCs w:val="20"/>
          <w:lang w:val="en-ZA"/>
        </w:rPr>
        <w:br w:type="page"/>
      </w:r>
    </w:p>
    <w:p w14:paraId="1AE5E2C8" w14:textId="77777777" w:rsidR="00445522" w:rsidRPr="00407C58" w:rsidRDefault="00445522" w:rsidP="00584997">
      <w:pPr>
        <w:jc w:val="both"/>
        <w:rPr>
          <w:rFonts w:ascii="Arial" w:hAnsi="Arial" w:cs="Arial"/>
          <w:b/>
          <w:sz w:val="20"/>
          <w:szCs w:val="20"/>
          <w:lang w:val="en-ZA"/>
        </w:rPr>
      </w:pPr>
    </w:p>
    <w:p w14:paraId="0B22EF58" w14:textId="77777777" w:rsidR="00445522" w:rsidRPr="00407C58" w:rsidRDefault="00445522" w:rsidP="00584997">
      <w:pPr>
        <w:pStyle w:val="ListParagraph"/>
        <w:jc w:val="both"/>
        <w:rPr>
          <w:rFonts w:ascii="Arial" w:hAnsi="Arial" w:cs="Arial"/>
          <w:b/>
          <w:sz w:val="20"/>
          <w:szCs w:val="20"/>
          <w:lang w:val="en-ZA"/>
        </w:rPr>
      </w:pPr>
    </w:p>
    <w:p w14:paraId="2D1306E6" w14:textId="77777777" w:rsidR="00496B11" w:rsidRPr="00407C58" w:rsidRDefault="00496B11" w:rsidP="00496B11">
      <w:pPr>
        <w:rPr>
          <w:lang w:val="en-ZA"/>
        </w:rPr>
      </w:pPr>
      <w:r>
        <w:rPr>
          <w:noProof/>
          <w:lang w:bidi="fr-FR"/>
        </w:rPr>
        <mc:AlternateContent>
          <mc:Choice Requires="wps">
            <w:drawing>
              <wp:anchor distT="0" distB="0" distL="114300" distR="114300" simplePos="0" relativeHeight="251659264" behindDoc="0" locked="0" layoutInCell="1" allowOverlap="1" wp14:anchorId="6E4A72E2" wp14:editId="4F574714">
                <wp:simplePos x="0" y="0"/>
                <wp:positionH relativeFrom="margin">
                  <wp:align>right</wp:align>
                </wp:positionH>
                <wp:positionV relativeFrom="paragraph">
                  <wp:posOffset>103455</wp:posOffset>
                </wp:positionV>
                <wp:extent cx="6000108" cy="3477295"/>
                <wp:effectExtent l="0" t="0" r="20320" b="27940"/>
                <wp:wrapNone/>
                <wp:docPr id="1" name="Rectangle 1"/>
                <wp:cNvGraphicFramePr/>
                <a:graphic xmlns:a="http://schemas.openxmlformats.org/drawingml/2006/main">
                  <a:graphicData uri="http://schemas.microsoft.com/office/word/2010/wordprocessingShape">
                    <wps:wsp>
                      <wps:cNvSpPr/>
                      <wps:spPr>
                        <a:xfrm>
                          <a:off x="0" y="0"/>
                          <a:ext cx="6000108" cy="3477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E040" id="Rectangle 1" o:spid="_x0000_s1026" style="position:absolute;margin-left:421.25pt;margin-top:8.15pt;width:472.45pt;height:27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" filled="f" strokecolor="black [3213]" strokeweight="1pt">
                <w10:wrap anchorx="margin"/>
              </v:rect>
            </w:pict>
          </mc:Fallback>
        </mc:AlternateContent>
      </w:r>
    </w:p>
    <w:p w14:paraId="4DFC785A" w14:textId="77777777" w:rsidR="00496B11" w:rsidRPr="008E6A60" w:rsidRDefault="00496B11" w:rsidP="00496B11">
      <w:pPr>
        <w:rPr>
          <w:rFonts w:ascii="Arial" w:hAnsi="Arial" w:cs="Arial"/>
          <w:b/>
          <w:bCs/>
          <w:color w:val="0070C0"/>
          <w:sz w:val="24"/>
          <w:szCs w:val="24"/>
        </w:rPr>
      </w:pPr>
      <w:r w:rsidRPr="008E6A60">
        <w:rPr>
          <w:rFonts w:ascii="Arial" w:eastAsia="Arial" w:hAnsi="Arial" w:cs="Arial"/>
          <w:b/>
          <w:color w:val="0070C0"/>
          <w:sz w:val="24"/>
          <w:szCs w:val="24"/>
          <w:lang w:bidi="fr-FR"/>
        </w:rPr>
        <w:t>Clause de non-responsabilité</w:t>
      </w:r>
    </w:p>
    <w:p w14:paraId="69A1E385" w14:textId="77777777" w:rsidR="00496B11" w:rsidRPr="008E6A60" w:rsidRDefault="00496B11" w:rsidP="00496B11">
      <w:pPr>
        <w:rPr>
          <w:rFonts w:ascii="Arial" w:hAnsi="Arial" w:cs="Arial"/>
          <w:b/>
          <w:bCs/>
          <w:szCs w:val="24"/>
        </w:rPr>
      </w:pPr>
      <w:r w:rsidRPr="008E6A60">
        <w:rPr>
          <w:rFonts w:ascii="Arial" w:eastAsia="Arial" w:hAnsi="Arial" w:cs="Arial"/>
          <w:b/>
          <w:szCs w:val="24"/>
          <w:lang w:bidi="fr-FR"/>
        </w:rPr>
        <w:t>Plateforme d’apprentissage sur la sécurité sanitaire à l’OMS - Documents de formation</w:t>
      </w:r>
    </w:p>
    <w:p w14:paraId="02A24275" w14:textId="0C8E4AF5" w:rsidR="00496B11" w:rsidRPr="008E6A60" w:rsidRDefault="00496B11" w:rsidP="00496B11">
      <w:pPr>
        <w:rPr>
          <w:rFonts w:ascii="Arial" w:hAnsi="Arial" w:cs="Arial"/>
          <w:szCs w:val="24"/>
        </w:rPr>
      </w:pPr>
      <w:r w:rsidRPr="008E6A60">
        <w:rPr>
          <w:rFonts w:ascii="Arial" w:eastAsia="Arial" w:hAnsi="Arial" w:cs="Arial"/>
          <w:szCs w:val="24"/>
          <w:lang w:bidi="fr-FR"/>
        </w:rPr>
        <w:t>Ces documents de formation de l’OMS sont la propriété de © l’Organisation mondiale de la Santé (OMS) 202</w:t>
      </w:r>
      <w:r w:rsidR="006E2CEA">
        <w:rPr>
          <w:rFonts w:ascii="Arial" w:eastAsia="Arial" w:hAnsi="Arial" w:cs="Arial"/>
          <w:szCs w:val="24"/>
          <w:lang w:bidi="fr-FR"/>
        </w:rPr>
        <w:t>2</w:t>
      </w:r>
      <w:r w:rsidRPr="008E6A60">
        <w:rPr>
          <w:rFonts w:ascii="Arial" w:eastAsia="Arial" w:hAnsi="Arial" w:cs="Arial"/>
          <w:szCs w:val="24"/>
          <w:lang w:bidi="fr-FR"/>
        </w:rPr>
        <w:t>. Tous droits réservés.</w:t>
      </w:r>
    </w:p>
    <w:p w14:paraId="25DC2D84" w14:textId="77777777" w:rsidR="00496B11" w:rsidRPr="008E6A60" w:rsidRDefault="00496B11" w:rsidP="00496B11">
      <w:pPr>
        <w:rPr>
          <w:rFonts w:ascii="Arial" w:hAnsi="Arial" w:cs="Arial"/>
          <w:szCs w:val="24"/>
        </w:rPr>
      </w:pPr>
      <w:r w:rsidRPr="008E6A60">
        <w:rPr>
          <w:rFonts w:ascii="Arial" w:eastAsia="Arial" w:hAnsi="Arial" w:cs="Arial"/>
          <w:szCs w:val="24"/>
          <w:lang w:bidi="fr-FR"/>
        </w:rPr>
        <w:t xml:space="preserve">Votre utilisation de ces documents est soumise au respect des </w:t>
      </w:r>
      <w:hyperlink r:id="rId23" w:history="1">
        <w:r w:rsidRPr="008E6A60">
          <w:rPr>
            <w:rStyle w:val="Hyperlink"/>
            <w:rFonts w:ascii="Arial" w:eastAsia="Arial" w:hAnsi="Arial" w:cs="Arial"/>
            <w:szCs w:val="24"/>
            <w:lang w:bidi="fr-FR"/>
          </w:rPr>
          <w:t>« Conditions d’utilisation de la «Plateforme d’apprentissage sur la sécurité sanitaire à l’OMS, Matériel de formation »</w:t>
        </w:r>
      </w:hyperlink>
      <w:r w:rsidRPr="008E6A60">
        <w:rPr>
          <w:rFonts w:ascii="Arial" w:eastAsia="Arial" w:hAnsi="Arial" w:cs="Arial"/>
          <w:szCs w:val="24"/>
          <w:lang w:bidi="fr-FR"/>
        </w:rPr>
        <w:t xml:space="preserve">, que vous avez acceptée en les téléchargeant et qui est disponible sur la Plateforme d’apprentissage sur la sécurité sanitaire, à l’adresse </w:t>
      </w:r>
      <w:hyperlink r:id="rId24" w:history="1">
        <w:r w:rsidRPr="008E6A60">
          <w:rPr>
            <w:rStyle w:val="Hyperlink"/>
            <w:rFonts w:ascii="Arial" w:eastAsia="Arial" w:hAnsi="Arial" w:cs="Arial"/>
            <w:szCs w:val="24"/>
            <w:lang w:bidi="fr-FR"/>
          </w:rPr>
          <w:t>https://extranet.who.int/hslp</w:t>
        </w:r>
      </w:hyperlink>
      <w:r w:rsidRPr="008E6A60">
        <w:rPr>
          <w:rFonts w:ascii="Arial" w:eastAsia="Arial" w:hAnsi="Arial" w:cs="Arial"/>
          <w:szCs w:val="24"/>
          <w:lang w:bidi="fr-FR"/>
        </w:rPr>
        <w:t xml:space="preserve">.  </w:t>
      </w:r>
    </w:p>
    <w:p w14:paraId="0ACADE7A" w14:textId="77777777" w:rsidR="00496B11" w:rsidRPr="008E6A60" w:rsidRDefault="00496B11" w:rsidP="00496B11">
      <w:pPr>
        <w:rPr>
          <w:rFonts w:ascii="Arial" w:hAnsi="Arial" w:cs="Arial"/>
          <w:szCs w:val="24"/>
        </w:rPr>
      </w:pPr>
      <w:r w:rsidRPr="008E6A60">
        <w:rPr>
          <w:rFonts w:ascii="Arial" w:eastAsia="Arial" w:hAnsi="Arial" w:cs="Arial"/>
          <w:szCs w:val="24"/>
          <w:lang w:bidi="fr-FR"/>
        </w:rPr>
        <w:t xml:space="preserve">En cas d’adaptation, de modification, de traduction ou de révision de toute autre manière du contenu de ces matériels, vous ne devez pas laisser entendre que l’OMS est affiliée de quelque manière que ce soit à ces modifications et vous ne devez utiliser ni le nom ni l’emblème de l’OMS dans ces matériels modifiés.  </w:t>
      </w:r>
    </w:p>
    <w:p w14:paraId="5644B3F9" w14:textId="392661DB" w:rsidR="00250F5F" w:rsidRPr="00250F5F" w:rsidRDefault="00496B11" w:rsidP="00496B11">
      <w:pPr>
        <w:spacing w:line="259" w:lineRule="auto"/>
        <w:rPr>
          <w:rFonts w:ascii="Arial" w:hAnsi="Arial" w:cs="Arial"/>
          <w:color w:val="9A127D"/>
          <w:sz w:val="20"/>
          <w:szCs w:val="20"/>
        </w:rPr>
      </w:pPr>
      <w:r w:rsidRPr="008E6A60">
        <w:rPr>
          <w:rFonts w:ascii="Arial" w:eastAsia="Arial" w:hAnsi="Arial" w:cs="Arial"/>
          <w:szCs w:val="24"/>
          <w:lang w:bidi="fr-FR"/>
        </w:rPr>
        <w:t xml:space="preserve">En outre, veuillez informer l’OMS de toute modification de ces matériels que vous utilisez publiquement, à des fins d’archivage et de développement continu, en envoyant un courriel à l’adresse ihrhrt@who.int. </w:t>
      </w:r>
    </w:p>
    <w:sectPr w:rsidR="00250F5F" w:rsidRPr="00250F5F" w:rsidSect="00997917">
      <w:headerReference w:type="default" r:id="rId25"/>
      <w:footerReference w:type="default" r:id="rId26"/>
      <w:pgSz w:w="12240" w:h="15840"/>
      <w:pgMar w:top="661"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90EA" w14:textId="77777777" w:rsidR="00590697" w:rsidRDefault="00590697" w:rsidP="00993E35">
      <w:pPr>
        <w:spacing w:after="0" w:line="240" w:lineRule="auto"/>
      </w:pPr>
      <w:r>
        <w:separator/>
      </w:r>
    </w:p>
  </w:endnote>
  <w:endnote w:type="continuationSeparator" w:id="0">
    <w:p w14:paraId="06EC6662" w14:textId="77777777" w:rsidR="00590697" w:rsidRDefault="00590697" w:rsidP="009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57247"/>
      <w:docPartObj>
        <w:docPartGallery w:val="Page Numbers (Bottom of Page)"/>
        <w:docPartUnique/>
      </w:docPartObj>
    </w:sdtPr>
    <w:sdtContent>
      <w:sdt>
        <w:sdtPr>
          <w:id w:val="-1769616900"/>
          <w:docPartObj>
            <w:docPartGallery w:val="Page Numbers (Top of Page)"/>
            <w:docPartUnique/>
          </w:docPartObj>
        </w:sdtPr>
        <w:sdtContent>
          <w:p w14:paraId="14B28CB1" w14:textId="7F1B93BE" w:rsidR="008E5C3B" w:rsidRPr="006E2CEA" w:rsidRDefault="0039026B" w:rsidP="0039026B">
            <w:pPr>
              <w:pStyle w:val="Footer"/>
              <w:ind w:right="360"/>
              <w:rPr>
                <w:b/>
                <w:lang w:bidi="fr-FR"/>
              </w:rPr>
            </w:pPr>
            <w:r w:rsidRPr="00B90281">
              <w:rPr>
                <w:b/>
                <w:lang w:bidi="fr-FR"/>
              </w:rPr>
              <w:t xml:space="preserve">Atelier de formation </w:t>
            </w:r>
            <w:r w:rsidR="00407C58">
              <w:rPr>
                <w:b/>
                <w:lang w:bidi="fr-FR"/>
              </w:rPr>
              <w:t xml:space="preserve">sur les </w:t>
            </w:r>
            <w:r w:rsidRPr="00B90281">
              <w:rPr>
                <w:b/>
                <w:lang w:bidi="fr-FR"/>
              </w:rPr>
              <w:t>test</w:t>
            </w:r>
            <w:r w:rsidR="00407C58">
              <w:rPr>
                <w:b/>
                <w:lang w:bidi="fr-FR"/>
              </w:rPr>
              <w:t>s</w:t>
            </w:r>
            <w:r w:rsidRPr="00B90281">
              <w:rPr>
                <w:b/>
                <w:lang w:bidi="fr-FR"/>
              </w:rPr>
              <w:t xml:space="preserve"> de diagnostic rapide des antigènes du SA</w:t>
            </w:r>
            <w:r w:rsidR="00407C58">
              <w:rPr>
                <w:b/>
                <w:lang w:bidi="fr-FR"/>
              </w:rPr>
              <w:t>R</w:t>
            </w:r>
            <w:r w:rsidRPr="00B90281">
              <w:rPr>
                <w:b/>
                <w:lang w:bidi="fr-FR"/>
              </w:rPr>
              <w:t xml:space="preserve">S-CoV-2 </w:t>
            </w:r>
            <w:r w:rsidR="006E2CEA">
              <w:rPr>
                <w:b/>
                <w:lang w:bidi="fr-FR"/>
              </w:rPr>
              <w:t>–</w:t>
            </w:r>
            <w:r w:rsidRPr="00B90281">
              <w:rPr>
                <w:b/>
                <w:lang w:bidi="fr-FR"/>
              </w:rPr>
              <w:t xml:space="preserve"> v</w:t>
            </w:r>
            <w:r w:rsidR="006E2CEA">
              <w:rPr>
                <w:b/>
                <w:lang w:bidi="fr-FR"/>
              </w:rPr>
              <w:t>3</w:t>
            </w:r>
            <w:r w:rsidRPr="00B90281">
              <w:rPr>
                <w:b/>
                <w:lang w:bidi="fr-FR"/>
              </w:rPr>
              <w:t>.0</w:t>
            </w:r>
            <w:r w:rsidRPr="00B90281">
              <w:rPr>
                <w:b/>
                <w:lang w:bidi="fr-FR"/>
              </w:rPr>
              <w:tab/>
            </w:r>
            <w:r w:rsidRPr="00B90281">
              <w:rPr>
                <w:lang w:bidi="fr-FR"/>
              </w:rPr>
              <w:t>Page </w:t>
            </w:r>
            <w:r w:rsidR="008E5C3B">
              <w:rPr>
                <w:b/>
                <w:sz w:val="24"/>
                <w:szCs w:val="24"/>
                <w:lang w:bidi="fr-FR"/>
              </w:rPr>
              <w:fldChar w:fldCharType="begin"/>
            </w:r>
            <w:r w:rsidR="008E5C3B">
              <w:rPr>
                <w:b/>
                <w:lang w:bidi="fr-FR"/>
              </w:rPr>
              <w:instrText xml:space="preserve"> PAGE </w:instrText>
            </w:r>
            <w:r w:rsidR="008E5C3B">
              <w:rPr>
                <w:b/>
                <w:sz w:val="24"/>
                <w:szCs w:val="24"/>
                <w:lang w:bidi="fr-FR"/>
              </w:rPr>
              <w:fldChar w:fldCharType="separate"/>
            </w:r>
            <w:r w:rsidR="00FC5961">
              <w:rPr>
                <w:b/>
                <w:noProof/>
                <w:lang w:bidi="fr-FR"/>
              </w:rPr>
              <w:t>1</w:t>
            </w:r>
            <w:r w:rsidR="008E5C3B">
              <w:rPr>
                <w:b/>
                <w:sz w:val="24"/>
                <w:szCs w:val="24"/>
                <w:lang w:bidi="fr-FR"/>
              </w:rPr>
              <w:fldChar w:fldCharType="end"/>
            </w:r>
            <w:r w:rsidRPr="00B90281">
              <w:rPr>
                <w:lang w:bidi="fr-FR"/>
              </w:rPr>
              <w:t xml:space="preserve"> sur </w:t>
            </w:r>
            <w:r w:rsidR="008E5C3B">
              <w:rPr>
                <w:b/>
                <w:sz w:val="24"/>
                <w:szCs w:val="24"/>
                <w:lang w:bidi="fr-FR"/>
              </w:rPr>
              <w:fldChar w:fldCharType="begin"/>
            </w:r>
            <w:r w:rsidR="008E5C3B">
              <w:rPr>
                <w:b/>
                <w:lang w:bidi="fr-FR"/>
              </w:rPr>
              <w:instrText xml:space="preserve"> NUMPAGES  </w:instrText>
            </w:r>
            <w:r w:rsidR="008E5C3B">
              <w:rPr>
                <w:b/>
                <w:sz w:val="24"/>
                <w:szCs w:val="24"/>
                <w:lang w:bidi="fr-FR"/>
              </w:rPr>
              <w:fldChar w:fldCharType="separate"/>
            </w:r>
            <w:r w:rsidR="00FC5961">
              <w:rPr>
                <w:b/>
                <w:noProof/>
                <w:lang w:bidi="fr-FR"/>
              </w:rPr>
              <w:t>1</w:t>
            </w:r>
            <w:r w:rsidR="008E5C3B">
              <w:rPr>
                <w:b/>
                <w:sz w:val="24"/>
                <w:szCs w:val="24"/>
                <w:lang w:bidi="fr-FR"/>
              </w:rPr>
              <w:fldChar w:fldCharType="end"/>
            </w:r>
          </w:p>
        </w:sdtContent>
      </w:sdt>
    </w:sdtContent>
  </w:sdt>
  <w:p w14:paraId="20CC31A7" w14:textId="77777777" w:rsidR="008E5C3B" w:rsidRDefault="008E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E55D" w14:textId="77777777" w:rsidR="00590697" w:rsidRDefault="00590697" w:rsidP="00993E35">
      <w:pPr>
        <w:spacing w:after="0" w:line="240" w:lineRule="auto"/>
      </w:pPr>
      <w:r>
        <w:separator/>
      </w:r>
    </w:p>
  </w:footnote>
  <w:footnote w:type="continuationSeparator" w:id="0">
    <w:p w14:paraId="51CF21A0" w14:textId="77777777" w:rsidR="00590697" w:rsidRDefault="00590697" w:rsidP="0099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DFB6" w14:textId="737F85A2" w:rsidR="008E5C3B" w:rsidRDefault="008E5C3B" w:rsidP="008A1B65">
    <w:pPr>
      <w:pStyle w:val="Header"/>
      <w:spacing w:after="240"/>
    </w:pPr>
    <w:r>
      <w:rPr>
        <w:lang w:bidi="fr-FR"/>
      </w:rPr>
      <w:tab/>
    </w:r>
    <w:r>
      <w:rPr>
        <w:lang w:bidi="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DEB"/>
    <w:multiLevelType w:val="hybridMultilevel"/>
    <w:tmpl w:val="7EBC6A5C"/>
    <w:lvl w:ilvl="0" w:tplc="7598EB88">
      <w:start w:val="1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40906"/>
    <w:multiLevelType w:val="hybridMultilevel"/>
    <w:tmpl w:val="DBF27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7479"/>
    <w:multiLevelType w:val="hybridMultilevel"/>
    <w:tmpl w:val="2B7A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E7826"/>
    <w:multiLevelType w:val="hybridMultilevel"/>
    <w:tmpl w:val="414A3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EA28E6"/>
    <w:multiLevelType w:val="hybridMultilevel"/>
    <w:tmpl w:val="7A44E884"/>
    <w:lvl w:ilvl="0" w:tplc="BA18B0E8">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E309A2"/>
    <w:multiLevelType w:val="hybridMultilevel"/>
    <w:tmpl w:val="3AB224F4"/>
    <w:lvl w:ilvl="0" w:tplc="BA18B0E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2C35"/>
    <w:multiLevelType w:val="hybridMultilevel"/>
    <w:tmpl w:val="47F62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41F64"/>
    <w:multiLevelType w:val="hybridMultilevel"/>
    <w:tmpl w:val="EE06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53D3E"/>
    <w:multiLevelType w:val="hybridMultilevel"/>
    <w:tmpl w:val="6D06E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316ED"/>
    <w:multiLevelType w:val="multilevel"/>
    <w:tmpl w:val="6F6272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91F1E"/>
    <w:multiLevelType w:val="hybridMultilevel"/>
    <w:tmpl w:val="F1A05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F6A7F"/>
    <w:multiLevelType w:val="hybridMultilevel"/>
    <w:tmpl w:val="480C5D5E"/>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129BF"/>
    <w:multiLevelType w:val="multilevel"/>
    <w:tmpl w:val="A218F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6A4732C"/>
    <w:multiLevelType w:val="hybridMultilevel"/>
    <w:tmpl w:val="C3A4F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93669"/>
    <w:multiLevelType w:val="multilevel"/>
    <w:tmpl w:val="46C2F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8677F"/>
    <w:multiLevelType w:val="hybridMultilevel"/>
    <w:tmpl w:val="615459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DA2752"/>
    <w:multiLevelType w:val="multilevel"/>
    <w:tmpl w:val="6298F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2379">
    <w:abstractNumId w:val="13"/>
  </w:num>
  <w:num w:numId="2" w16cid:durableId="1806923111">
    <w:abstractNumId w:val="10"/>
  </w:num>
  <w:num w:numId="3" w16cid:durableId="1001859776">
    <w:abstractNumId w:val="15"/>
  </w:num>
  <w:num w:numId="4" w16cid:durableId="1039937840">
    <w:abstractNumId w:val="1"/>
  </w:num>
  <w:num w:numId="5" w16cid:durableId="908612092">
    <w:abstractNumId w:val="7"/>
  </w:num>
  <w:num w:numId="6" w16cid:durableId="1624068933">
    <w:abstractNumId w:val="6"/>
  </w:num>
  <w:num w:numId="7" w16cid:durableId="34890073">
    <w:abstractNumId w:val="0"/>
  </w:num>
  <w:num w:numId="8" w16cid:durableId="1122577126">
    <w:abstractNumId w:val="5"/>
  </w:num>
  <w:num w:numId="9" w16cid:durableId="7293428">
    <w:abstractNumId w:val="2"/>
  </w:num>
  <w:num w:numId="10" w16cid:durableId="155459595">
    <w:abstractNumId w:val="3"/>
  </w:num>
  <w:num w:numId="11" w16cid:durableId="776215523">
    <w:abstractNumId w:val="11"/>
  </w:num>
  <w:num w:numId="12" w16cid:durableId="1945920379">
    <w:abstractNumId w:val="4"/>
  </w:num>
  <w:num w:numId="13" w16cid:durableId="84696494">
    <w:abstractNumId w:val="8"/>
  </w:num>
  <w:num w:numId="14" w16cid:durableId="184754866">
    <w:abstractNumId w:val="16"/>
  </w:num>
  <w:num w:numId="15" w16cid:durableId="1343237394">
    <w:abstractNumId w:val="12"/>
  </w:num>
  <w:num w:numId="16" w16cid:durableId="1473906432">
    <w:abstractNumId w:val="14"/>
  </w:num>
  <w:num w:numId="17" w16cid:durableId="1289818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35"/>
    <w:rsid w:val="00005B82"/>
    <w:rsid w:val="000074F6"/>
    <w:rsid w:val="00037DB4"/>
    <w:rsid w:val="00054DD7"/>
    <w:rsid w:val="00083AB8"/>
    <w:rsid w:val="0009402F"/>
    <w:rsid w:val="00097A6A"/>
    <w:rsid w:val="000A2446"/>
    <w:rsid w:val="000B79FB"/>
    <w:rsid w:val="000B7EF7"/>
    <w:rsid w:val="000C7583"/>
    <w:rsid w:val="000D1018"/>
    <w:rsid w:val="000D504F"/>
    <w:rsid w:val="000D6ECC"/>
    <w:rsid w:val="000E0CF2"/>
    <w:rsid w:val="000E50AB"/>
    <w:rsid w:val="000E6176"/>
    <w:rsid w:val="00103FA2"/>
    <w:rsid w:val="00112F79"/>
    <w:rsid w:val="00121DD0"/>
    <w:rsid w:val="00121EC0"/>
    <w:rsid w:val="00141603"/>
    <w:rsid w:val="00151707"/>
    <w:rsid w:val="00160175"/>
    <w:rsid w:val="001873CF"/>
    <w:rsid w:val="001A4870"/>
    <w:rsid w:val="001C7C9B"/>
    <w:rsid w:val="001E1251"/>
    <w:rsid w:val="00210853"/>
    <w:rsid w:val="00227032"/>
    <w:rsid w:val="002362FF"/>
    <w:rsid w:val="00240D81"/>
    <w:rsid w:val="00250F5F"/>
    <w:rsid w:val="002562F1"/>
    <w:rsid w:val="002875C0"/>
    <w:rsid w:val="00293F68"/>
    <w:rsid w:val="002C24D4"/>
    <w:rsid w:val="002C7139"/>
    <w:rsid w:val="003035E9"/>
    <w:rsid w:val="0030549D"/>
    <w:rsid w:val="003240CD"/>
    <w:rsid w:val="00325BD9"/>
    <w:rsid w:val="0033252B"/>
    <w:rsid w:val="00334129"/>
    <w:rsid w:val="00361571"/>
    <w:rsid w:val="0039026B"/>
    <w:rsid w:val="00397A70"/>
    <w:rsid w:val="003B03F8"/>
    <w:rsid w:val="003B748D"/>
    <w:rsid w:val="003E6C27"/>
    <w:rsid w:val="0040628F"/>
    <w:rsid w:val="00407C58"/>
    <w:rsid w:val="00416E89"/>
    <w:rsid w:val="004222CD"/>
    <w:rsid w:val="0043025D"/>
    <w:rsid w:val="00440952"/>
    <w:rsid w:val="00441A8C"/>
    <w:rsid w:val="00445522"/>
    <w:rsid w:val="0046560E"/>
    <w:rsid w:val="0048183E"/>
    <w:rsid w:val="004911D6"/>
    <w:rsid w:val="00496B11"/>
    <w:rsid w:val="004D08E0"/>
    <w:rsid w:val="004D296B"/>
    <w:rsid w:val="004D420A"/>
    <w:rsid w:val="00500247"/>
    <w:rsid w:val="0050384A"/>
    <w:rsid w:val="00517EF1"/>
    <w:rsid w:val="005222EE"/>
    <w:rsid w:val="005325FA"/>
    <w:rsid w:val="0054184B"/>
    <w:rsid w:val="00547BC5"/>
    <w:rsid w:val="00550404"/>
    <w:rsid w:val="00556709"/>
    <w:rsid w:val="00573431"/>
    <w:rsid w:val="00584997"/>
    <w:rsid w:val="00590697"/>
    <w:rsid w:val="00590A27"/>
    <w:rsid w:val="005A0A72"/>
    <w:rsid w:val="005B3ACD"/>
    <w:rsid w:val="005D2F0A"/>
    <w:rsid w:val="005E5491"/>
    <w:rsid w:val="005E7E1C"/>
    <w:rsid w:val="00617B34"/>
    <w:rsid w:val="00650FBB"/>
    <w:rsid w:val="00655E0A"/>
    <w:rsid w:val="00660273"/>
    <w:rsid w:val="0066297F"/>
    <w:rsid w:val="0067561F"/>
    <w:rsid w:val="00690322"/>
    <w:rsid w:val="006C5355"/>
    <w:rsid w:val="006C7E06"/>
    <w:rsid w:val="006D0C0C"/>
    <w:rsid w:val="006D637E"/>
    <w:rsid w:val="006E2CEA"/>
    <w:rsid w:val="006F0D7B"/>
    <w:rsid w:val="0070624E"/>
    <w:rsid w:val="007208E0"/>
    <w:rsid w:val="00725361"/>
    <w:rsid w:val="00736AB5"/>
    <w:rsid w:val="00743DAA"/>
    <w:rsid w:val="00751B60"/>
    <w:rsid w:val="0076227C"/>
    <w:rsid w:val="0077757A"/>
    <w:rsid w:val="00784E2F"/>
    <w:rsid w:val="007A2999"/>
    <w:rsid w:val="007A5DE2"/>
    <w:rsid w:val="007B4A2B"/>
    <w:rsid w:val="007C2E28"/>
    <w:rsid w:val="007C5467"/>
    <w:rsid w:val="007C7C09"/>
    <w:rsid w:val="007D7E1F"/>
    <w:rsid w:val="0086089D"/>
    <w:rsid w:val="008876B8"/>
    <w:rsid w:val="008A1B65"/>
    <w:rsid w:val="008B5503"/>
    <w:rsid w:val="008B7EFC"/>
    <w:rsid w:val="008C0DA0"/>
    <w:rsid w:val="008E5C3B"/>
    <w:rsid w:val="008F161E"/>
    <w:rsid w:val="00910422"/>
    <w:rsid w:val="00923437"/>
    <w:rsid w:val="00943281"/>
    <w:rsid w:val="00962C24"/>
    <w:rsid w:val="00966F68"/>
    <w:rsid w:val="009773EE"/>
    <w:rsid w:val="00993E35"/>
    <w:rsid w:val="00995821"/>
    <w:rsid w:val="00997917"/>
    <w:rsid w:val="00997D4E"/>
    <w:rsid w:val="009A371B"/>
    <w:rsid w:val="009A5430"/>
    <w:rsid w:val="009B52D2"/>
    <w:rsid w:val="009B585A"/>
    <w:rsid w:val="009C7FEC"/>
    <w:rsid w:val="009D4DED"/>
    <w:rsid w:val="009F0E03"/>
    <w:rsid w:val="00A1023D"/>
    <w:rsid w:val="00A143D4"/>
    <w:rsid w:val="00A44719"/>
    <w:rsid w:val="00A45C86"/>
    <w:rsid w:val="00A65045"/>
    <w:rsid w:val="00A67869"/>
    <w:rsid w:val="00A8565C"/>
    <w:rsid w:val="00AA2E25"/>
    <w:rsid w:val="00AA3ED4"/>
    <w:rsid w:val="00AB4BFE"/>
    <w:rsid w:val="00AD1285"/>
    <w:rsid w:val="00AF2C8F"/>
    <w:rsid w:val="00AF5E42"/>
    <w:rsid w:val="00B05AC4"/>
    <w:rsid w:val="00B17922"/>
    <w:rsid w:val="00B20782"/>
    <w:rsid w:val="00B43DB8"/>
    <w:rsid w:val="00B447AB"/>
    <w:rsid w:val="00B635FE"/>
    <w:rsid w:val="00BB23D0"/>
    <w:rsid w:val="00BB42C3"/>
    <w:rsid w:val="00BC245C"/>
    <w:rsid w:val="00BD37E8"/>
    <w:rsid w:val="00C04387"/>
    <w:rsid w:val="00C16EAB"/>
    <w:rsid w:val="00C23842"/>
    <w:rsid w:val="00C5650B"/>
    <w:rsid w:val="00C75714"/>
    <w:rsid w:val="00C84E9E"/>
    <w:rsid w:val="00C92B06"/>
    <w:rsid w:val="00C95AFC"/>
    <w:rsid w:val="00C969DA"/>
    <w:rsid w:val="00C97468"/>
    <w:rsid w:val="00CB1306"/>
    <w:rsid w:val="00CB2AA4"/>
    <w:rsid w:val="00D01811"/>
    <w:rsid w:val="00D11DD2"/>
    <w:rsid w:val="00D263E2"/>
    <w:rsid w:val="00D404A4"/>
    <w:rsid w:val="00D430F8"/>
    <w:rsid w:val="00D5254D"/>
    <w:rsid w:val="00D5662F"/>
    <w:rsid w:val="00D66B50"/>
    <w:rsid w:val="00D703F3"/>
    <w:rsid w:val="00DA74A0"/>
    <w:rsid w:val="00DB61D8"/>
    <w:rsid w:val="00DD26E8"/>
    <w:rsid w:val="00DE11BB"/>
    <w:rsid w:val="00DE1A0E"/>
    <w:rsid w:val="00DE4DD0"/>
    <w:rsid w:val="00E062C5"/>
    <w:rsid w:val="00E10E66"/>
    <w:rsid w:val="00E15A17"/>
    <w:rsid w:val="00E20754"/>
    <w:rsid w:val="00E253CF"/>
    <w:rsid w:val="00E45FD9"/>
    <w:rsid w:val="00E47080"/>
    <w:rsid w:val="00E55C78"/>
    <w:rsid w:val="00E71108"/>
    <w:rsid w:val="00E8286E"/>
    <w:rsid w:val="00E86608"/>
    <w:rsid w:val="00E9585C"/>
    <w:rsid w:val="00EB066A"/>
    <w:rsid w:val="00ED258E"/>
    <w:rsid w:val="00EE2C25"/>
    <w:rsid w:val="00EE4AF7"/>
    <w:rsid w:val="00EF1F77"/>
    <w:rsid w:val="00EF724E"/>
    <w:rsid w:val="00F43E3E"/>
    <w:rsid w:val="00F53D28"/>
    <w:rsid w:val="00F614A3"/>
    <w:rsid w:val="00F61D4F"/>
    <w:rsid w:val="00F72E7E"/>
    <w:rsid w:val="00F7741C"/>
    <w:rsid w:val="00F85B06"/>
    <w:rsid w:val="00F87EEA"/>
    <w:rsid w:val="00FC5961"/>
    <w:rsid w:val="00FD5DC5"/>
    <w:rsid w:val="00FD6A69"/>
    <w:rsid w:val="00FF0C49"/>
    <w:rsid w:val="00FF606C"/>
    <w:rsid w:val="015EF4D9"/>
    <w:rsid w:val="05BE51F6"/>
    <w:rsid w:val="1C0FD368"/>
    <w:rsid w:val="3EA84B1F"/>
    <w:rsid w:val="3F95E5BE"/>
    <w:rsid w:val="49F6DA49"/>
    <w:rsid w:val="5909C912"/>
    <w:rsid w:val="59E32A42"/>
    <w:rsid w:val="604BA33F"/>
    <w:rsid w:val="669908FF"/>
    <w:rsid w:val="742A0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887D"/>
  <w15:chartTrackingRefBased/>
  <w15:docId w15:val="{205D326F-63C6-47E7-91BD-B60AB8A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17"/>
  </w:style>
  <w:style w:type="paragraph" w:styleId="Heading1">
    <w:name w:val="heading 1"/>
    <w:basedOn w:val="Normal"/>
    <w:next w:val="Normal"/>
    <w:link w:val="Heading1Char"/>
    <w:uiPriority w:val="9"/>
    <w:qFormat/>
    <w:rsid w:val="009979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9979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9979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979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979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979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979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979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979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35"/>
  </w:style>
  <w:style w:type="paragraph" w:styleId="Footer">
    <w:name w:val="footer"/>
    <w:basedOn w:val="Normal"/>
    <w:link w:val="FooterChar"/>
    <w:uiPriority w:val="99"/>
    <w:unhideWhenUsed/>
    <w:rsid w:val="0099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35"/>
  </w:style>
  <w:style w:type="character" w:customStyle="1" w:styleId="Heading1Char">
    <w:name w:val="Heading 1 Char"/>
    <w:basedOn w:val="DefaultParagraphFont"/>
    <w:link w:val="Heading1"/>
    <w:uiPriority w:val="9"/>
    <w:rsid w:val="0099791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9979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9979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979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979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979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979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979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979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979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979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979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979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97917"/>
    <w:rPr>
      <w:caps/>
      <w:color w:val="404040" w:themeColor="text1" w:themeTint="BF"/>
      <w:spacing w:val="20"/>
      <w:sz w:val="28"/>
      <w:szCs w:val="28"/>
    </w:rPr>
  </w:style>
  <w:style w:type="character" w:styleId="Strong">
    <w:name w:val="Strong"/>
    <w:basedOn w:val="DefaultParagraphFont"/>
    <w:uiPriority w:val="22"/>
    <w:qFormat/>
    <w:rsid w:val="00997917"/>
    <w:rPr>
      <w:b/>
      <w:bCs/>
    </w:rPr>
  </w:style>
  <w:style w:type="character" w:styleId="Emphasis">
    <w:name w:val="Emphasis"/>
    <w:basedOn w:val="DefaultParagraphFont"/>
    <w:uiPriority w:val="20"/>
    <w:qFormat/>
    <w:rsid w:val="00997917"/>
    <w:rPr>
      <w:i/>
      <w:iCs/>
      <w:color w:val="000000" w:themeColor="text1"/>
    </w:rPr>
  </w:style>
  <w:style w:type="paragraph" w:styleId="NoSpacing">
    <w:name w:val="No Spacing"/>
    <w:uiPriority w:val="1"/>
    <w:qFormat/>
    <w:rsid w:val="00997917"/>
    <w:pPr>
      <w:spacing w:after="0" w:line="240" w:lineRule="auto"/>
    </w:pPr>
  </w:style>
  <w:style w:type="paragraph" w:styleId="Quote">
    <w:name w:val="Quote"/>
    <w:basedOn w:val="Normal"/>
    <w:next w:val="Normal"/>
    <w:link w:val="QuoteChar"/>
    <w:uiPriority w:val="29"/>
    <w:qFormat/>
    <w:rsid w:val="009979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979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979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979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97917"/>
    <w:rPr>
      <w:i/>
      <w:iCs/>
      <w:color w:val="595959" w:themeColor="text1" w:themeTint="A6"/>
    </w:rPr>
  </w:style>
  <w:style w:type="character" w:styleId="IntenseEmphasis">
    <w:name w:val="Intense Emphasis"/>
    <w:basedOn w:val="DefaultParagraphFont"/>
    <w:uiPriority w:val="21"/>
    <w:qFormat/>
    <w:rsid w:val="00997917"/>
    <w:rPr>
      <w:b/>
      <w:bCs/>
      <w:i/>
      <w:iCs/>
      <w:caps w:val="0"/>
      <w:smallCaps w:val="0"/>
      <w:strike w:val="0"/>
      <w:dstrike w:val="0"/>
      <w:color w:val="ED7D31" w:themeColor="accent2"/>
    </w:rPr>
  </w:style>
  <w:style w:type="character" w:styleId="SubtleReference">
    <w:name w:val="Subtle Reference"/>
    <w:basedOn w:val="DefaultParagraphFont"/>
    <w:uiPriority w:val="31"/>
    <w:qFormat/>
    <w:rsid w:val="0099791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97917"/>
    <w:rPr>
      <w:b/>
      <w:bCs/>
      <w:caps w:val="0"/>
      <w:smallCaps/>
      <w:color w:val="auto"/>
      <w:spacing w:val="0"/>
      <w:u w:val="single"/>
    </w:rPr>
  </w:style>
  <w:style w:type="character" w:styleId="BookTitle">
    <w:name w:val="Book Title"/>
    <w:basedOn w:val="DefaultParagraphFont"/>
    <w:uiPriority w:val="33"/>
    <w:qFormat/>
    <w:rsid w:val="00997917"/>
    <w:rPr>
      <w:b/>
      <w:bCs/>
      <w:caps w:val="0"/>
      <w:smallCaps/>
      <w:spacing w:val="0"/>
    </w:rPr>
  </w:style>
  <w:style w:type="paragraph" w:styleId="TOCHeading">
    <w:name w:val="TOC Heading"/>
    <w:basedOn w:val="Heading1"/>
    <w:next w:val="Normal"/>
    <w:uiPriority w:val="39"/>
    <w:semiHidden/>
    <w:unhideWhenUsed/>
    <w:qFormat/>
    <w:rsid w:val="00997917"/>
    <w:pPr>
      <w:outlineLvl w:val="9"/>
    </w:pPr>
  </w:style>
  <w:style w:type="table" w:styleId="TableGrid">
    <w:name w:val="Table Grid"/>
    <w:basedOn w:val="TableNormal"/>
    <w:uiPriority w:val="39"/>
    <w:rsid w:val="0099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99791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45522"/>
    <w:pPr>
      <w:ind w:left="720"/>
      <w:contextualSpacing/>
    </w:pPr>
  </w:style>
  <w:style w:type="character" w:styleId="CommentReference">
    <w:name w:val="annotation reference"/>
    <w:basedOn w:val="DefaultParagraphFont"/>
    <w:uiPriority w:val="99"/>
    <w:semiHidden/>
    <w:unhideWhenUsed/>
    <w:rsid w:val="00210853"/>
    <w:rPr>
      <w:sz w:val="16"/>
      <w:szCs w:val="16"/>
    </w:rPr>
  </w:style>
  <w:style w:type="paragraph" w:styleId="CommentText">
    <w:name w:val="annotation text"/>
    <w:basedOn w:val="Normal"/>
    <w:link w:val="CommentTextChar"/>
    <w:uiPriority w:val="99"/>
    <w:semiHidden/>
    <w:unhideWhenUsed/>
    <w:rsid w:val="00210853"/>
    <w:pPr>
      <w:spacing w:line="240" w:lineRule="auto"/>
    </w:pPr>
    <w:rPr>
      <w:sz w:val="20"/>
      <w:szCs w:val="20"/>
    </w:rPr>
  </w:style>
  <w:style w:type="character" w:customStyle="1" w:styleId="CommentTextChar">
    <w:name w:val="Comment Text Char"/>
    <w:basedOn w:val="DefaultParagraphFont"/>
    <w:link w:val="CommentText"/>
    <w:uiPriority w:val="99"/>
    <w:semiHidden/>
    <w:rsid w:val="00210853"/>
    <w:rPr>
      <w:sz w:val="20"/>
      <w:szCs w:val="20"/>
    </w:rPr>
  </w:style>
  <w:style w:type="paragraph" w:styleId="CommentSubject">
    <w:name w:val="annotation subject"/>
    <w:basedOn w:val="CommentText"/>
    <w:next w:val="CommentText"/>
    <w:link w:val="CommentSubjectChar"/>
    <w:uiPriority w:val="99"/>
    <w:semiHidden/>
    <w:unhideWhenUsed/>
    <w:rsid w:val="00210853"/>
    <w:rPr>
      <w:b/>
      <w:bCs/>
    </w:rPr>
  </w:style>
  <w:style w:type="character" w:customStyle="1" w:styleId="CommentSubjectChar">
    <w:name w:val="Comment Subject Char"/>
    <w:basedOn w:val="CommentTextChar"/>
    <w:link w:val="CommentSubject"/>
    <w:uiPriority w:val="99"/>
    <w:semiHidden/>
    <w:rsid w:val="00210853"/>
    <w:rPr>
      <w:b/>
      <w:bCs/>
      <w:sz w:val="20"/>
      <w:szCs w:val="20"/>
    </w:rPr>
  </w:style>
  <w:style w:type="paragraph" w:styleId="BalloonText">
    <w:name w:val="Balloon Text"/>
    <w:basedOn w:val="Normal"/>
    <w:link w:val="BalloonTextChar"/>
    <w:uiPriority w:val="99"/>
    <w:semiHidden/>
    <w:unhideWhenUsed/>
    <w:rsid w:val="0021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53"/>
    <w:rPr>
      <w:rFonts w:ascii="Segoe UI" w:hAnsi="Segoe UI" w:cs="Segoe UI"/>
      <w:sz w:val="18"/>
      <w:szCs w:val="18"/>
    </w:rPr>
  </w:style>
  <w:style w:type="character" w:styleId="Hyperlink">
    <w:name w:val="Hyperlink"/>
    <w:basedOn w:val="DefaultParagraphFont"/>
    <w:uiPriority w:val="99"/>
    <w:unhideWhenUsed/>
    <w:rsid w:val="00210853"/>
    <w:rPr>
      <w:color w:val="0563C1" w:themeColor="hyperlink"/>
      <w:u w:val="single"/>
    </w:rPr>
  </w:style>
  <w:style w:type="character" w:styleId="FollowedHyperlink">
    <w:name w:val="FollowedHyperlink"/>
    <w:basedOn w:val="DefaultParagraphFont"/>
    <w:uiPriority w:val="99"/>
    <w:semiHidden/>
    <w:unhideWhenUsed/>
    <w:rsid w:val="00AA3ED4"/>
    <w:rPr>
      <w:color w:val="954F72" w:themeColor="followedHyperlink"/>
      <w:u w:val="single"/>
    </w:rPr>
  </w:style>
  <w:style w:type="character" w:styleId="UnresolvedMention">
    <w:name w:val="Unresolved Mention"/>
    <w:basedOn w:val="DefaultParagraphFont"/>
    <w:uiPriority w:val="99"/>
    <w:semiHidden/>
    <w:unhideWhenUsed/>
    <w:rsid w:val="000074F6"/>
    <w:rPr>
      <w:color w:val="605E5C"/>
      <w:shd w:val="clear" w:color="auto" w:fill="E1DFDD"/>
    </w:rPr>
  </w:style>
  <w:style w:type="paragraph" w:customStyle="1" w:styleId="paragraph">
    <w:name w:val="paragraph"/>
    <w:basedOn w:val="Normal"/>
    <w:rsid w:val="00A678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67869"/>
  </w:style>
  <w:style w:type="character" w:customStyle="1" w:styleId="eop">
    <w:name w:val="eop"/>
    <w:basedOn w:val="DefaultParagraphFont"/>
    <w:rsid w:val="00A6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64">
      <w:bodyDiv w:val="1"/>
      <w:marLeft w:val="0"/>
      <w:marRight w:val="0"/>
      <w:marTop w:val="0"/>
      <w:marBottom w:val="0"/>
      <w:divBdr>
        <w:top w:val="none" w:sz="0" w:space="0" w:color="auto"/>
        <w:left w:val="none" w:sz="0" w:space="0" w:color="auto"/>
        <w:bottom w:val="none" w:sz="0" w:space="0" w:color="auto"/>
        <w:right w:val="none" w:sz="0" w:space="0" w:color="auto"/>
      </w:divBdr>
    </w:div>
    <w:div w:id="28377537">
      <w:bodyDiv w:val="1"/>
      <w:marLeft w:val="0"/>
      <w:marRight w:val="0"/>
      <w:marTop w:val="0"/>
      <w:marBottom w:val="0"/>
      <w:divBdr>
        <w:top w:val="none" w:sz="0" w:space="0" w:color="auto"/>
        <w:left w:val="none" w:sz="0" w:space="0" w:color="auto"/>
        <w:bottom w:val="none" w:sz="0" w:space="0" w:color="auto"/>
        <w:right w:val="none" w:sz="0" w:space="0" w:color="auto"/>
      </w:divBdr>
    </w:div>
    <w:div w:id="39940420">
      <w:bodyDiv w:val="1"/>
      <w:marLeft w:val="0"/>
      <w:marRight w:val="0"/>
      <w:marTop w:val="0"/>
      <w:marBottom w:val="0"/>
      <w:divBdr>
        <w:top w:val="none" w:sz="0" w:space="0" w:color="auto"/>
        <w:left w:val="none" w:sz="0" w:space="0" w:color="auto"/>
        <w:bottom w:val="none" w:sz="0" w:space="0" w:color="auto"/>
        <w:right w:val="none" w:sz="0" w:space="0" w:color="auto"/>
      </w:divBdr>
    </w:div>
    <w:div w:id="43453082">
      <w:bodyDiv w:val="1"/>
      <w:marLeft w:val="0"/>
      <w:marRight w:val="0"/>
      <w:marTop w:val="0"/>
      <w:marBottom w:val="0"/>
      <w:divBdr>
        <w:top w:val="none" w:sz="0" w:space="0" w:color="auto"/>
        <w:left w:val="none" w:sz="0" w:space="0" w:color="auto"/>
        <w:bottom w:val="none" w:sz="0" w:space="0" w:color="auto"/>
        <w:right w:val="none" w:sz="0" w:space="0" w:color="auto"/>
      </w:divBdr>
    </w:div>
    <w:div w:id="62801063">
      <w:bodyDiv w:val="1"/>
      <w:marLeft w:val="0"/>
      <w:marRight w:val="0"/>
      <w:marTop w:val="0"/>
      <w:marBottom w:val="0"/>
      <w:divBdr>
        <w:top w:val="none" w:sz="0" w:space="0" w:color="auto"/>
        <w:left w:val="none" w:sz="0" w:space="0" w:color="auto"/>
        <w:bottom w:val="none" w:sz="0" w:space="0" w:color="auto"/>
        <w:right w:val="none" w:sz="0" w:space="0" w:color="auto"/>
      </w:divBdr>
    </w:div>
    <w:div w:id="111024046">
      <w:bodyDiv w:val="1"/>
      <w:marLeft w:val="0"/>
      <w:marRight w:val="0"/>
      <w:marTop w:val="0"/>
      <w:marBottom w:val="0"/>
      <w:divBdr>
        <w:top w:val="none" w:sz="0" w:space="0" w:color="auto"/>
        <w:left w:val="none" w:sz="0" w:space="0" w:color="auto"/>
        <w:bottom w:val="none" w:sz="0" w:space="0" w:color="auto"/>
        <w:right w:val="none" w:sz="0" w:space="0" w:color="auto"/>
      </w:divBdr>
    </w:div>
    <w:div w:id="119500131">
      <w:bodyDiv w:val="1"/>
      <w:marLeft w:val="0"/>
      <w:marRight w:val="0"/>
      <w:marTop w:val="0"/>
      <w:marBottom w:val="0"/>
      <w:divBdr>
        <w:top w:val="none" w:sz="0" w:space="0" w:color="auto"/>
        <w:left w:val="none" w:sz="0" w:space="0" w:color="auto"/>
        <w:bottom w:val="none" w:sz="0" w:space="0" w:color="auto"/>
        <w:right w:val="none" w:sz="0" w:space="0" w:color="auto"/>
      </w:divBdr>
    </w:div>
    <w:div w:id="173692574">
      <w:bodyDiv w:val="1"/>
      <w:marLeft w:val="0"/>
      <w:marRight w:val="0"/>
      <w:marTop w:val="0"/>
      <w:marBottom w:val="0"/>
      <w:divBdr>
        <w:top w:val="none" w:sz="0" w:space="0" w:color="auto"/>
        <w:left w:val="none" w:sz="0" w:space="0" w:color="auto"/>
        <w:bottom w:val="none" w:sz="0" w:space="0" w:color="auto"/>
        <w:right w:val="none" w:sz="0" w:space="0" w:color="auto"/>
      </w:divBdr>
    </w:div>
    <w:div w:id="208342215">
      <w:bodyDiv w:val="1"/>
      <w:marLeft w:val="0"/>
      <w:marRight w:val="0"/>
      <w:marTop w:val="0"/>
      <w:marBottom w:val="0"/>
      <w:divBdr>
        <w:top w:val="none" w:sz="0" w:space="0" w:color="auto"/>
        <w:left w:val="none" w:sz="0" w:space="0" w:color="auto"/>
        <w:bottom w:val="none" w:sz="0" w:space="0" w:color="auto"/>
        <w:right w:val="none" w:sz="0" w:space="0" w:color="auto"/>
      </w:divBdr>
    </w:div>
    <w:div w:id="209192163">
      <w:bodyDiv w:val="1"/>
      <w:marLeft w:val="0"/>
      <w:marRight w:val="0"/>
      <w:marTop w:val="0"/>
      <w:marBottom w:val="0"/>
      <w:divBdr>
        <w:top w:val="none" w:sz="0" w:space="0" w:color="auto"/>
        <w:left w:val="none" w:sz="0" w:space="0" w:color="auto"/>
        <w:bottom w:val="none" w:sz="0" w:space="0" w:color="auto"/>
        <w:right w:val="none" w:sz="0" w:space="0" w:color="auto"/>
      </w:divBdr>
    </w:div>
    <w:div w:id="253973097">
      <w:bodyDiv w:val="1"/>
      <w:marLeft w:val="0"/>
      <w:marRight w:val="0"/>
      <w:marTop w:val="0"/>
      <w:marBottom w:val="0"/>
      <w:divBdr>
        <w:top w:val="none" w:sz="0" w:space="0" w:color="auto"/>
        <w:left w:val="none" w:sz="0" w:space="0" w:color="auto"/>
        <w:bottom w:val="none" w:sz="0" w:space="0" w:color="auto"/>
        <w:right w:val="none" w:sz="0" w:space="0" w:color="auto"/>
      </w:divBdr>
    </w:div>
    <w:div w:id="262347344">
      <w:bodyDiv w:val="1"/>
      <w:marLeft w:val="0"/>
      <w:marRight w:val="0"/>
      <w:marTop w:val="0"/>
      <w:marBottom w:val="0"/>
      <w:divBdr>
        <w:top w:val="none" w:sz="0" w:space="0" w:color="auto"/>
        <w:left w:val="none" w:sz="0" w:space="0" w:color="auto"/>
        <w:bottom w:val="none" w:sz="0" w:space="0" w:color="auto"/>
        <w:right w:val="none" w:sz="0" w:space="0" w:color="auto"/>
      </w:divBdr>
    </w:div>
    <w:div w:id="294070233">
      <w:bodyDiv w:val="1"/>
      <w:marLeft w:val="0"/>
      <w:marRight w:val="0"/>
      <w:marTop w:val="0"/>
      <w:marBottom w:val="0"/>
      <w:divBdr>
        <w:top w:val="none" w:sz="0" w:space="0" w:color="auto"/>
        <w:left w:val="none" w:sz="0" w:space="0" w:color="auto"/>
        <w:bottom w:val="none" w:sz="0" w:space="0" w:color="auto"/>
        <w:right w:val="none" w:sz="0" w:space="0" w:color="auto"/>
      </w:divBdr>
    </w:div>
    <w:div w:id="306865370">
      <w:bodyDiv w:val="1"/>
      <w:marLeft w:val="0"/>
      <w:marRight w:val="0"/>
      <w:marTop w:val="0"/>
      <w:marBottom w:val="0"/>
      <w:divBdr>
        <w:top w:val="none" w:sz="0" w:space="0" w:color="auto"/>
        <w:left w:val="none" w:sz="0" w:space="0" w:color="auto"/>
        <w:bottom w:val="none" w:sz="0" w:space="0" w:color="auto"/>
        <w:right w:val="none" w:sz="0" w:space="0" w:color="auto"/>
      </w:divBdr>
    </w:div>
    <w:div w:id="356127475">
      <w:bodyDiv w:val="1"/>
      <w:marLeft w:val="0"/>
      <w:marRight w:val="0"/>
      <w:marTop w:val="0"/>
      <w:marBottom w:val="0"/>
      <w:divBdr>
        <w:top w:val="none" w:sz="0" w:space="0" w:color="auto"/>
        <w:left w:val="none" w:sz="0" w:space="0" w:color="auto"/>
        <w:bottom w:val="none" w:sz="0" w:space="0" w:color="auto"/>
        <w:right w:val="none" w:sz="0" w:space="0" w:color="auto"/>
      </w:divBdr>
    </w:div>
    <w:div w:id="385883002">
      <w:bodyDiv w:val="1"/>
      <w:marLeft w:val="0"/>
      <w:marRight w:val="0"/>
      <w:marTop w:val="0"/>
      <w:marBottom w:val="0"/>
      <w:divBdr>
        <w:top w:val="none" w:sz="0" w:space="0" w:color="auto"/>
        <w:left w:val="none" w:sz="0" w:space="0" w:color="auto"/>
        <w:bottom w:val="none" w:sz="0" w:space="0" w:color="auto"/>
        <w:right w:val="none" w:sz="0" w:space="0" w:color="auto"/>
      </w:divBdr>
    </w:div>
    <w:div w:id="392047795">
      <w:bodyDiv w:val="1"/>
      <w:marLeft w:val="0"/>
      <w:marRight w:val="0"/>
      <w:marTop w:val="0"/>
      <w:marBottom w:val="0"/>
      <w:divBdr>
        <w:top w:val="none" w:sz="0" w:space="0" w:color="auto"/>
        <w:left w:val="none" w:sz="0" w:space="0" w:color="auto"/>
        <w:bottom w:val="none" w:sz="0" w:space="0" w:color="auto"/>
        <w:right w:val="none" w:sz="0" w:space="0" w:color="auto"/>
      </w:divBdr>
    </w:div>
    <w:div w:id="464733923">
      <w:bodyDiv w:val="1"/>
      <w:marLeft w:val="0"/>
      <w:marRight w:val="0"/>
      <w:marTop w:val="0"/>
      <w:marBottom w:val="0"/>
      <w:divBdr>
        <w:top w:val="none" w:sz="0" w:space="0" w:color="auto"/>
        <w:left w:val="none" w:sz="0" w:space="0" w:color="auto"/>
        <w:bottom w:val="none" w:sz="0" w:space="0" w:color="auto"/>
        <w:right w:val="none" w:sz="0" w:space="0" w:color="auto"/>
      </w:divBdr>
    </w:div>
    <w:div w:id="493374850">
      <w:bodyDiv w:val="1"/>
      <w:marLeft w:val="0"/>
      <w:marRight w:val="0"/>
      <w:marTop w:val="0"/>
      <w:marBottom w:val="0"/>
      <w:divBdr>
        <w:top w:val="none" w:sz="0" w:space="0" w:color="auto"/>
        <w:left w:val="none" w:sz="0" w:space="0" w:color="auto"/>
        <w:bottom w:val="none" w:sz="0" w:space="0" w:color="auto"/>
        <w:right w:val="none" w:sz="0" w:space="0" w:color="auto"/>
      </w:divBdr>
    </w:div>
    <w:div w:id="506142273">
      <w:bodyDiv w:val="1"/>
      <w:marLeft w:val="0"/>
      <w:marRight w:val="0"/>
      <w:marTop w:val="0"/>
      <w:marBottom w:val="0"/>
      <w:divBdr>
        <w:top w:val="none" w:sz="0" w:space="0" w:color="auto"/>
        <w:left w:val="none" w:sz="0" w:space="0" w:color="auto"/>
        <w:bottom w:val="none" w:sz="0" w:space="0" w:color="auto"/>
        <w:right w:val="none" w:sz="0" w:space="0" w:color="auto"/>
      </w:divBdr>
    </w:div>
    <w:div w:id="510529286">
      <w:bodyDiv w:val="1"/>
      <w:marLeft w:val="0"/>
      <w:marRight w:val="0"/>
      <w:marTop w:val="0"/>
      <w:marBottom w:val="0"/>
      <w:divBdr>
        <w:top w:val="none" w:sz="0" w:space="0" w:color="auto"/>
        <w:left w:val="none" w:sz="0" w:space="0" w:color="auto"/>
        <w:bottom w:val="none" w:sz="0" w:space="0" w:color="auto"/>
        <w:right w:val="none" w:sz="0" w:space="0" w:color="auto"/>
      </w:divBdr>
    </w:div>
    <w:div w:id="527260589">
      <w:bodyDiv w:val="1"/>
      <w:marLeft w:val="0"/>
      <w:marRight w:val="0"/>
      <w:marTop w:val="0"/>
      <w:marBottom w:val="0"/>
      <w:divBdr>
        <w:top w:val="none" w:sz="0" w:space="0" w:color="auto"/>
        <w:left w:val="none" w:sz="0" w:space="0" w:color="auto"/>
        <w:bottom w:val="none" w:sz="0" w:space="0" w:color="auto"/>
        <w:right w:val="none" w:sz="0" w:space="0" w:color="auto"/>
      </w:divBdr>
    </w:div>
    <w:div w:id="539898816">
      <w:bodyDiv w:val="1"/>
      <w:marLeft w:val="0"/>
      <w:marRight w:val="0"/>
      <w:marTop w:val="0"/>
      <w:marBottom w:val="0"/>
      <w:divBdr>
        <w:top w:val="none" w:sz="0" w:space="0" w:color="auto"/>
        <w:left w:val="none" w:sz="0" w:space="0" w:color="auto"/>
        <w:bottom w:val="none" w:sz="0" w:space="0" w:color="auto"/>
        <w:right w:val="none" w:sz="0" w:space="0" w:color="auto"/>
      </w:divBdr>
    </w:div>
    <w:div w:id="545220431">
      <w:bodyDiv w:val="1"/>
      <w:marLeft w:val="0"/>
      <w:marRight w:val="0"/>
      <w:marTop w:val="0"/>
      <w:marBottom w:val="0"/>
      <w:divBdr>
        <w:top w:val="none" w:sz="0" w:space="0" w:color="auto"/>
        <w:left w:val="none" w:sz="0" w:space="0" w:color="auto"/>
        <w:bottom w:val="none" w:sz="0" w:space="0" w:color="auto"/>
        <w:right w:val="none" w:sz="0" w:space="0" w:color="auto"/>
      </w:divBdr>
    </w:div>
    <w:div w:id="559557328">
      <w:bodyDiv w:val="1"/>
      <w:marLeft w:val="0"/>
      <w:marRight w:val="0"/>
      <w:marTop w:val="0"/>
      <w:marBottom w:val="0"/>
      <w:divBdr>
        <w:top w:val="none" w:sz="0" w:space="0" w:color="auto"/>
        <w:left w:val="none" w:sz="0" w:space="0" w:color="auto"/>
        <w:bottom w:val="none" w:sz="0" w:space="0" w:color="auto"/>
        <w:right w:val="none" w:sz="0" w:space="0" w:color="auto"/>
      </w:divBdr>
    </w:div>
    <w:div w:id="570046255">
      <w:bodyDiv w:val="1"/>
      <w:marLeft w:val="0"/>
      <w:marRight w:val="0"/>
      <w:marTop w:val="0"/>
      <w:marBottom w:val="0"/>
      <w:divBdr>
        <w:top w:val="none" w:sz="0" w:space="0" w:color="auto"/>
        <w:left w:val="none" w:sz="0" w:space="0" w:color="auto"/>
        <w:bottom w:val="none" w:sz="0" w:space="0" w:color="auto"/>
        <w:right w:val="none" w:sz="0" w:space="0" w:color="auto"/>
      </w:divBdr>
    </w:div>
    <w:div w:id="573394685">
      <w:bodyDiv w:val="1"/>
      <w:marLeft w:val="0"/>
      <w:marRight w:val="0"/>
      <w:marTop w:val="0"/>
      <w:marBottom w:val="0"/>
      <w:divBdr>
        <w:top w:val="none" w:sz="0" w:space="0" w:color="auto"/>
        <w:left w:val="none" w:sz="0" w:space="0" w:color="auto"/>
        <w:bottom w:val="none" w:sz="0" w:space="0" w:color="auto"/>
        <w:right w:val="none" w:sz="0" w:space="0" w:color="auto"/>
      </w:divBdr>
    </w:div>
    <w:div w:id="590436605">
      <w:bodyDiv w:val="1"/>
      <w:marLeft w:val="0"/>
      <w:marRight w:val="0"/>
      <w:marTop w:val="0"/>
      <w:marBottom w:val="0"/>
      <w:divBdr>
        <w:top w:val="none" w:sz="0" w:space="0" w:color="auto"/>
        <w:left w:val="none" w:sz="0" w:space="0" w:color="auto"/>
        <w:bottom w:val="none" w:sz="0" w:space="0" w:color="auto"/>
        <w:right w:val="none" w:sz="0" w:space="0" w:color="auto"/>
      </w:divBdr>
    </w:div>
    <w:div w:id="625308268">
      <w:bodyDiv w:val="1"/>
      <w:marLeft w:val="0"/>
      <w:marRight w:val="0"/>
      <w:marTop w:val="0"/>
      <w:marBottom w:val="0"/>
      <w:divBdr>
        <w:top w:val="none" w:sz="0" w:space="0" w:color="auto"/>
        <w:left w:val="none" w:sz="0" w:space="0" w:color="auto"/>
        <w:bottom w:val="none" w:sz="0" w:space="0" w:color="auto"/>
        <w:right w:val="none" w:sz="0" w:space="0" w:color="auto"/>
      </w:divBdr>
    </w:div>
    <w:div w:id="626471418">
      <w:bodyDiv w:val="1"/>
      <w:marLeft w:val="0"/>
      <w:marRight w:val="0"/>
      <w:marTop w:val="0"/>
      <w:marBottom w:val="0"/>
      <w:divBdr>
        <w:top w:val="none" w:sz="0" w:space="0" w:color="auto"/>
        <w:left w:val="none" w:sz="0" w:space="0" w:color="auto"/>
        <w:bottom w:val="none" w:sz="0" w:space="0" w:color="auto"/>
        <w:right w:val="none" w:sz="0" w:space="0" w:color="auto"/>
      </w:divBdr>
    </w:div>
    <w:div w:id="628585397">
      <w:bodyDiv w:val="1"/>
      <w:marLeft w:val="0"/>
      <w:marRight w:val="0"/>
      <w:marTop w:val="0"/>
      <w:marBottom w:val="0"/>
      <w:divBdr>
        <w:top w:val="none" w:sz="0" w:space="0" w:color="auto"/>
        <w:left w:val="none" w:sz="0" w:space="0" w:color="auto"/>
        <w:bottom w:val="none" w:sz="0" w:space="0" w:color="auto"/>
        <w:right w:val="none" w:sz="0" w:space="0" w:color="auto"/>
      </w:divBdr>
      <w:divsChild>
        <w:div w:id="1866675013">
          <w:marLeft w:val="0"/>
          <w:marRight w:val="0"/>
          <w:marTop w:val="0"/>
          <w:marBottom w:val="0"/>
          <w:divBdr>
            <w:top w:val="none" w:sz="0" w:space="0" w:color="auto"/>
            <w:left w:val="none" w:sz="0" w:space="0" w:color="auto"/>
            <w:bottom w:val="none" w:sz="0" w:space="0" w:color="auto"/>
            <w:right w:val="none" w:sz="0" w:space="0" w:color="auto"/>
          </w:divBdr>
        </w:div>
        <w:div w:id="2066878037">
          <w:marLeft w:val="0"/>
          <w:marRight w:val="0"/>
          <w:marTop w:val="0"/>
          <w:marBottom w:val="0"/>
          <w:divBdr>
            <w:top w:val="none" w:sz="0" w:space="0" w:color="auto"/>
            <w:left w:val="none" w:sz="0" w:space="0" w:color="auto"/>
            <w:bottom w:val="none" w:sz="0" w:space="0" w:color="auto"/>
            <w:right w:val="none" w:sz="0" w:space="0" w:color="auto"/>
          </w:divBdr>
        </w:div>
        <w:div w:id="1904024176">
          <w:marLeft w:val="0"/>
          <w:marRight w:val="0"/>
          <w:marTop w:val="0"/>
          <w:marBottom w:val="0"/>
          <w:divBdr>
            <w:top w:val="none" w:sz="0" w:space="0" w:color="auto"/>
            <w:left w:val="none" w:sz="0" w:space="0" w:color="auto"/>
            <w:bottom w:val="none" w:sz="0" w:space="0" w:color="auto"/>
            <w:right w:val="none" w:sz="0" w:space="0" w:color="auto"/>
          </w:divBdr>
        </w:div>
        <w:div w:id="997878474">
          <w:marLeft w:val="0"/>
          <w:marRight w:val="0"/>
          <w:marTop w:val="0"/>
          <w:marBottom w:val="0"/>
          <w:divBdr>
            <w:top w:val="none" w:sz="0" w:space="0" w:color="auto"/>
            <w:left w:val="none" w:sz="0" w:space="0" w:color="auto"/>
            <w:bottom w:val="none" w:sz="0" w:space="0" w:color="auto"/>
            <w:right w:val="none" w:sz="0" w:space="0" w:color="auto"/>
          </w:divBdr>
        </w:div>
        <w:div w:id="1072003838">
          <w:marLeft w:val="0"/>
          <w:marRight w:val="0"/>
          <w:marTop w:val="0"/>
          <w:marBottom w:val="0"/>
          <w:divBdr>
            <w:top w:val="none" w:sz="0" w:space="0" w:color="auto"/>
            <w:left w:val="none" w:sz="0" w:space="0" w:color="auto"/>
            <w:bottom w:val="none" w:sz="0" w:space="0" w:color="auto"/>
            <w:right w:val="none" w:sz="0" w:space="0" w:color="auto"/>
          </w:divBdr>
        </w:div>
        <w:div w:id="152071835">
          <w:marLeft w:val="0"/>
          <w:marRight w:val="0"/>
          <w:marTop w:val="0"/>
          <w:marBottom w:val="0"/>
          <w:divBdr>
            <w:top w:val="none" w:sz="0" w:space="0" w:color="auto"/>
            <w:left w:val="none" w:sz="0" w:space="0" w:color="auto"/>
            <w:bottom w:val="none" w:sz="0" w:space="0" w:color="auto"/>
            <w:right w:val="none" w:sz="0" w:space="0" w:color="auto"/>
          </w:divBdr>
        </w:div>
        <w:div w:id="1530801861">
          <w:marLeft w:val="0"/>
          <w:marRight w:val="0"/>
          <w:marTop w:val="0"/>
          <w:marBottom w:val="0"/>
          <w:divBdr>
            <w:top w:val="none" w:sz="0" w:space="0" w:color="auto"/>
            <w:left w:val="none" w:sz="0" w:space="0" w:color="auto"/>
            <w:bottom w:val="none" w:sz="0" w:space="0" w:color="auto"/>
            <w:right w:val="none" w:sz="0" w:space="0" w:color="auto"/>
          </w:divBdr>
        </w:div>
        <w:div w:id="2020161797">
          <w:marLeft w:val="0"/>
          <w:marRight w:val="0"/>
          <w:marTop w:val="0"/>
          <w:marBottom w:val="0"/>
          <w:divBdr>
            <w:top w:val="none" w:sz="0" w:space="0" w:color="auto"/>
            <w:left w:val="none" w:sz="0" w:space="0" w:color="auto"/>
            <w:bottom w:val="none" w:sz="0" w:space="0" w:color="auto"/>
            <w:right w:val="none" w:sz="0" w:space="0" w:color="auto"/>
          </w:divBdr>
        </w:div>
        <w:div w:id="532307161">
          <w:marLeft w:val="0"/>
          <w:marRight w:val="0"/>
          <w:marTop w:val="0"/>
          <w:marBottom w:val="0"/>
          <w:divBdr>
            <w:top w:val="none" w:sz="0" w:space="0" w:color="auto"/>
            <w:left w:val="none" w:sz="0" w:space="0" w:color="auto"/>
            <w:bottom w:val="none" w:sz="0" w:space="0" w:color="auto"/>
            <w:right w:val="none" w:sz="0" w:space="0" w:color="auto"/>
          </w:divBdr>
        </w:div>
      </w:divsChild>
    </w:div>
    <w:div w:id="639575264">
      <w:bodyDiv w:val="1"/>
      <w:marLeft w:val="0"/>
      <w:marRight w:val="0"/>
      <w:marTop w:val="0"/>
      <w:marBottom w:val="0"/>
      <w:divBdr>
        <w:top w:val="none" w:sz="0" w:space="0" w:color="auto"/>
        <w:left w:val="none" w:sz="0" w:space="0" w:color="auto"/>
        <w:bottom w:val="none" w:sz="0" w:space="0" w:color="auto"/>
        <w:right w:val="none" w:sz="0" w:space="0" w:color="auto"/>
      </w:divBdr>
    </w:div>
    <w:div w:id="677773929">
      <w:bodyDiv w:val="1"/>
      <w:marLeft w:val="0"/>
      <w:marRight w:val="0"/>
      <w:marTop w:val="0"/>
      <w:marBottom w:val="0"/>
      <w:divBdr>
        <w:top w:val="none" w:sz="0" w:space="0" w:color="auto"/>
        <w:left w:val="none" w:sz="0" w:space="0" w:color="auto"/>
        <w:bottom w:val="none" w:sz="0" w:space="0" w:color="auto"/>
        <w:right w:val="none" w:sz="0" w:space="0" w:color="auto"/>
      </w:divBdr>
    </w:div>
    <w:div w:id="679307990">
      <w:bodyDiv w:val="1"/>
      <w:marLeft w:val="0"/>
      <w:marRight w:val="0"/>
      <w:marTop w:val="0"/>
      <w:marBottom w:val="0"/>
      <w:divBdr>
        <w:top w:val="none" w:sz="0" w:space="0" w:color="auto"/>
        <w:left w:val="none" w:sz="0" w:space="0" w:color="auto"/>
        <w:bottom w:val="none" w:sz="0" w:space="0" w:color="auto"/>
        <w:right w:val="none" w:sz="0" w:space="0" w:color="auto"/>
      </w:divBdr>
    </w:div>
    <w:div w:id="731582637">
      <w:bodyDiv w:val="1"/>
      <w:marLeft w:val="0"/>
      <w:marRight w:val="0"/>
      <w:marTop w:val="0"/>
      <w:marBottom w:val="0"/>
      <w:divBdr>
        <w:top w:val="none" w:sz="0" w:space="0" w:color="auto"/>
        <w:left w:val="none" w:sz="0" w:space="0" w:color="auto"/>
        <w:bottom w:val="none" w:sz="0" w:space="0" w:color="auto"/>
        <w:right w:val="none" w:sz="0" w:space="0" w:color="auto"/>
      </w:divBdr>
    </w:div>
    <w:div w:id="762602457">
      <w:bodyDiv w:val="1"/>
      <w:marLeft w:val="0"/>
      <w:marRight w:val="0"/>
      <w:marTop w:val="0"/>
      <w:marBottom w:val="0"/>
      <w:divBdr>
        <w:top w:val="none" w:sz="0" w:space="0" w:color="auto"/>
        <w:left w:val="none" w:sz="0" w:space="0" w:color="auto"/>
        <w:bottom w:val="none" w:sz="0" w:space="0" w:color="auto"/>
        <w:right w:val="none" w:sz="0" w:space="0" w:color="auto"/>
      </w:divBdr>
    </w:div>
    <w:div w:id="792480455">
      <w:bodyDiv w:val="1"/>
      <w:marLeft w:val="0"/>
      <w:marRight w:val="0"/>
      <w:marTop w:val="0"/>
      <w:marBottom w:val="0"/>
      <w:divBdr>
        <w:top w:val="none" w:sz="0" w:space="0" w:color="auto"/>
        <w:left w:val="none" w:sz="0" w:space="0" w:color="auto"/>
        <w:bottom w:val="none" w:sz="0" w:space="0" w:color="auto"/>
        <w:right w:val="none" w:sz="0" w:space="0" w:color="auto"/>
      </w:divBdr>
    </w:div>
    <w:div w:id="825049522">
      <w:bodyDiv w:val="1"/>
      <w:marLeft w:val="0"/>
      <w:marRight w:val="0"/>
      <w:marTop w:val="0"/>
      <w:marBottom w:val="0"/>
      <w:divBdr>
        <w:top w:val="none" w:sz="0" w:space="0" w:color="auto"/>
        <w:left w:val="none" w:sz="0" w:space="0" w:color="auto"/>
        <w:bottom w:val="none" w:sz="0" w:space="0" w:color="auto"/>
        <w:right w:val="none" w:sz="0" w:space="0" w:color="auto"/>
      </w:divBdr>
    </w:div>
    <w:div w:id="869142869">
      <w:bodyDiv w:val="1"/>
      <w:marLeft w:val="0"/>
      <w:marRight w:val="0"/>
      <w:marTop w:val="0"/>
      <w:marBottom w:val="0"/>
      <w:divBdr>
        <w:top w:val="none" w:sz="0" w:space="0" w:color="auto"/>
        <w:left w:val="none" w:sz="0" w:space="0" w:color="auto"/>
        <w:bottom w:val="none" w:sz="0" w:space="0" w:color="auto"/>
        <w:right w:val="none" w:sz="0" w:space="0" w:color="auto"/>
      </w:divBdr>
    </w:div>
    <w:div w:id="892620120">
      <w:bodyDiv w:val="1"/>
      <w:marLeft w:val="0"/>
      <w:marRight w:val="0"/>
      <w:marTop w:val="0"/>
      <w:marBottom w:val="0"/>
      <w:divBdr>
        <w:top w:val="none" w:sz="0" w:space="0" w:color="auto"/>
        <w:left w:val="none" w:sz="0" w:space="0" w:color="auto"/>
        <w:bottom w:val="none" w:sz="0" w:space="0" w:color="auto"/>
        <w:right w:val="none" w:sz="0" w:space="0" w:color="auto"/>
      </w:divBdr>
    </w:div>
    <w:div w:id="900024609">
      <w:bodyDiv w:val="1"/>
      <w:marLeft w:val="0"/>
      <w:marRight w:val="0"/>
      <w:marTop w:val="0"/>
      <w:marBottom w:val="0"/>
      <w:divBdr>
        <w:top w:val="none" w:sz="0" w:space="0" w:color="auto"/>
        <w:left w:val="none" w:sz="0" w:space="0" w:color="auto"/>
        <w:bottom w:val="none" w:sz="0" w:space="0" w:color="auto"/>
        <w:right w:val="none" w:sz="0" w:space="0" w:color="auto"/>
      </w:divBdr>
    </w:div>
    <w:div w:id="974068294">
      <w:bodyDiv w:val="1"/>
      <w:marLeft w:val="0"/>
      <w:marRight w:val="0"/>
      <w:marTop w:val="0"/>
      <w:marBottom w:val="0"/>
      <w:divBdr>
        <w:top w:val="none" w:sz="0" w:space="0" w:color="auto"/>
        <w:left w:val="none" w:sz="0" w:space="0" w:color="auto"/>
        <w:bottom w:val="none" w:sz="0" w:space="0" w:color="auto"/>
        <w:right w:val="none" w:sz="0" w:space="0" w:color="auto"/>
      </w:divBdr>
    </w:div>
    <w:div w:id="987443807">
      <w:bodyDiv w:val="1"/>
      <w:marLeft w:val="0"/>
      <w:marRight w:val="0"/>
      <w:marTop w:val="0"/>
      <w:marBottom w:val="0"/>
      <w:divBdr>
        <w:top w:val="none" w:sz="0" w:space="0" w:color="auto"/>
        <w:left w:val="none" w:sz="0" w:space="0" w:color="auto"/>
        <w:bottom w:val="none" w:sz="0" w:space="0" w:color="auto"/>
        <w:right w:val="none" w:sz="0" w:space="0" w:color="auto"/>
      </w:divBdr>
    </w:div>
    <w:div w:id="988048602">
      <w:bodyDiv w:val="1"/>
      <w:marLeft w:val="0"/>
      <w:marRight w:val="0"/>
      <w:marTop w:val="0"/>
      <w:marBottom w:val="0"/>
      <w:divBdr>
        <w:top w:val="none" w:sz="0" w:space="0" w:color="auto"/>
        <w:left w:val="none" w:sz="0" w:space="0" w:color="auto"/>
        <w:bottom w:val="none" w:sz="0" w:space="0" w:color="auto"/>
        <w:right w:val="none" w:sz="0" w:space="0" w:color="auto"/>
      </w:divBdr>
    </w:div>
    <w:div w:id="1000963031">
      <w:bodyDiv w:val="1"/>
      <w:marLeft w:val="0"/>
      <w:marRight w:val="0"/>
      <w:marTop w:val="0"/>
      <w:marBottom w:val="0"/>
      <w:divBdr>
        <w:top w:val="none" w:sz="0" w:space="0" w:color="auto"/>
        <w:left w:val="none" w:sz="0" w:space="0" w:color="auto"/>
        <w:bottom w:val="none" w:sz="0" w:space="0" w:color="auto"/>
        <w:right w:val="none" w:sz="0" w:space="0" w:color="auto"/>
      </w:divBdr>
    </w:div>
    <w:div w:id="1016034656">
      <w:bodyDiv w:val="1"/>
      <w:marLeft w:val="0"/>
      <w:marRight w:val="0"/>
      <w:marTop w:val="0"/>
      <w:marBottom w:val="0"/>
      <w:divBdr>
        <w:top w:val="none" w:sz="0" w:space="0" w:color="auto"/>
        <w:left w:val="none" w:sz="0" w:space="0" w:color="auto"/>
        <w:bottom w:val="none" w:sz="0" w:space="0" w:color="auto"/>
        <w:right w:val="none" w:sz="0" w:space="0" w:color="auto"/>
      </w:divBdr>
    </w:div>
    <w:div w:id="1021052494">
      <w:bodyDiv w:val="1"/>
      <w:marLeft w:val="0"/>
      <w:marRight w:val="0"/>
      <w:marTop w:val="0"/>
      <w:marBottom w:val="0"/>
      <w:divBdr>
        <w:top w:val="none" w:sz="0" w:space="0" w:color="auto"/>
        <w:left w:val="none" w:sz="0" w:space="0" w:color="auto"/>
        <w:bottom w:val="none" w:sz="0" w:space="0" w:color="auto"/>
        <w:right w:val="none" w:sz="0" w:space="0" w:color="auto"/>
      </w:divBdr>
    </w:div>
    <w:div w:id="1031229868">
      <w:bodyDiv w:val="1"/>
      <w:marLeft w:val="0"/>
      <w:marRight w:val="0"/>
      <w:marTop w:val="0"/>
      <w:marBottom w:val="0"/>
      <w:divBdr>
        <w:top w:val="none" w:sz="0" w:space="0" w:color="auto"/>
        <w:left w:val="none" w:sz="0" w:space="0" w:color="auto"/>
        <w:bottom w:val="none" w:sz="0" w:space="0" w:color="auto"/>
        <w:right w:val="none" w:sz="0" w:space="0" w:color="auto"/>
      </w:divBdr>
    </w:div>
    <w:div w:id="1059480545">
      <w:bodyDiv w:val="1"/>
      <w:marLeft w:val="0"/>
      <w:marRight w:val="0"/>
      <w:marTop w:val="0"/>
      <w:marBottom w:val="0"/>
      <w:divBdr>
        <w:top w:val="none" w:sz="0" w:space="0" w:color="auto"/>
        <w:left w:val="none" w:sz="0" w:space="0" w:color="auto"/>
        <w:bottom w:val="none" w:sz="0" w:space="0" w:color="auto"/>
        <w:right w:val="none" w:sz="0" w:space="0" w:color="auto"/>
      </w:divBdr>
    </w:div>
    <w:div w:id="1074816880">
      <w:bodyDiv w:val="1"/>
      <w:marLeft w:val="0"/>
      <w:marRight w:val="0"/>
      <w:marTop w:val="0"/>
      <w:marBottom w:val="0"/>
      <w:divBdr>
        <w:top w:val="none" w:sz="0" w:space="0" w:color="auto"/>
        <w:left w:val="none" w:sz="0" w:space="0" w:color="auto"/>
        <w:bottom w:val="none" w:sz="0" w:space="0" w:color="auto"/>
        <w:right w:val="none" w:sz="0" w:space="0" w:color="auto"/>
      </w:divBdr>
    </w:div>
    <w:div w:id="1144587861">
      <w:bodyDiv w:val="1"/>
      <w:marLeft w:val="0"/>
      <w:marRight w:val="0"/>
      <w:marTop w:val="0"/>
      <w:marBottom w:val="0"/>
      <w:divBdr>
        <w:top w:val="none" w:sz="0" w:space="0" w:color="auto"/>
        <w:left w:val="none" w:sz="0" w:space="0" w:color="auto"/>
        <w:bottom w:val="none" w:sz="0" w:space="0" w:color="auto"/>
        <w:right w:val="none" w:sz="0" w:space="0" w:color="auto"/>
      </w:divBdr>
    </w:div>
    <w:div w:id="1156989836">
      <w:bodyDiv w:val="1"/>
      <w:marLeft w:val="0"/>
      <w:marRight w:val="0"/>
      <w:marTop w:val="0"/>
      <w:marBottom w:val="0"/>
      <w:divBdr>
        <w:top w:val="none" w:sz="0" w:space="0" w:color="auto"/>
        <w:left w:val="none" w:sz="0" w:space="0" w:color="auto"/>
        <w:bottom w:val="none" w:sz="0" w:space="0" w:color="auto"/>
        <w:right w:val="none" w:sz="0" w:space="0" w:color="auto"/>
      </w:divBdr>
    </w:div>
    <w:div w:id="1183668255">
      <w:bodyDiv w:val="1"/>
      <w:marLeft w:val="0"/>
      <w:marRight w:val="0"/>
      <w:marTop w:val="0"/>
      <w:marBottom w:val="0"/>
      <w:divBdr>
        <w:top w:val="none" w:sz="0" w:space="0" w:color="auto"/>
        <w:left w:val="none" w:sz="0" w:space="0" w:color="auto"/>
        <w:bottom w:val="none" w:sz="0" w:space="0" w:color="auto"/>
        <w:right w:val="none" w:sz="0" w:space="0" w:color="auto"/>
      </w:divBdr>
    </w:div>
    <w:div w:id="1219241870">
      <w:bodyDiv w:val="1"/>
      <w:marLeft w:val="0"/>
      <w:marRight w:val="0"/>
      <w:marTop w:val="0"/>
      <w:marBottom w:val="0"/>
      <w:divBdr>
        <w:top w:val="none" w:sz="0" w:space="0" w:color="auto"/>
        <w:left w:val="none" w:sz="0" w:space="0" w:color="auto"/>
        <w:bottom w:val="none" w:sz="0" w:space="0" w:color="auto"/>
        <w:right w:val="none" w:sz="0" w:space="0" w:color="auto"/>
      </w:divBdr>
    </w:div>
    <w:div w:id="1227493966">
      <w:bodyDiv w:val="1"/>
      <w:marLeft w:val="0"/>
      <w:marRight w:val="0"/>
      <w:marTop w:val="0"/>
      <w:marBottom w:val="0"/>
      <w:divBdr>
        <w:top w:val="none" w:sz="0" w:space="0" w:color="auto"/>
        <w:left w:val="none" w:sz="0" w:space="0" w:color="auto"/>
        <w:bottom w:val="none" w:sz="0" w:space="0" w:color="auto"/>
        <w:right w:val="none" w:sz="0" w:space="0" w:color="auto"/>
      </w:divBdr>
    </w:div>
    <w:div w:id="1237790396">
      <w:bodyDiv w:val="1"/>
      <w:marLeft w:val="0"/>
      <w:marRight w:val="0"/>
      <w:marTop w:val="0"/>
      <w:marBottom w:val="0"/>
      <w:divBdr>
        <w:top w:val="none" w:sz="0" w:space="0" w:color="auto"/>
        <w:left w:val="none" w:sz="0" w:space="0" w:color="auto"/>
        <w:bottom w:val="none" w:sz="0" w:space="0" w:color="auto"/>
        <w:right w:val="none" w:sz="0" w:space="0" w:color="auto"/>
      </w:divBdr>
    </w:div>
    <w:div w:id="1261334567">
      <w:bodyDiv w:val="1"/>
      <w:marLeft w:val="0"/>
      <w:marRight w:val="0"/>
      <w:marTop w:val="0"/>
      <w:marBottom w:val="0"/>
      <w:divBdr>
        <w:top w:val="none" w:sz="0" w:space="0" w:color="auto"/>
        <w:left w:val="none" w:sz="0" w:space="0" w:color="auto"/>
        <w:bottom w:val="none" w:sz="0" w:space="0" w:color="auto"/>
        <w:right w:val="none" w:sz="0" w:space="0" w:color="auto"/>
      </w:divBdr>
    </w:div>
    <w:div w:id="1280181156">
      <w:bodyDiv w:val="1"/>
      <w:marLeft w:val="0"/>
      <w:marRight w:val="0"/>
      <w:marTop w:val="0"/>
      <w:marBottom w:val="0"/>
      <w:divBdr>
        <w:top w:val="none" w:sz="0" w:space="0" w:color="auto"/>
        <w:left w:val="none" w:sz="0" w:space="0" w:color="auto"/>
        <w:bottom w:val="none" w:sz="0" w:space="0" w:color="auto"/>
        <w:right w:val="none" w:sz="0" w:space="0" w:color="auto"/>
      </w:divBdr>
    </w:div>
    <w:div w:id="1344237127">
      <w:bodyDiv w:val="1"/>
      <w:marLeft w:val="0"/>
      <w:marRight w:val="0"/>
      <w:marTop w:val="0"/>
      <w:marBottom w:val="0"/>
      <w:divBdr>
        <w:top w:val="none" w:sz="0" w:space="0" w:color="auto"/>
        <w:left w:val="none" w:sz="0" w:space="0" w:color="auto"/>
        <w:bottom w:val="none" w:sz="0" w:space="0" w:color="auto"/>
        <w:right w:val="none" w:sz="0" w:space="0" w:color="auto"/>
      </w:divBdr>
    </w:div>
    <w:div w:id="1445492969">
      <w:bodyDiv w:val="1"/>
      <w:marLeft w:val="0"/>
      <w:marRight w:val="0"/>
      <w:marTop w:val="0"/>
      <w:marBottom w:val="0"/>
      <w:divBdr>
        <w:top w:val="none" w:sz="0" w:space="0" w:color="auto"/>
        <w:left w:val="none" w:sz="0" w:space="0" w:color="auto"/>
        <w:bottom w:val="none" w:sz="0" w:space="0" w:color="auto"/>
        <w:right w:val="none" w:sz="0" w:space="0" w:color="auto"/>
      </w:divBdr>
    </w:div>
    <w:div w:id="1471248445">
      <w:bodyDiv w:val="1"/>
      <w:marLeft w:val="0"/>
      <w:marRight w:val="0"/>
      <w:marTop w:val="0"/>
      <w:marBottom w:val="0"/>
      <w:divBdr>
        <w:top w:val="none" w:sz="0" w:space="0" w:color="auto"/>
        <w:left w:val="none" w:sz="0" w:space="0" w:color="auto"/>
        <w:bottom w:val="none" w:sz="0" w:space="0" w:color="auto"/>
        <w:right w:val="none" w:sz="0" w:space="0" w:color="auto"/>
      </w:divBdr>
    </w:div>
    <w:div w:id="1512260119">
      <w:bodyDiv w:val="1"/>
      <w:marLeft w:val="0"/>
      <w:marRight w:val="0"/>
      <w:marTop w:val="0"/>
      <w:marBottom w:val="0"/>
      <w:divBdr>
        <w:top w:val="none" w:sz="0" w:space="0" w:color="auto"/>
        <w:left w:val="none" w:sz="0" w:space="0" w:color="auto"/>
        <w:bottom w:val="none" w:sz="0" w:space="0" w:color="auto"/>
        <w:right w:val="none" w:sz="0" w:space="0" w:color="auto"/>
      </w:divBdr>
    </w:div>
    <w:div w:id="1546870161">
      <w:bodyDiv w:val="1"/>
      <w:marLeft w:val="0"/>
      <w:marRight w:val="0"/>
      <w:marTop w:val="0"/>
      <w:marBottom w:val="0"/>
      <w:divBdr>
        <w:top w:val="none" w:sz="0" w:space="0" w:color="auto"/>
        <w:left w:val="none" w:sz="0" w:space="0" w:color="auto"/>
        <w:bottom w:val="none" w:sz="0" w:space="0" w:color="auto"/>
        <w:right w:val="none" w:sz="0" w:space="0" w:color="auto"/>
      </w:divBdr>
    </w:div>
    <w:div w:id="1554655176">
      <w:bodyDiv w:val="1"/>
      <w:marLeft w:val="0"/>
      <w:marRight w:val="0"/>
      <w:marTop w:val="0"/>
      <w:marBottom w:val="0"/>
      <w:divBdr>
        <w:top w:val="none" w:sz="0" w:space="0" w:color="auto"/>
        <w:left w:val="none" w:sz="0" w:space="0" w:color="auto"/>
        <w:bottom w:val="none" w:sz="0" w:space="0" w:color="auto"/>
        <w:right w:val="none" w:sz="0" w:space="0" w:color="auto"/>
      </w:divBdr>
    </w:div>
    <w:div w:id="1600872641">
      <w:bodyDiv w:val="1"/>
      <w:marLeft w:val="0"/>
      <w:marRight w:val="0"/>
      <w:marTop w:val="0"/>
      <w:marBottom w:val="0"/>
      <w:divBdr>
        <w:top w:val="none" w:sz="0" w:space="0" w:color="auto"/>
        <w:left w:val="none" w:sz="0" w:space="0" w:color="auto"/>
        <w:bottom w:val="none" w:sz="0" w:space="0" w:color="auto"/>
        <w:right w:val="none" w:sz="0" w:space="0" w:color="auto"/>
      </w:divBdr>
    </w:div>
    <w:div w:id="1607997817">
      <w:bodyDiv w:val="1"/>
      <w:marLeft w:val="0"/>
      <w:marRight w:val="0"/>
      <w:marTop w:val="0"/>
      <w:marBottom w:val="0"/>
      <w:divBdr>
        <w:top w:val="none" w:sz="0" w:space="0" w:color="auto"/>
        <w:left w:val="none" w:sz="0" w:space="0" w:color="auto"/>
        <w:bottom w:val="none" w:sz="0" w:space="0" w:color="auto"/>
        <w:right w:val="none" w:sz="0" w:space="0" w:color="auto"/>
      </w:divBdr>
    </w:div>
    <w:div w:id="1647590813">
      <w:bodyDiv w:val="1"/>
      <w:marLeft w:val="0"/>
      <w:marRight w:val="0"/>
      <w:marTop w:val="0"/>
      <w:marBottom w:val="0"/>
      <w:divBdr>
        <w:top w:val="none" w:sz="0" w:space="0" w:color="auto"/>
        <w:left w:val="none" w:sz="0" w:space="0" w:color="auto"/>
        <w:bottom w:val="none" w:sz="0" w:space="0" w:color="auto"/>
        <w:right w:val="none" w:sz="0" w:space="0" w:color="auto"/>
      </w:divBdr>
    </w:div>
    <w:div w:id="1686050715">
      <w:bodyDiv w:val="1"/>
      <w:marLeft w:val="0"/>
      <w:marRight w:val="0"/>
      <w:marTop w:val="0"/>
      <w:marBottom w:val="0"/>
      <w:divBdr>
        <w:top w:val="none" w:sz="0" w:space="0" w:color="auto"/>
        <w:left w:val="none" w:sz="0" w:space="0" w:color="auto"/>
        <w:bottom w:val="none" w:sz="0" w:space="0" w:color="auto"/>
        <w:right w:val="none" w:sz="0" w:space="0" w:color="auto"/>
      </w:divBdr>
    </w:div>
    <w:div w:id="1687828727">
      <w:bodyDiv w:val="1"/>
      <w:marLeft w:val="0"/>
      <w:marRight w:val="0"/>
      <w:marTop w:val="0"/>
      <w:marBottom w:val="0"/>
      <w:divBdr>
        <w:top w:val="none" w:sz="0" w:space="0" w:color="auto"/>
        <w:left w:val="none" w:sz="0" w:space="0" w:color="auto"/>
        <w:bottom w:val="none" w:sz="0" w:space="0" w:color="auto"/>
        <w:right w:val="none" w:sz="0" w:space="0" w:color="auto"/>
      </w:divBdr>
    </w:div>
    <w:div w:id="1708331026">
      <w:bodyDiv w:val="1"/>
      <w:marLeft w:val="0"/>
      <w:marRight w:val="0"/>
      <w:marTop w:val="0"/>
      <w:marBottom w:val="0"/>
      <w:divBdr>
        <w:top w:val="none" w:sz="0" w:space="0" w:color="auto"/>
        <w:left w:val="none" w:sz="0" w:space="0" w:color="auto"/>
        <w:bottom w:val="none" w:sz="0" w:space="0" w:color="auto"/>
        <w:right w:val="none" w:sz="0" w:space="0" w:color="auto"/>
      </w:divBdr>
    </w:div>
    <w:div w:id="1732458322">
      <w:bodyDiv w:val="1"/>
      <w:marLeft w:val="0"/>
      <w:marRight w:val="0"/>
      <w:marTop w:val="0"/>
      <w:marBottom w:val="0"/>
      <w:divBdr>
        <w:top w:val="none" w:sz="0" w:space="0" w:color="auto"/>
        <w:left w:val="none" w:sz="0" w:space="0" w:color="auto"/>
        <w:bottom w:val="none" w:sz="0" w:space="0" w:color="auto"/>
        <w:right w:val="none" w:sz="0" w:space="0" w:color="auto"/>
      </w:divBdr>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
    <w:div w:id="1832528919">
      <w:bodyDiv w:val="1"/>
      <w:marLeft w:val="0"/>
      <w:marRight w:val="0"/>
      <w:marTop w:val="0"/>
      <w:marBottom w:val="0"/>
      <w:divBdr>
        <w:top w:val="none" w:sz="0" w:space="0" w:color="auto"/>
        <w:left w:val="none" w:sz="0" w:space="0" w:color="auto"/>
        <w:bottom w:val="none" w:sz="0" w:space="0" w:color="auto"/>
        <w:right w:val="none" w:sz="0" w:space="0" w:color="auto"/>
      </w:divBdr>
    </w:div>
    <w:div w:id="1835605560">
      <w:bodyDiv w:val="1"/>
      <w:marLeft w:val="0"/>
      <w:marRight w:val="0"/>
      <w:marTop w:val="0"/>
      <w:marBottom w:val="0"/>
      <w:divBdr>
        <w:top w:val="none" w:sz="0" w:space="0" w:color="auto"/>
        <w:left w:val="none" w:sz="0" w:space="0" w:color="auto"/>
        <w:bottom w:val="none" w:sz="0" w:space="0" w:color="auto"/>
        <w:right w:val="none" w:sz="0" w:space="0" w:color="auto"/>
      </w:divBdr>
    </w:div>
    <w:div w:id="1848209996">
      <w:bodyDiv w:val="1"/>
      <w:marLeft w:val="0"/>
      <w:marRight w:val="0"/>
      <w:marTop w:val="0"/>
      <w:marBottom w:val="0"/>
      <w:divBdr>
        <w:top w:val="none" w:sz="0" w:space="0" w:color="auto"/>
        <w:left w:val="none" w:sz="0" w:space="0" w:color="auto"/>
        <w:bottom w:val="none" w:sz="0" w:space="0" w:color="auto"/>
        <w:right w:val="none" w:sz="0" w:space="0" w:color="auto"/>
      </w:divBdr>
    </w:div>
    <w:div w:id="1892111952">
      <w:bodyDiv w:val="1"/>
      <w:marLeft w:val="0"/>
      <w:marRight w:val="0"/>
      <w:marTop w:val="0"/>
      <w:marBottom w:val="0"/>
      <w:divBdr>
        <w:top w:val="none" w:sz="0" w:space="0" w:color="auto"/>
        <w:left w:val="none" w:sz="0" w:space="0" w:color="auto"/>
        <w:bottom w:val="none" w:sz="0" w:space="0" w:color="auto"/>
        <w:right w:val="none" w:sz="0" w:space="0" w:color="auto"/>
      </w:divBdr>
    </w:div>
    <w:div w:id="1905025663">
      <w:bodyDiv w:val="1"/>
      <w:marLeft w:val="0"/>
      <w:marRight w:val="0"/>
      <w:marTop w:val="0"/>
      <w:marBottom w:val="0"/>
      <w:divBdr>
        <w:top w:val="none" w:sz="0" w:space="0" w:color="auto"/>
        <w:left w:val="none" w:sz="0" w:space="0" w:color="auto"/>
        <w:bottom w:val="none" w:sz="0" w:space="0" w:color="auto"/>
        <w:right w:val="none" w:sz="0" w:space="0" w:color="auto"/>
      </w:divBdr>
    </w:div>
    <w:div w:id="1940287282">
      <w:bodyDiv w:val="1"/>
      <w:marLeft w:val="0"/>
      <w:marRight w:val="0"/>
      <w:marTop w:val="0"/>
      <w:marBottom w:val="0"/>
      <w:divBdr>
        <w:top w:val="none" w:sz="0" w:space="0" w:color="auto"/>
        <w:left w:val="none" w:sz="0" w:space="0" w:color="auto"/>
        <w:bottom w:val="none" w:sz="0" w:space="0" w:color="auto"/>
        <w:right w:val="none" w:sz="0" w:space="0" w:color="auto"/>
      </w:divBdr>
    </w:div>
    <w:div w:id="2052341646">
      <w:bodyDiv w:val="1"/>
      <w:marLeft w:val="0"/>
      <w:marRight w:val="0"/>
      <w:marTop w:val="0"/>
      <w:marBottom w:val="0"/>
      <w:divBdr>
        <w:top w:val="none" w:sz="0" w:space="0" w:color="auto"/>
        <w:left w:val="none" w:sz="0" w:space="0" w:color="auto"/>
        <w:bottom w:val="none" w:sz="0" w:space="0" w:color="auto"/>
        <w:right w:val="none" w:sz="0" w:space="0" w:color="auto"/>
      </w:divBdr>
    </w:div>
    <w:div w:id="2084058489">
      <w:bodyDiv w:val="1"/>
      <w:marLeft w:val="0"/>
      <w:marRight w:val="0"/>
      <w:marTop w:val="0"/>
      <w:marBottom w:val="0"/>
      <w:divBdr>
        <w:top w:val="none" w:sz="0" w:space="0" w:color="auto"/>
        <w:left w:val="none" w:sz="0" w:space="0" w:color="auto"/>
        <w:bottom w:val="none" w:sz="0" w:space="0" w:color="auto"/>
        <w:right w:val="none" w:sz="0" w:space="0" w:color="auto"/>
      </w:divBdr>
    </w:div>
    <w:div w:id="2120447108">
      <w:bodyDiv w:val="1"/>
      <w:marLeft w:val="0"/>
      <w:marRight w:val="0"/>
      <w:marTop w:val="0"/>
      <w:marBottom w:val="0"/>
      <w:divBdr>
        <w:top w:val="none" w:sz="0" w:space="0" w:color="auto"/>
        <w:left w:val="none" w:sz="0" w:space="0" w:color="auto"/>
        <w:bottom w:val="none" w:sz="0" w:space="0" w:color="auto"/>
        <w:right w:val="none" w:sz="0" w:space="0" w:color="auto"/>
      </w:divBdr>
    </w:div>
    <w:div w:id="21305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antigen-detection-in-the-diagnosis-of-sars-cov-2infection-using-rapid-immunoassays" TargetMode="External"/><Relationship Id="rId18" Type="http://schemas.openxmlformats.org/officeDocument/2006/relationships/hyperlink" Target="https://www.who.int/diagnostics_laboratory/EUL/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dc.gov/coronavirus/2019-ncov/communication/guidance-list.html?Sort=Date%3A%3Adesc" TargetMode="External"/><Relationship Id="rId7" Type="http://schemas.openxmlformats.org/officeDocument/2006/relationships/settings" Target="settings.xml"/><Relationship Id="rId12" Type="http://schemas.openxmlformats.org/officeDocument/2006/relationships/hyperlink" Target="https://www.finddx.org/covid-19/sarscov2-eval-antigen/" TargetMode="External"/><Relationship Id="rId17" Type="http://schemas.openxmlformats.org/officeDocument/2006/relationships/hyperlink" Target="https://www.who.int/publications/i/item/diagnostic-testing-for-sars-cov-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ho.int/emergencies/diseases/novel-coronavirus-2019/technical-guidance" TargetMode="External"/><Relationship Id="rId20" Type="http://schemas.openxmlformats.org/officeDocument/2006/relationships/hyperlink" Target="https://www.who.int/medical_devices/priority/COVID_19_PP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hranelibrary.com/cdsr/doi/10.1002/14651858.CD013705/full" TargetMode="External"/><Relationship Id="rId24" Type="http://schemas.openxmlformats.org/officeDocument/2006/relationships/hyperlink" Target="https://extranet.who.int/hslp" TargetMode="External"/><Relationship Id="rId5" Type="http://schemas.openxmlformats.org/officeDocument/2006/relationships/numbering" Target="numbering.xml"/><Relationship Id="rId15" Type="http://schemas.openxmlformats.org/officeDocument/2006/relationships/hyperlink" Target="https://www.who.int/publications/i/item/antigen-detection-in-the-diagnosis-of-sars-cov-2infection-using-rapid-immunoassays" TargetMode="External"/><Relationship Id="rId23" Type="http://schemas.openxmlformats.org/officeDocument/2006/relationships/hyperlink" Target="https://extranet.who.int/hslp/?q=content/terms-u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o.int/diagnostics_laboratory/postmarke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medical_devices/priority/COVID_19_PPE/en/" TargetMode="External"/><Relationship Id="rId22" Type="http://schemas.openxmlformats.org/officeDocument/2006/relationships/hyperlink" Target="https://africacdc.org/download/covid-19-guidance-on-use-of-personal-protective-equipment-for-different-clinical-settings-and-activit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3" ma:contentTypeDescription="Create a new document." ma:contentTypeScope="" ma:versionID="6da1ab3fdc7949a51a2bbbfd6a8e6a85">
  <xsd:schema xmlns:xsd="http://www.w3.org/2001/XMLSchema" xmlns:xs="http://www.w3.org/2001/XMLSchema" xmlns:p="http://schemas.microsoft.com/office/2006/metadata/properties" xmlns:ns3="0b20a213-df17-4e56-abb9-25e675dfe243" xmlns:ns4="50abfce2-7de5-4274-91db-6f247c946576" targetNamespace="http://schemas.microsoft.com/office/2006/metadata/properties" ma:root="true" ma:fieldsID="b285354fe15bfe8dace5d868a6344c63" ns3:_="" ns4:_="">
    <xsd:import namespace="0b20a213-df17-4e56-abb9-25e675dfe243"/>
    <xsd:import namespace="50abfce2-7de5-4274-91db-6f247c946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bfce2-7de5-4274-91db-6f247c9465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3F03D-67E2-452D-9D22-A5F0C43AF483}">
  <ds:schemaRefs>
    <ds:schemaRef ds:uri="http://schemas.microsoft.com/sharepoint/v3/contenttype/forms"/>
  </ds:schemaRefs>
</ds:datastoreItem>
</file>

<file path=customXml/itemProps2.xml><?xml version="1.0" encoding="utf-8"?>
<ds:datastoreItem xmlns:ds="http://schemas.openxmlformats.org/officeDocument/2006/customXml" ds:itemID="{0CC6744B-AD44-4FFF-AB0A-9B4061E46AD2}">
  <ds:schemaRefs>
    <ds:schemaRef ds:uri="http://schemas.openxmlformats.org/officeDocument/2006/bibliography"/>
  </ds:schemaRefs>
</ds:datastoreItem>
</file>

<file path=customXml/itemProps3.xml><?xml version="1.0" encoding="utf-8"?>
<ds:datastoreItem xmlns:ds="http://schemas.openxmlformats.org/officeDocument/2006/customXml" ds:itemID="{B3B71BFC-BE73-44A8-9BBA-3BCBD762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50abfce2-7de5-4274-91db-6f247c946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6DFB4-DA9A-4F1D-8F4C-4B29AD0ED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HANESH</dc:creator>
  <cp:keywords/>
  <dc:description/>
  <cp:lastModifiedBy>natacha milhano</cp:lastModifiedBy>
  <cp:revision>3</cp:revision>
  <dcterms:created xsi:type="dcterms:W3CDTF">2022-09-20T13:19:00Z</dcterms:created>
  <dcterms:modified xsi:type="dcterms:W3CDTF">2022-09-20T13:32:00Z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