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25E" w:rsidRPr="007827D0" w:rsidRDefault="00D8125E" w:rsidP="00D8125E">
      <w:pPr>
        <w:shd w:val="clear" w:color="auto" w:fill="FFFFFF"/>
        <w:spacing w:after="150" w:line="300" w:lineRule="atLeast"/>
        <w:jc w:val="center"/>
        <w:rPr>
          <w:rFonts w:ascii="Helvetica" w:eastAsia="Times New Roman" w:hAnsi="Helvetica" w:cs="Helvetica"/>
          <w:b/>
          <w:color w:val="333333"/>
          <w:sz w:val="56"/>
          <w:szCs w:val="21"/>
          <w:lang w:eastAsia="fr-FR"/>
        </w:rPr>
      </w:pPr>
      <w:r w:rsidRPr="007827D0">
        <w:rPr>
          <w:rFonts w:ascii="Helvetica" w:eastAsia="Times New Roman" w:hAnsi="Helvetica" w:cs="Helvetica"/>
          <w:b/>
          <w:color w:val="333333"/>
          <w:sz w:val="56"/>
          <w:szCs w:val="21"/>
          <w:lang w:eastAsia="fr-FR"/>
        </w:rPr>
        <w:t>Communique de presse</w:t>
      </w:r>
      <w:r w:rsidR="007827D0" w:rsidRPr="007827D0">
        <w:rPr>
          <w:rFonts w:ascii="Helvetica" w:eastAsia="Times New Roman" w:hAnsi="Helvetica" w:cs="Helvetica"/>
          <w:b/>
          <w:color w:val="333333"/>
          <w:sz w:val="56"/>
          <w:szCs w:val="21"/>
          <w:lang w:eastAsia="fr-FR"/>
        </w:rPr>
        <w:t xml:space="preserve"> N°1</w:t>
      </w:r>
    </w:p>
    <w:p w:rsidR="00D8125E" w:rsidRDefault="00D8125E" w:rsidP="006D20F2">
      <w:pPr>
        <w:shd w:val="clear" w:color="auto" w:fill="FFFFFF"/>
        <w:spacing w:after="150" w:line="300" w:lineRule="atLeast"/>
        <w:jc w:val="both"/>
        <w:rPr>
          <w:rFonts w:ascii="Helvetica" w:eastAsia="Times New Roman" w:hAnsi="Helvetica" w:cs="Helvetica"/>
          <w:color w:val="333333"/>
          <w:sz w:val="21"/>
          <w:szCs w:val="21"/>
          <w:lang w:eastAsia="fr-FR"/>
        </w:rPr>
      </w:pPr>
    </w:p>
    <w:p w:rsidR="006D20F2" w:rsidRPr="006D20F2" w:rsidRDefault="006D20F2" w:rsidP="006D20F2">
      <w:pPr>
        <w:shd w:val="clear" w:color="auto" w:fill="FFFFFF"/>
        <w:spacing w:after="150" w:line="300" w:lineRule="atLeast"/>
        <w:jc w:val="both"/>
        <w:rPr>
          <w:rFonts w:ascii="Helvetica" w:eastAsia="Times New Roman" w:hAnsi="Helvetica" w:cs="Helvetica"/>
          <w:color w:val="333333"/>
          <w:sz w:val="21"/>
          <w:szCs w:val="21"/>
          <w:lang w:eastAsia="fr-FR"/>
        </w:rPr>
      </w:pPr>
      <w:r>
        <w:rPr>
          <w:rFonts w:ascii="Helvetica" w:eastAsia="Times New Roman" w:hAnsi="Helvetica" w:cs="Helvetica"/>
          <w:color w:val="333333"/>
          <w:sz w:val="21"/>
          <w:szCs w:val="21"/>
          <w:lang w:eastAsia="fr-FR"/>
        </w:rPr>
        <w:t>Le pays X</w:t>
      </w:r>
      <w:r w:rsidRPr="006D20F2">
        <w:rPr>
          <w:rFonts w:ascii="Helvetica" w:eastAsia="Times New Roman" w:hAnsi="Helvetica" w:cs="Helvetica"/>
          <w:color w:val="333333"/>
          <w:sz w:val="21"/>
          <w:szCs w:val="21"/>
          <w:lang w:eastAsia="fr-FR"/>
        </w:rPr>
        <w:t xml:space="preserve"> souffre de la pire épidémie de choléra dans l’histoire mondiale récente. Cette épidémie est due à une déficience da</w:t>
      </w:r>
      <w:r>
        <w:rPr>
          <w:rFonts w:ascii="Helvetica" w:eastAsia="Times New Roman" w:hAnsi="Helvetica" w:cs="Helvetica"/>
          <w:color w:val="333333"/>
          <w:sz w:val="21"/>
          <w:szCs w:val="21"/>
          <w:lang w:eastAsia="fr-FR"/>
        </w:rPr>
        <w:t xml:space="preserve">ns le traitement des ordures dans deux villages. </w:t>
      </w:r>
      <w:r w:rsidRPr="006D20F2">
        <w:rPr>
          <w:rFonts w:ascii="Helvetica" w:eastAsia="Times New Roman" w:hAnsi="Helvetica" w:cs="Helvetica"/>
          <w:color w:val="333333"/>
          <w:sz w:val="21"/>
          <w:szCs w:val="21"/>
          <w:lang w:eastAsia="fr-FR"/>
        </w:rPr>
        <w:t xml:space="preserve">La souche </w:t>
      </w:r>
      <w:r>
        <w:rPr>
          <w:rFonts w:ascii="Helvetica" w:eastAsia="Times New Roman" w:hAnsi="Helvetica" w:cs="Helvetica"/>
          <w:color w:val="333333"/>
          <w:sz w:val="21"/>
          <w:szCs w:val="21"/>
          <w:lang w:eastAsia="fr-FR"/>
        </w:rPr>
        <w:t>du virus se serait répandue dans la rivière</w:t>
      </w:r>
      <w:r w:rsidRPr="006D20F2">
        <w:rPr>
          <w:rFonts w:ascii="Helvetica" w:eastAsia="Times New Roman" w:hAnsi="Helvetica" w:cs="Helvetica"/>
          <w:color w:val="333333"/>
          <w:sz w:val="21"/>
          <w:szCs w:val="21"/>
          <w:lang w:eastAsia="fr-FR"/>
        </w:rPr>
        <w:t>, dont l’eau est utilisée pour laver, cuisiner et boire dans une grande partie du pays.</w:t>
      </w:r>
    </w:p>
    <w:p w:rsidR="006D20F2" w:rsidRPr="006D20F2" w:rsidRDefault="0010725F" w:rsidP="006D20F2">
      <w:pPr>
        <w:shd w:val="clear" w:color="auto" w:fill="FFFFFF"/>
        <w:spacing w:after="150" w:line="300" w:lineRule="atLeast"/>
        <w:jc w:val="both"/>
        <w:rPr>
          <w:rFonts w:ascii="Helvetica" w:eastAsia="Times New Roman" w:hAnsi="Helvetica" w:cs="Helvetica"/>
          <w:color w:val="333333"/>
          <w:sz w:val="21"/>
          <w:szCs w:val="21"/>
          <w:lang w:eastAsia="fr-FR"/>
        </w:rPr>
      </w:pPr>
      <w:hyperlink r:id="rId5" w:history="1">
        <w:r w:rsidR="006D20F2" w:rsidRPr="006D20F2">
          <w:rPr>
            <w:rFonts w:ascii="Helvetica" w:eastAsia="Times New Roman" w:hAnsi="Helvetica" w:cs="Helvetica"/>
            <w:sz w:val="21"/>
            <w:szCs w:val="21"/>
            <w:lang w:eastAsia="fr-FR"/>
          </w:rPr>
          <w:t>Le plan</w:t>
        </w:r>
      </w:hyperlink>
      <w:r w:rsidR="006D20F2" w:rsidRPr="006D20F2">
        <w:rPr>
          <w:rFonts w:ascii="Helvetica" w:eastAsia="Times New Roman" w:hAnsi="Helvetica" w:cs="Helvetica"/>
          <w:sz w:val="21"/>
          <w:szCs w:val="21"/>
          <w:lang w:eastAsia="fr-FR"/>
        </w:rPr>
        <w:t> </w:t>
      </w:r>
      <w:r w:rsidR="006D20F2" w:rsidRPr="006D20F2">
        <w:rPr>
          <w:rFonts w:ascii="Helvetica" w:eastAsia="Times New Roman" w:hAnsi="Helvetica" w:cs="Helvetica"/>
          <w:color w:val="333333"/>
          <w:sz w:val="21"/>
          <w:szCs w:val="21"/>
          <w:lang w:eastAsia="fr-FR"/>
        </w:rPr>
        <w:t>prévoit des étapes de court, moyen et long terme en trois phases, chacune avec des objectifs spécifiques, dans le but de dépasser la crise actuelle et d’améliorer considérablement le système des ea</w:t>
      </w:r>
      <w:r w:rsidR="006D20F2">
        <w:rPr>
          <w:rFonts w:ascii="Helvetica" w:eastAsia="Times New Roman" w:hAnsi="Helvetica" w:cs="Helvetica"/>
          <w:color w:val="333333"/>
          <w:sz w:val="21"/>
          <w:szCs w:val="21"/>
          <w:lang w:eastAsia="fr-FR"/>
        </w:rPr>
        <w:t>ux et du traitement des eaux dans le pays X</w:t>
      </w:r>
      <w:r w:rsidR="006D20F2" w:rsidRPr="006D20F2">
        <w:rPr>
          <w:rFonts w:ascii="Helvetica" w:eastAsia="Times New Roman" w:hAnsi="Helvetica" w:cs="Helvetica"/>
          <w:color w:val="333333"/>
          <w:sz w:val="21"/>
          <w:szCs w:val="21"/>
          <w:lang w:eastAsia="fr-FR"/>
        </w:rPr>
        <w:t xml:space="preserve"> pour prévenir de futures catastrophes. Deux ans plus tard, seulement 9,5% du budget a été réuni</w:t>
      </w:r>
      <w:r w:rsidR="006D20F2">
        <w:rPr>
          <w:rFonts w:ascii="Helvetica" w:eastAsia="Times New Roman" w:hAnsi="Helvetica" w:cs="Helvetica"/>
          <w:color w:val="333333"/>
          <w:sz w:val="21"/>
          <w:szCs w:val="21"/>
          <w:lang w:eastAsia="fr-FR"/>
        </w:rPr>
        <w:t xml:space="preserve">, et les formations planifiées n’ont pas été réalisées. De plus, les médicaments pour la prise en charge des malades connaissent fréquemment des ruptures.  </w:t>
      </w:r>
    </w:p>
    <w:p w:rsidR="006D20F2" w:rsidRPr="006D20F2" w:rsidRDefault="006D20F2" w:rsidP="00D8125E">
      <w:pPr>
        <w:shd w:val="clear" w:color="auto" w:fill="FFFFFF"/>
        <w:spacing w:after="150"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Durant les deux premières années d’action contre l’épidémie de choléra, seulement 2,5% du budget d’urgence choléra, ont été gérés par la Direction Nationale de l’Eau Potable et de l’Assainissement haïtienne (DINEPA).</w:t>
      </w:r>
    </w:p>
    <w:p w:rsidR="006D20F2" w:rsidRPr="006D20F2" w:rsidRDefault="006D20F2" w:rsidP="00D8125E">
      <w:pPr>
        <w:shd w:val="clear" w:color="auto" w:fill="FFFFFF"/>
        <w:spacing w:after="150"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 xml:space="preserve">Sans financement adéquat à la disposition du Ministère de la Santé Publique et de la Population (MSPP) et d’autres agences, l’épidémie de choléra continue de tuer les </w:t>
      </w:r>
      <w:r>
        <w:rPr>
          <w:rFonts w:ascii="Helvetica" w:eastAsia="Times New Roman" w:hAnsi="Helvetica" w:cs="Helvetica"/>
          <w:color w:val="333333"/>
          <w:sz w:val="21"/>
          <w:szCs w:val="21"/>
          <w:lang w:eastAsia="fr-FR"/>
        </w:rPr>
        <w:t>personnes</w:t>
      </w:r>
      <w:r w:rsidRPr="006D20F2">
        <w:rPr>
          <w:rFonts w:ascii="Helvetica" w:eastAsia="Times New Roman" w:hAnsi="Helvetica" w:cs="Helvetica"/>
          <w:color w:val="333333"/>
          <w:sz w:val="21"/>
          <w:szCs w:val="21"/>
          <w:lang w:eastAsia="fr-FR"/>
        </w:rPr>
        <w:t xml:space="preserve"> les plus vulnérables</w:t>
      </w:r>
      <w:r>
        <w:rPr>
          <w:rFonts w:ascii="Helvetica" w:eastAsia="Times New Roman" w:hAnsi="Helvetica" w:cs="Helvetica"/>
          <w:color w:val="333333"/>
          <w:sz w:val="21"/>
          <w:szCs w:val="21"/>
          <w:lang w:eastAsia="fr-FR"/>
        </w:rPr>
        <w:t>, particulièrement</w:t>
      </w:r>
      <w:r w:rsidR="00AD2ECC">
        <w:rPr>
          <w:rFonts w:ascii="Helvetica" w:eastAsia="Times New Roman" w:hAnsi="Helvetica" w:cs="Helvetica"/>
          <w:color w:val="333333"/>
          <w:sz w:val="21"/>
          <w:szCs w:val="21"/>
          <w:lang w:eastAsia="fr-FR"/>
        </w:rPr>
        <w:t xml:space="preserve"> les enfants de moins de 05 ans. </w:t>
      </w:r>
      <w:r w:rsidRPr="006D20F2">
        <w:rPr>
          <w:rFonts w:ascii="Helvetica" w:eastAsia="Times New Roman" w:hAnsi="Helvetica" w:cs="Helvetica"/>
          <w:color w:val="333333"/>
          <w:sz w:val="21"/>
          <w:szCs w:val="21"/>
          <w:lang w:eastAsia="fr-FR"/>
        </w:rPr>
        <w:t>À la date d</w:t>
      </w:r>
      <w:r>
        <w:rPr>
          <w:rFonts w:ascii="Helvetica" w:eastAsia="Times New Roman" w:hAnsi="Helvetica" w:cs="Helvetica"/>
          <w:color w:val="333333"/>
          <w:sz w:val="21"/>
          <w:szCs w:val="21"/>
          <w:lang w:eastAsia="fr-FR"/>
        </w:rPr>
        <w:t>u 15</w:t>
      </w:r>
      <w:r w:rsidRPr="006D20F2">
        <w:rPr>
          <w:rFonts w:ascii="Helvetica" w:eastAsia="Times New Roman" w:hAnsi="Helvetica" w:cs="Helvetica"/>
          <w:color w:val="333333"/>
          <w:sz w:val="21"/>
          <w:szCs w:val="21"/>
          <w:lang w:eastAsia="fr-FR"/>
        </w:rPr>
        <w:t xml:space="preserve"> décembre 2013, plus de 695</w:t>
      </w:r>
      <w:r>
        <w:rPr>
          <w:rFonts w:ascii="Helvetica" w:eastAsia="Times New Roman" w:hAnsi="Helvetica" w:cs="Helvetica"/>
          <w:color w:val="333333"/>
          <w:sz w:val="21"/>
          <w:szCs w:val="21"/>
          <w:lang w:eastAsia="fr-FR"/>
        </w:rPr>
        <w:t xml:space="preserve"> cas ont été notifiés et 1 décès constaté dans un des 2 villages les plus touchés.</w:t>
      </w:r>
    </w:p>
    <w:p w:rsidR="006D20F2" w:rsidRPr="006D20F2" w:rsidRDefault="006D20F2" w:rsidP="00D8125E">
      <w:pPr>
        <w:shd w:val="clear" w:color="auto" w:fill="FFFFFF"/>
        <w:spacing w:after="150"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Le M</w:t>
      </w:r>
      <w:r>
        <w:rPr>
          <w:rFonts w:ascii="Helvetica" w:eastAsia="Times New Roman" w:hAnsi="Helvetica" w:cs="Helvetica"/>
          <w:color w:val="333333"/>
          <w:sz w:val="21"/>
          <w:szCs w:val="21"/>
          <w:lang w:eastAsia="fr-FR"/>
        </w:rPr>
        <w:t>inistère de la santé a lancé un appel aux partenaires afin qu’ils viennent en aide au pays. Il leur est demandé de</w:t>
      </w:r>
      <w:r w:rsidRPr="006D20F2">
        <w:rPr>
          <w:rFonts w:ascii="Helvetica" w:eastAsia="Times New Roman" w:hAnsi="Helvetica" w:cs="Helvetica"/>
          <w:color w:val="333333"/>
          <w:sz w:val="21"/>
          <w:szCs w:val="21"/>
          <w:lang w:eastAsia="fr-FR"/>
        </w:rPr>
        <w:t> :</w:t>
      </w:r>
    </w:p>
    <w:p w:rsidR="006D20F2" w:rsidRPr="006D20F2" w:rsidRDefault="006D20F2" w:rsidP="00D8125E">
      <w:pPr>
        <w:numPr>
          <w:ilvl w:val="0"/>
          <w:numId w:val="1"/>
        </w:numPr>
        <w:shd w:val="clear" w:color="auto" w:fill="FFFFFF"/>
        <w:spacing w:before="100" w:beforeAutospacing="1" w:after="100" w:afterAutospacing="1"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Mobiliser les états membres, les donateurs non-habituels, et d’autres acteurs internationaux pour financer entièrement les 10 ans, trois phases et 2,27 milliards de dollars du Plan National pour l’Élimination du Choléra.</w:t>
      </w:r>
    </w:p>
    <w:p w:rsidR="006D20F2" w:rsidRPr="006D20F2" w:rsidRDefault="006D20F2" w:rsidP="00D8125E">
      <w:pPr>
        <w:numPr>
          <w:ilvl w:val="0"/>
          <w:numId w:val="1"/>
        </w:numPr>
        <w:shd w:val="clear" w:color="auto" w:fill="FFFFFF"/>
        <w:spacing w:before="100" w:beforeAutospacing="1" w:after="100" w:afterAutospacing="1"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Assurer que les Nations Unies implémentent les recommandations faites par le groupe d’experts indépendants :</w:t>
      </w:r>
    </w:p>
    <w:p w:rsidR="006D20F2" w:rsidRPr="006D20F2" w:rsidRDefault="006D20F2" w:rsidP="00D8125E">
      <w:pPr>
        <w:numPr>
          <w:ilvl w:val="1"/>
          <w:numId w:val="1"/>
        </w:numPr>
        <w:shd w:val="clear" w:color="auto" w:fill="FFFFFF"/>
        <w:spacing w:before="100" w:beforeAutospacing="1" w:after="100" w:afterAutospacing="1"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Dépistage du choléra pour le personnel des Nations Unies et les Secours venant des zones pandémiques.</w:t>
      </w:r>
    </w:p>
    <w:p w:rsidR="006D20F2" w:rsidRPr="006D20F2" w:rsidRDefault="006D20F2" w:rsidP="00D8125E">
      <w:pPr>
        <w:numPr>
          <w:ilvl w:val="1"/>
          <w:numId w:val="1"/>
        </w:numPr>
        <w:shd w:val="clear" w:color="auto" w:fill="FFFFFF"/>
        <w:spacing w:before="100" w:beforeAutospacing="1" w:after="100" w:afterAutospacing="1"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Vaccinations et traitements antibiotiques pour le personnel des Nations Unies assigné aux Urgences.</w:t>
      </w:r>
    </w:p>
    <w:p w:rsidR="006D20F2" w:rsidRPr="006D20F2" w:rsidRDefault="006D20F2" w:rsidP="00D8125E">
      <w:pPr>
        <w:numPr>
          <w:ilvl w:val="1"/>
          <w:numId w:val="1"/>
        </w:numPr>
        <w:shd w:val="clear" w:color="auto" w:fill="FFFFFF"/>
        <w:spacing w:before="100" w:beforeAutospacing="1" w:after="100" w:afterAutospacing="1" w:line="300" w:lineRule="atLeast"/>
        <w:jc w:val="both"/>
        <w:rPr>
          <w:rFonts w:ascii="Helvetica" w:eastAsia="Times New Roman" w:hAnsi="Helvetica" w:cs="Helvetica"/>
          <w:color w:val="333333"/>
          <w:sz w:val="21"/>
          <w:szCs w:val="21"/>
          <w:lang w:eastAsia="fr-FR"/>
        </w:rPr>
      </w:pPr>
      <w:r w:rsidRPr="006D20F2">
        <w:rPr>
          <w:rFonts w:ascii="Helvetica" w:eastAsia="Times New Roman" w:hAnsi="Helvetica" w:cs="Helvetica"/>
          <w:color w:val="333333"/>
          <w:sz w:val="21"/>
          <w:szCs w:val="21"/>
          <w:lang w:eastAsia="fr-FR"/>
        </w:rPr>
        <w:t>Traitement local de tous les déchets dans les installations des Nations Unies à travers le monde pour neutraliser les pathogènes dangereux comme le </w:t>
      </w:r>
      <w:proofErr w:type="spellStart"/>
      <w:r w:rsidRPr="006D20F2">
        <w:rPr>
          <w:rFonts w:ascii="Helvetica" w:eastAsia="Times New Roman" w:hAnsi="Helvetica" w:cs="Helvetica"/>
          <w:i/>
          <w:iCs/>
          <w:color w:val="333333"/>
          <w:sz w:val="21"/>
          <w:szCs w:val="21"/>
          <w:lang w:eastAsia="fr-FR"/>
        </w:rPr>
        <w:t>vibrio</w:t>
      </w:r>
      <w:proofErr w:type="spellEnd"/>
      <w:r w:rsidRPr="006D20F2">
        <w:rPr>
          <w:rFonts w:ascii="Helvetica" w:eastAsia="Times New Roman" w:hAnsi="Helvetica" w:cs="Helvetica"/>
          <w:i/>
          <w:iCs/>
          <w:color w:val="333333"/>
          <w:sz w:val="21"/>
          <w:szCs w:val="21"/>
          <w:lang w:eastAsia="fr-FR"/>
        </w:rPr>
        <w:t xml:space="preserve"> cholerae</w:t>
      </w:r>
      <w:r w:rsidRPr="006D20F2">
        <w:rPr>
          <w:rFonts w:ascii="Helvetica" w:eastAsia="Times New Roman" w:hAnsi="Helvetica" w:cs="Helvetica"/>
          <w:color w:val="333333"/>
          <w:sz w:val="21"/>
          <w:szCs w:val="21"/>
          <w:lang w:eastAsia="fr-FR"/>
        </w:rPr>
        <w:t>.</w:t>
      </w:r>
    </w:p>
    <w:p w:rsidR="00D8125E" w:rsidRDefault="00D8125E" w:rsidP="00D8125E">
      <w:pPr>
        <w:jc w:val="both"/>
      </w:pPr>
    </w:p>
    <w:p w:rsidR="00D8125E" w:rsidRDefault="00D8125E" w:rsidP="00D8125E">
      <w:pPr>
        <w:jc w:val="both"/>
      </w:pPr>
      <w:r>
        <w:rPr>
          <w:noProof/>
          <w:lang w:val="en-GB" w:eastAsia="en-GB"/>
        </w:rPr>
        <mc:AlternateContent>
          <mc:Choice Requires="wps">
            <w:drawing>
              <wp:anchor distT="0" distB="0" distL="114300" distR="114300" simplePos="0" relativeHeight="251659264" behindDoc="0" locked="0" layoutInCell="1" allowOverlap="1" wp14:anchorId="2970A3DB" wp14:editId="614AD73B">
                <wp:simplePos x="0" y="0"/>
                <wp:positionH relativeFrom="column">
                  <wp:posOffset>-320675</wp:posOffset>
                </wp:positionH>
                <wp:positionV relativeFrom="paragraph">
                  <wp:posOffset>182880</wp:posOffset>
                </wp:positionV>
                <wp:extent cx="6263640" cy="30480"/>
                <wp:effectExtent l="19050" t="19050" r="3810" b="26670"/>
                <wp:wrapNone/>
                <wp:docPr id="1" name="Connecteur droit 1"/>
                <wp:cNvGraphicFramePr/>
                <a:graphic xmlns:a="http://schemas.openxmlformats.org/drawingml/2006/main">
                  <a:graphicData uri="http://schemas.microsoft.com/office/word/2010/wordprocessingShape">
                    <wps:wsp>
                      <wps:cNvCnPr/>
                      <wps:spPr>
                        <a:xfrm flipV="1">
                          <a:off x="0" y="0"/>
                          <a:ext cx="6263640" cy="3048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0D15C4" id="Connecteur droit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5.25pt,14.4pt" to="467.9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" strokecolor="black [3040]" strokeweight="2.25pt"/>
            </w:pict>
          </mc:Fallback>
        </mc:AlternateContent>
      </w:r>
    </w:p>
    <w:p w:rsidR="00D8125E" w:rsidRDefault="00D8125E" w:rsidP="00D8125E">
      <w:pPr>
        <w:jc w:val="both"/>
      </w:pPr>
    </w:p>
    <w:p w:rsidR="00BF41C1" w:rsidRDefault="00D8125E" w:rsidP="00D8125E">
      <w:pPr>
        <w:jc w:val="both"/>
      </w:pPr>
      <w:r>
        <w:t>Pour plus d’informations veuillez contacter le chargé de communication du Ministère de la santé Téléphone (220 4455 87 243)</w:t>
      </w:r>
    </w:p>
    <w:tbl>
      <w:tblPr>
        <w:tblStyle w:val="TableGrid"/>
        <w:tblW w:w="0" w:type="auto"/>
        <w:tblLook w:val="04A0" w:firstRow="1" w:lastRow="0" w:firstColumn="1" w:lastColumn="0" w:noHBand="0" w:noVBand="1"/>
      </w:tblPr>
      <w:tblGrid>
        <w:gridCol w:w="9288"/>
      </w:tblGrid>
      <w:tr w:rsidR="0010725F" w:rsidTr="0010725F">
        <w:tc>
          <w:tcPr>
            <w:tcW w:w="9288" w:type="dxa"/>
          </w:tcPr>
          <w:p w:rsidR="0010725F" w:rsidRPr="0010725F" w:rsidRDefault="0010725F" w:rsidP="0010725F">
            <w:pPr>
              <w:jc w:val="both"/>
              <w:rPr>
                <w:sz w:val="18"/>
                <w:szCs w:val="18"/>
                <w:lang w:val="en-US"/>
              </w:rPr>
            </w:pPr>
            <w:r w:rsidRPr="0010725F">
              <w:rPr>
                <w:b/>
                <w:bCs/>
                <w:sz w:val="18"/>
                <w:szCs w:val="18"/>
                <w:lang w:val="en-US"/>
              </w:rPr>
              <w:lastRenderedPageBreak/>
              <w:t>WHO Health Security Learning Platform - Training Materials</w:t>
            </w:r>
          </w:p>
          <w:p w:rsidR="0010725F" w:rsidRDefault="0010725F" w:rsidP="0010725F">
            <w:pPr>
              <w:jc w:val="both"/>
              <w:rPr>
                <w:b/>
                <w:bCs/>
                <w:sz w:val="18"/>
                <w:szCs w:val="18"/>
              </w:rPr>
            </w:pPr>
            <w:r w:rsidRPr="0010725F">
              <w:rPr>
                <w:b/>
                <w:bCs/>
                <w:sz w:val="18"/>
                <w:szCs w:val="18"/>
              </w:rPr>
              <w:t>Plateforme d’Apprentissage de l'OMS sur la Sécurité Sanitaire - Matériel de formation</w:t>
            </w:r>
          </w:p>
          <w:p w:rsidR="0010725F" w:rsidRPr="0010725F" w:rsidRDefault="0010725F" w:rsidP="0010725F">
            <w:pPr>
              <w:jc w:val="both"/>
              <w:rPr>
                <w:sz w:val="18"/>
                <w:szCs w:val="18"/>
              </w:rPr>
            </w:pPr>
            <w:bookmarkStart w:id="0" w:name="_GoBack"/>
            <w:bookmarkEnd w:id="0"/>
          </w:p>
          <w:p w:rsidR="0010725F" w:rsidRPr="0010725F" w:rsidRDefault="0010725F" w:rsidP="0010725F">
            <w:pPr>
              <w:jc w:val="both"/>
              <w:rPr>
                <w:sz w:val="18"/>
                <w:szCs w:val="18"/>
              </w:rPr>
            </w:pPr>
            <w:r w:rsidRPr="0010725F">
              <w:rPr>
                <w:sz w:val="18"/>
                <w:szCs w:val="18"/>
              </w:rPr>
              <w:t>Ces matériels de formation de l'OMS sont © Organisation mondiale de la Santé (OMS) 2018. Tous droits réservés.</w:t>
            </w:r>
          </w:p>
          <w:p w:rsidR="0010725F" w:rsidRPr="0010725F" w:rsidRDefault="0010725F" w:rsidP="0010725F">
            <w:pPr>
              <w:jc w:val="both"/>
              <w:rPr>
                <w:sz w:val="18"/>
                <w:szCs w:val="18"/>
              </w:rPr>
            </w:pPr>
            <w:r w:rsidRPr="0010725F">
              <w:rPr>
                <w:sz w:val="18"/>
                <w:szCs w:val="18"/>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w:t>
            </w:r>
            <w:proofErr w:type="gramStart"/>
            <w:r w:rsidRPr="0010725F">
              <w:rPr>
                <w:sz w:val="18"/>
                <w:szCs w:val="18"/>
              </w:rPr>
              <w:t>Sanitaire:</w:t>
            </w:r>
            <w:proofErr w:type="gramEnd"/>
            <w:r w:rsidRPr="0010725F">
              <w:rPr>
                <w:sz w:val="18"/>
                <w:szCs w:val="18"/>
              </w:rPr>
              <w:t xml:space="preserve"> </w:t>
            </w:r>
            <w:hyperlink r:id="rId6" w:history="1">
              <w:r w:rsidRPr="0010725F">
                <w:rPr>
                  <w:rStyle w:val="Hyperlink"/>
                  <w:sz w:val="18"/>
                  <w:szCs w:val="18"/>
                </w:rPr>
                <w:t>https://extranet.who.int/hslp</w:t>
              </w:r>
            </w:hyperlink>
          </w:p>
          <w:p w:rsidR="0010725F" w:rsidRPr="0010725F" w:rsidRDefault="0010725F" w:rsidP="0010725F">
            <w:pPr>
              <w:jc w:val="both"/>
              <w:rPr>
                <w:sz w:val="18"/>
                <w:szCs w:val="18"/>
              </w:rPr>
            </w:pPr>
            <w:r w:rsidRPr="0010725F">
              <w:rPr>
                <w:sz w:val="18"/>
                <w:szCs w:val="18"/>
              </w:rPr>
              <w:t>Si vous adaptez, modifiez, traduisez ou révisez de toute autre manière le contenu de ces documents, vous n'impliquerez pas que l'OMS soit affiliée à de telles modifications et n'utiliserez pas le nom ou l'emblème de l'OMS dans ces documents modifiés.</w:t>
            </w:r>
          </w:p>
          <w:p w:rsidR="0010725F" w:rsidRDefault="0010725F" w:rsidP="0010725F">
            <w:pPr>
              <w:jc w:val="both"/>
            </w:pPr>
            <w:r w:rsidRPr="0010725F">
              <w:rPr>
                <w:sz w:val="18"/>
                <w:szCs w:val="18"/>
              </w:rPr>
              <w:t xml:space="preserve">En outre, nous vous invitons à informer l'OMS de toute modification de ces documents que vous utilisez publiquement, à des fins d'archivage et de développement continu, en envoyant un courrier électronique à l'adresse </w:t>
            </w:r>
            <w:proofErr w:type="gramStart"/>
            <w:r w:rsidRPr="0010725F">
              <w:rPr>
                <w:sz w:val="18"/>
                <w:szCs w:val="18"/>
              </w:rPr>
              <w:t>suivante:</w:t>
            </w:r>
            <w:proofErr w:type="gramEnd"/>
            <w:r w:rsidRPr="0010725F">
              <w:rPr>
                <w:sz w:val="18"/>
                <w:szCs w:val="18"/>
              </w:rPr>
              <w:t xml:space="preserve"> </w:t>
            </w:r>
            <w:hyperlink r:id="rId7" w:history="1">
              <w:r w:rsidRPr="0010725F">
                <w:rPr>
                  <w:rStyle w:val="Hyperlink"/>
                  <w:sz w:val="18"/>
                  <w:szCs w:val="18"/>
                </w:rPr>
                <w:t>ihrhrt@who.int</w:t>
              </w:r>
            </w:hyperlink>
          </w:p>
        </w:tc>
      </w:tr>
    </w:tbl>
    <w:p w:rsidR="0010725F" w:rsidRDefault="0010725F" w:rsidP="00D8125E">
      <w:pPr>
        <w:jc w:val="both"/>
      </w:pPr>
    </w:p>
    <w:sectPr w:rsidR="001072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FD3D03"/>
    <w:multiLevelType w:val="multilevel"/>
    <w:tmpl w:val="9DCAE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F2"/>
    <w:rsid w:val="0010725F"/>
    <w:rsid w:val="002C670E"/>
    <w:rsid w:val="006D20F2"/>
    <w:rsid w:val="007827D0"/>
    <w:rsid w:val="00AD2ECC"/>
    <w:rsid w:val="00BF41C1"/>
    <w:rsid w:val="00D8125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BA4A"/>
  <w15:docId w15:val="{B1D32DF7-A015-4130-9957-E0490A417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20F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unhideWhenUsed/>
    <w:rsid w:val="006D20F2"/>
    <w:rPr>
      <w:color w:val="0000FF"/>
      <w:u w:val="single"/>
    </w:rPr>
  </w:style>
  <w:style w:type="table" w:styleId="TableGrid">
    <w:name w:val="Table Grid"/>
    <w:basedOn w:val="TableNormal"/>
    <w:uiPriority w:val="59"/>
    <w:unhideWhenUsed/>
    <w:rsid w:val="00107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72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936954">
      <w:bodyDiv w:val="1"/>
      <w:marLeft w:val="0"/>
      <w:marRight w:val="0"/>
      <w:marTop w:val="0"/>
      <w:marBottom w:val="0"/>
      <w:divBdr>
        <w:top w:val="none" w:sz="0" w:space="0" w:color="auto"/>
        <w:left w:val="none" w:sz="0" w:space="0" w:color="auto"/>
        <w:bottom w:val="none" w:sz="0" w:space="0" w:color="auto"/>
        <w:right w:val="none" w:sz="0" w:space="0" w:color="auto"/>
      </w:divBdr>
    </w:div>
    <w:div w:id="198843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hrhrt@who.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tranet.who.int/hslp" TargetMode="External"/><Relationship Id="rId5" Type="http://schemas.openxmlformats.org/officeDocument/2006/relationships/hyperlink" Target="http://www.paho.org/hq/index.php?option=com_docman&amp;task=doc_view&amp;gid=20326&amp;Itemid=270&amp;lang=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545</Words>
  <Characters>3110</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Mr Rodrigue -bf</dc:creator>
  <cp:lastModifiedBy>GOMEZ, Paula</cp:lastModifiedBy>
  <cp:revision>4</cp:revision>
  <dcterms:created xsi:type="dcterms:W3CDTF">2016-03-04T10:03:00Z</dcterms:created>
  <dcterms:modified xsi:type="dcterms:W3CDTF">2018-06-13T14:52:00Z</dcterms:modified>
</cp:coreProperties>
</file>