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050" w:rsidRPr="00721F8E" w:rsidRDefault="00720050" w:rsidP="00720050">
      <w:pPr>
        <w:jc w:val="center"/>
        <w:rPr>
          <w:rFonts w:asciiTheme="minorHAnsi" w:hAnsiTheme="minorHAnsi" w:cstheme="minorHAnsi"/>
          <w:b/>
          <w:color w:val="000000"/>
          <w:sz w:val="24"/>
          <w:szCs w:val="24"/>
        </w:rPr>
      </w:pPr>
      <w:r w:rsidRPr="00721F8E">
        <w:rPr>
          <w:rFonts w:asciiTheme="minorHAnsi" w:hAnsiTheme="minorHAnsi" w:cstheme="minorHAnsi"/>
          <w:b/>
          <w:color w:val="000000"/>
          <w:sz w:val="24"/>
          <w:szCs w:val="24"/>
        </w:rPr>
        <w:t>Rapid Response Teams Training</w:t>
      </w:r>
      <w:r w:rsidR="00537977">
        <w:rPr>
          <w:rFonts w:asciiTheme="minorHAnsi" w:hAnsiTheme="minorHAnsi" w:cstheme="minorHAnsi"/>
          <w:b/>
          <w:color w:val="000000"/>
          <w:sz w:val="24"/>
          <w:szCs w:val="24"/>
        </w:rPr>
        <w:t xml:space="preserve"> </w:t>
      </w:r>
    </w:p>
    <w:p w:rsidR="00720050" w:rsidRPr="00721F8E" w:rsidRDefault="00720050" w:rsidP="00132CA9">
      <w:pPr>
        <w:jc w:val="center"/>
        <w:rPr>
          <w:rFonts w:asciiTheme="minorHAnsi" w:hAnsiTheme="minorHAnsi" w:cstheme="minorHAnsi"/>
          <w:b/>
          <w:color w:val="000000"/>
          <w:sz w:val="24"/>
          <w:szCs w:val="24"/>
        </w:rPr>
      </w:pPr>
    </w:p>
    <w:p w:rsidR="00721F8E" w:rsidRPr="00721F8E" w:rsidRDefault="00721F8E" w:rsidP="00132CA9">
      <w:pPr>
        <w:jc w:val="center"/>
        <w:rPr>
          <w:rFonts w:asciiTheme="minorHAnsi" w:hAnsiTheme="minorHAnsi" w:cstheme="minorHAnsi"/>
          <w:i/>
          <w:sz w:val="24"/>
          <w:szCs w:val="24"/>
        </w:rPr>
      </w:pPr>
      <w:r w:rsidRPr="00721F8E">
        <w:rPr>
          <w:rFonts w:asciiTheme="minorHAnsi" w:hAnsiTheme="minorHAnsi" w:cstheme="minorHAnsi"/>
          <w:i/>
          <w:color w:val="000000"/>
          <w:sz w:val="24"/>
          <w:szCs w:val="24"/>
          <w:highlight w:val="yellow"/>
        </w:rPr>
        <w:t>Insert here course dates, venue and country</w:t>
      </w:r>
    </w:p>
    <w:p w:rsidR="00720050" w:rsidRPr="00721F8E" w:rsidRDefault="00720050" w:rsidP="00132CA9">
      <w:pPr>
        <w:jc w:val="center"/>
        <w:rPr>
          <w:rFonts w:asciiTheme="minorHAnsi" w:hAnsiTheme="minorHAnsi" w:cstheme="minorHAnsi"/>
          <w:b/>
          <w:sz w:val="24"/>
          <w:szCs w:val="24"/>
        </w:rPr>
      </w:pPr>
    </w:p>
    <w:p w:rsidR="00132CA9" w:rsidRPr="009E2022" w:rsidRDefault="009E2022" w:rsidP="009E2022">
      <w:pPr>
        <w:jc w:val="center"/>
        <w:rPr>
          <w:rFonts w:asciiTheme="minorHAnsi" w:hAnsiTheme="minorHAnsi" w:cstheme="minorHAnsi"/>
          <w:b/>
          <w:sz w:val="20"/>
          <w:szCs w:val="20"/>
        </w:rPr>
      </w:pPr>
      <w:r>
        <w:rPr>
          <w:rFonts w:asciiTheme="minorHAnsi" w:hAnsiTheme="minorHAnsi" w:cstheme="minorHAnsi"/>
          <w:b/>
          <w:sz w:val="24"/>
          <w:szCs w:val="24"/>
        </w:rPr>
        <w:t xml:space="preserve">D1.1 </w:t>
      </w:r>
      <w:r w:rsidRPr="009E2022">
        <w:rPr>
          <w:rFonts w:asciiTheme="minorHAnsi" w:hAnsiTheme="minorHAnsi" w:cstheme="minorHAnsi"/>
          <w:b/>
          <w:sz w:val="24"/>
          <w:szCs w:val="24"/>
        </w:rPr>
        <w:t xml:space="preserve">Methodology for </w:t>
      </w:r>
      <w:r w:rsidR="00537977" w:rsidRPr="009E2022">
        <w:rPr>
          <w:rFonts w:asciiTheme="minorHAnsi" w:hAnsiTheme="minorHAnsi" w:cstheme="minorHAnsi"/>
          <w:b/>
          <w:sz w:val="24"/>
          <w:szCs w:val="24"/>
        </w:rPr>
        <w:t>evaluation</w:t>
      </w:r>
      <w:r w:rsidRPr="009E2022">
        <w:rPr>
          <w:rFonts w:asciiTheme="minorHAnsi" w:hAnsiTheme="minorHAnsi" w:cstheme="minorHAnsi"/>
          <w:b/>
          <w:sz w:val="24"/>
          <w:szCs w:val="24"/>
        </w:rPr>
        <w:t xml:space="preserve"> –</w:t>
      </w:r>
      <w:r>
        <w:rPr>
          <w:rFonts w:asciiTheme="minorHAnsi" w:hAnsiTheme="minorHAnsi" w:cstheme="minorHAnsi"/>
          <w:b/>
          <w:sz w:val="24"/>
          <w:szCs w:val="24"/>
        </w:rPr>
        <w:t xml:space="preserve"> P</w:t>
      </w:r>
      <w:r w:rsidRPr="009E2022">
        <w:rPr>
          <w:rFonts w:asciiTheme="minorHAnsi" w:hAnsiTheme="minorHAnsi" w:cstheme="minorHAnsi"/>
          <w:b/>
          <w:sz w:val="24"/>
          <w:szCs w:val="24"/>
        </w:rPr>
        <w:t>articipant’s satisfaction</w:t>
      </w:r>
    </w:p>
    <w:p w:rsidR="00132CA9" w:rsidRPr="00721F8E" w:rsidRDefault="00132CA9" w:rsidP="00132CA9">
      <w:pPr>
        <w:rPr>
          <w:rFonts w:asciiTheme="minorHAnsi" w:hAnsiTheme="minorHAnsi" w:cstheme="minorHAnsi"/>
          <w:b/>
          <w:sz w:val="20"/>
          <w:szCs w:val="20"/>
        </w:rPr>
      </w:pPr>
    </w:p>
    <w:p w:rsidR="00CC3BCA" w:rsidRPr="009E2022" w:rsidRDefault="009E2022" w:rsidP="00132CA9">
      <w:pPr>
        <w:rPr>
          <w:rFonts w:asciiTheme="minorHAnsi" w:hAnsiTheme="minorHAnsi" w:cstheme="minorHAnsi"/>
          <w:bCs/>
          <w:color w:val="0070C0"/>
          <w:sz w:val="24"/>
          <w:szCs w:val="24"/>
        </w:rPr>
      </w:pPr>
      <w:r w:rsidRPr="009E2022">
        <w:rPr>
          <w:rFonts w:asciiTheme="minorHAnsi" w:hAnsiTheme="minorHAnsi" w:cstheme="minorHAnsi"/>
          <w:b/>
          <w:color w:val="0070C0"/>
          <w:sz w:val="24"/>
          <w:szCs w:val="24"/>
        </w:rPr>
        <w:t xml:space="preserve">1/ Methodology for daily evaluation: </w:t>
      </w:r>
      <w:r w:rsidR="00537977" w:rsidRPr="009E2022">
        <w:rPr>
          <w:rFonts w:asciiTheme="minorHAnsi" w:hAnsiTheme="minorHAnsi" w:cstheme="minorHAnsi"/>
          <w:b/>
          <w:color w:val="0070C0"/>
          <w:sz w:val="24"/>
          <w:szCs w:val="24"/>
        </w:rPr>
        <w:t>Group e</w:t>
      </w:r>
      <w:r w:rsidR="00132CA9" w:rsidRPr="009E2022">
        <w:rPr>
          <w:rFonts w:asciiTheme="minorHAnsi" w:hAnsiTheme="minorHAnsi" w:cstheme="minorHAnsi"/>
          <w:b/>
          <w:color w:val="0070C0"/>
          <w:sz w:val="24"/>
          <w:szCs w:val="24"/>
        </w:rPr>
        <w:t>valuation</w:t>
      </w:r>
      <w:r w:rsidR="00132CA9" w:rsidRPr="009E2022">
        <w:rPr>
          <w:rFonts w:asciiTheme="minorHAnsi" w:hAnsiTheme="minorHAnsi" w:cstheme="minorHAnsi"/>
          <w:color w:val="0070C0"/>
          <w:sz w:val="24"/>
          <w:szCs w:val="24"/>
        </w:rPr>
        <w:t xml:space="preserve"> </w:t>
      </w:r>
      <w:r w:rsidR="009251C7" w:rsidRPr="009E2022">
        <w:rPr>
          <w:rFonts w:asciiTheme="minorHAnsi" w:hAnsiTheme="minorHAnsi" w:cstheme="minorHAnsi"/>
          <w:bCs/>
          <w:color w:val="0070C0"/>
          <w:sz w:val="24"/>
          <w:szCs w:val="24"/>
        </w:rPr>
        <w:t>(10</w:t>
      </w:r>
      <w:r w:rsidR="00132CA9" w:rsidRPr="009E2022">
        <w:rPr>
          <w:rFonts w:asciiTheme="minorHAnsi" w:hAnsiTheme="minorHAnsi" w:cstheme="minorHAnsi"/>
          <w:bCs/>
          <w:color w:val="0070C0"/>
          <w:sz w:val="24"/>
          <w:szCs w:val="24"/>
        </w:rPr>
        <w:t>’)</w:t>
      </w:r>
    </w:p>
    <w:p w:rsidR="00CC3BCA" w:rsidRDefault="00CC3BCA" w:rsidP="009251C7">
      <w:pPr>
        <w:pStyle w:val="ListParagraph"/>
        <w:numPr>
          <w:ilvl w:val="0"/>
          <w:numId w:val="1"/>
        </w:numPr>
        <w:spacing w:after="0" w:line="240" w:lineRule="auto"/>
        <w:rPr>
          <w:rFonts w:cstheme="minorHAnsi"/>
          <w:sz w:val="20"/>
          <w:szCs w:val="20"/>
        </w:rPr>
      </w:pPr>
      <w:r>
        <w:rPr>
          <w:rFonts w:cstheme="minorHAnsi"/>
          <w:sz w:val="20"/>
          <w:szCs w:val="20"/>
        </w:rPr>
        <w:t>The facilitator in charge introduces the objectives and modalities of the daily evaluation.</w:t>
      </w:r>
    </w:p>
    <w:p w:rsidR="00CC3BCA" w:rsidRDefault="003D06E4" w:rsidP="009251C7">
      <w:pPr>
        <w:pStyle w:val="ListParagraph"/>
        <w:numPr>
          <w:ilvl w:val="0"/>
          <w:numId w:val="1"/>
        </w:numPr>
        <w:spacing w:after="0" w:line="240" w:lineRule="auto"/>
        <w:rPr>
          <w:rFonts w:cstheme="minorHAnsi"/>
          <w:sz w:val="20"/>
          <w:szCs w:val="20"/>
        </w:rPr>
      </w:pPr>
      <w:r>
        <w:rPr>
          <w:rFonts w:cstheme="minorHAnsi"/>
          <w:sz w:val="20"/>
          <w:szCs w:val="20"/>
        </w:rPr>
        <w:t>I</w:t>
      </w:r>
      <w:r w:rsidR="00132CA9" w:rsidRPr="00CC3BCA">
        <w:rPr>
          <w:rFonts w:cstheme="minorHAnsi"/>
          <w:sz w:val="20"/>
          <w:szCs w:val="20"/>
        </w:rPr>
        <w:t xml:space="preserve">n </w:t>
      </w:r>
      <w:r w:rsidR="009251C7" w:rsidRPr="00CC3BCA">
        <w:rPr>
          <w:rFonts w:cstheme="minorHAnsi"/>
          <w:sz w:val="20"/>
          <w:szCs w:val="20"/>
        </w:rPr>
        <w:t xml:space="preserve">groups </w:t>
      </w:r>
      <w:r>
        <w:rPr>
          <w:rFonts w:cstheme="minorHAnsi"/>
          <w:sz w:val="20"/>
          <w:szCs w:val="20"/>
        </w:rPr>
        <w:t xml:space="preserve">participants </w:t>
      </w:r>
      <w:r w:rsidR="009251C7" w:rsidRPr="00CC3BCA">
        <w:rPr>
          <w:rFonts w:cstheme="minorHAnsi"/>
          <w:sz w:val="20"/>
          <w:szCs w:val="20"/>
        </w:rPr>
        <w:t xml:space="preserve">should discuss and identify 3 aspects of the day – content, methodologies, group dynamics, facilitation, etc. – that went well/they liked. They </w:t>
      </w:r>
      <w:r w:rsidR="00CC3BCA" w:rsidRPr="00CC3BCA">
        <w:rPr>
          <w:rFonts w:cstheme="minorHAnsi"/>
          <w:sz w:val="20"/>
          <w:szCs w:val="20"/>
        </w:rPr>
        <w:t>must also indicate 3 aspects of the day that would need improvement. Groups will write down their points on b</w:t>
      </w:r>
      <w:r w:rsidR="00CC3BCA">
        <w:rPr>
          <w:rFonts w:cstheme="minorHAnsi"/>
          <w:sz w:val="20"/>
          <w:szCs w:val="20"/>
        </w:rPr>
        <w:t>ig-size post-it of two colors.</w:t>
      </w:r>
    </w:p>
    <w:p w:rsidR="009251C7" w:rsidRPr="00CC3BCA" w:rsidRDefault="00CC3BCA" w:rsidP="009251C7">
      <w:pPr>
        <w:pStyle w:val="ListParagraph"/>
        <w:numPr>
          <w:ilvl w:val="0"/>
          <w:numId w:val="1"/>
        </w:numPr>
        <w:spacing w:after="0" w:line="240" w:lineRule="auto"/>
        <w:rPr>
          <w:rFonts w:cstheme="minorHAnsi"/>
          <w:sz w:val="20"/>
          <w:szCs w:val="20"/>
        </w:rPr>
      </w:pPr>
      <w:r>
        <w:rPr>
          <w:rFonts w:cstheme="minorHAnsi"/>
          <w:sz w:val="20"/>
          <w:szCs w:val="20"/>
        </w:rPr>
        <w:t>The facilitator in charge</w:t>
      </w:r>
      <w:r w:rsidR="009251C7" w:rsidRPr="00CC3BCA">
        <w:rPr>
          <w:rFonts w:cstheme="minorHAnsi"/>
          <w:sz w:val="20"/>
          <w:szCs w:val="20"/>
        </w:rPr>
        <w:t xml:space="preserve"> collect</w:t>
      </w:r>
      <w:r>
        <w:rPr>
          <w:rFonts w:cstheme="minorHAnsi"/>
          <w:sz w:val="20"/>
          <w:szCs w:val="20"/>
        </w:rPr>
        <w:t>s</w:t>
      </w:r>
      <w:r w:rsidR="009251C7" w:rsidRPr="00CC3BCA">
        <w:rPr>
          <w:rFonts w:cstheme="minorHAnsi"/>
          <w:sz w:val="20"/>
          <w:szCs w:val="20"/>
        </w:rPr>
        <w:t xml:space="preserve"> the post-it </w:t>
      </w:r>
      <w:r>
        <w:rPr>
          <w:rFonts w:cstheme="minorHAnsi"/>
          <w:sz w:val="20"/>
          <w:szCs w:val="20"/>
        </w:rPr>
        <w:t>and shares them with the facilitation team at the end of the day. The facilitation team members discuss evaluation results and i</w:t>
      </w:r>
      <w:bookmarkStart w:id="0" w:name="_GoBack"/>
      <w:bookmarkEnd w:id="0"/>
      <w:r>
        <w:rPr>
          <w:rFonts w:cstheme="minorHAnsi"/>
          <w:sz w:val="20"/>
          <w:szCs w:val="20"/>
        </w:rPr>
        <w:t xml:space="preserve">dentify means to address </w:t>
      </w:r>
      <w:r w:rsidR="009251C7" w:rsidRPr="00CC3BCA">
        <w:rPr>
          <w:rFonts w:cstheme="minorHAnsi"/>
          <w:sz w:val="20"/>
          <w:szCs w:val="20"/>
        </w:rPr>
        <w:t>the areas that can be addressed the next day(s).</w:t>
      </w:r>
    </w:p>
    <w:p w:rsidR="009251C7" w:rsidRPr="009251C7" w:rsidRDefault="00CC3BCA" w:rsidP="009251C7">
      <w:pPr>
        <w:pStyle w:val="ListParagraph"/>
        <w:numPr>
          <w:ilvl w:val="0"/>
          <w:numId w:val="1"/>
        </w:numPr>
        <w:spacing w:after="0" w:line="240" w:lineRule="auto"/>
        <w:rPr>
          <w:rFonts w:cstheme="minorHAnsi"/>
          <w:sz w:val="20"/>
          <w:szCs w:val="20"/>
        </w:rPr>
      </w:pPr>
      <w:r>
        <w:rPr>
          <w:rFonts w:cstheme="minorHAnsi"/>
          <w:sz w:val="20"/>
          <w:szCs w:val="20"/>
        </w:rPr>
        <w:t>The next day the facilitator in charge</w:t>
      </w:r>
      <w:r w:rsidR="009251C7">
        <w:rPr>
          <w:rFonts w:cstheme="minorHAnsi"/>
          <w:sz w:val="20"/>
          <w:szCs w:val="20"/>
        </w:rPr>
        <w:t xml:space="preserve"> take</w:t>
      </w:r>
      <w:r>
        <w:rPr>
          <w:rFonts w:cstheme="minorHAnsi"/>
          <w:sz w:val="20"/>
          <w:szCs w:val="20"/>
        </w:rPr>
        <w:t>s</w:t>
      </w:r>
      <w:r w:rsidR="009251C7">
        <w:rPr>
          <w:rFonts w:cstheme="minorHAnsi"/>
          <w:sz w:val="20"/>
          <w:szCs w:val="20"/>
        </w:rPr>
        <w:t xml:space="preserve"> 2-5’ to provide a feedback to the group on how the</w:t>
      </w:r>
      <w:r>
        <w:rPr>
          <w:rFonts w:cstheme="minorHAnsi"/>
          <w:sz w:val="20"/>
          <w:szCs w:val="20"/>
        </w:rPr>
        <w:t xml:space="preserve"> previous day was evaluated, indicating </w:t>
      </w:r>
      <w:r w:rsidR="009251C7">
        <w:rPr>
          <w:rFonts w:cstheme="minorHAnsi"/>
          <w:sz w:val="20"/>
          <w:szCs w:val="20"/>
        </w:rPr>
        <w:t xml:space="preserve">the actions that the facilitation team may take to address issues raised. </w:t>
      </w:r>
    </w:p>
    <w:p w:rsidR="00537977" w:rsidRDefault="00537977">
      <w:pPr>
        <w:rPr>
          <w:rFonts w:asciiTheme="minorHAnsi" w:hAnsiTheme="minorHAnsi" w:cstheme="minorHAnsi"/>
        </w:rPr>
      </w:pPr>
    </w:p>
    <w:p w:rsidR="003F678A" w:rsidRPr="00537977" w:rsidRDefault="00537977" w:rsidP="00537977">
      <w:pPr>
        <w:rPr>
          <w:rFonts w:asciiTheme="minorHAnsi" w:hAnsiTheme="minorHAnsi" w:cstheme="minorHAnsi"/>
          <w:b/>
          <w:color w:val="0070C0"/>
          <w:sz w:val="24"/>
          <w:szCs w:val="24"/>
        </w:rPr>
      </w:pPr>
      <w:r w:rsidRPr="00537977">
        <w:rPr>
          <w:rFonts w:asciiTheme="minorHAnsi" w:hAnsiTheme="minorHAnsi" w:cstheme="minorHAnsi"/>
          <w:b/>
          <w:color w:val="0070C0"/>
          <w:sz w:val="24"/>
          <w:szCs w:val="24"/>
        </w:rPr>
        <w:t>2/ Methodology for final evaluation</w:t>
      </w:r>
    </w:p>
    <w:p w:rsidR="003F678A" w:rsidRPr="00721F8E" w:rsidRDefault="003F678A" w:rsidP="003F678A">
      <w:pPr>
        <w:rPr>
          <w:rFonts w:asciiTheme="minorHAnsi" w:hAnsiTheme="minorHAnsi" w:cstheme="minorHAnsi"/>
          <w:b/>
          <w:sz w:val="20"/>
          <w:szCs w:val="20"/>
        </w:rPr>
      </w:pPr>
    </w:p>
    <w:p w:rsidR="003F678A" w:rsidRPr="00721F8E" w:rsidRDefault="003F678A" w:rsidP="003F678A">
      <w:pPr>
        <w:rPr>
          <w:rFonts w:asciiTheme="minorHAnsi" w:hAnsiTheme="minorHAnsi" w:cstheme="minorHAnsi"/>
          <w:bCs/>
          <w:sz w:val="20"/>
          <w:szCs w:val="20"/>
        </w:rPr>
      </w:pPr>
      <w:r w:rsidRPr="00721F8E">
        <w:rPr>
          <w:rFonts w:asciiTheme="minorHAnsi" w:hAnsiTheme="minorHAnsi" w:cstheme="minorHAnsi"/>
          <w:b/>
          <w:sz w:val="20"/>
          <w:szCs w:val="20"/>
        </w:rPr>
        <w:t>1/ Introduction</w:t>
      </w:r>
      <w:r w:rsidR="00537977">
        <w:rPr>
          <w:rFonts w:asciiTheme="minorHAnsi" w:hAnsiTheme="minorHAnsi" w:cstheme="minorHAnsi"/>
          <w:sz w:val="20"/>
          <w:szCs w:val="20"/>
        </w:rPr>
        <w:t xml:space="preserve"> of the s</w:t>
      </w:r>
      <w:r w:rsidRPr="00721F8E">
        <w:rPr>
          <w:rFonts w:asciiTheme="minorHAnsi" w:hAnsiTheme="minorHAnsi" w:cstheme="minorHAnsi"/>
          <w:sz w:val="20"/>
          <w:szCs w:val="20"/>
        </w:rPr>
        <w:t xml:space="preserve">ession </w:t>
      </w:r>
      <w:r w:rsidRPr="00721F8E">
        <w:rPr>
          <w:rFonts w:asciiTheme="minorHAnsi" w:hAnsiTheme="minorHAnsi" w:cstheme="minorHAnsi"/>
          <w:bCs/>
          <w:sz w:val="20"/>
          <w:szCs w:val="20"/>
        </w:rPr>
        <w:t>(5’)</w:t>
      </w:r>
    </w:p>
    <w:p w:rsidR="003F678A" w:rsidRPr="003D06E4" w:rsidRDefault="00537977" w:rsidP="003F678A">
      <w:pPr>
        <w:rPr>
          <w:rFonts w:asciiTheme="minorHAnsi" w:hAnsiTheme="minorHAnsi" w:cstheme="minorHAnsi"/>
          <w:bCs/>
          <w:sz w:val="20"/>
          <w:szCs w:val="20"/>
        </w:rPr>
      </w:pPr>
      <w:r>
        <w:rPr>
          <w:rFonts w:asciiTheme="minorHAnsi" w:hAnsiTheme="minorHAnsi" w:cstheme="minorHAnsi"/>
          <w:b/>
          <w:sz w:val="20"/>
          <w:szCs w:val="20"/>
        </w:rPr>
        <w:t>2/ Final e</w:t>
      </w:r>
      <w:r w:rsidR="003F678A" w:rsidRPr="00721F8E">
        <w:rPr>
          <w:rFonts w:asciiTheme="minorHAnsi" w:hAnsiTheme="minorHAnsi" w:cstheme="minorHAnsi"/>
          <w:b/>
          <w:sz w:val="20"/>
          <w:szCs w:val="20"/>
        </w:rPr>
        <w:t>valuation</w:t>
      </w:r>
      <w:r>
        <w:rPr>
          <w:rFonts w:asciiTheme="minorHAnsi" w:hAnsiTheme="minorHAnsi" w:cstheme="minorHAnsi"/>
          <w:sz w:val="20"/>
          <w:szCs w:val="20"/>
        </w:rPr>
        <w:t xml:space="preserve"> of</w:t>
      </w:r>
      <w:r w:rsidR="003F678A" w:rsidRPr="00721F8E">
        <w:rPr>
          <w:rFonts w:asciiTheme="minorHAnsi" w:hAnsiTheme="minorHAnsi" w:cstheme="minorHAnsi"/>
          <w:sz w:val="20"/>
          <w:szCs w:val="20"/>
        </w:rPr>
        <w:t xml:space="preserve"> the course (individual, paper based) </w:t>
      </w:r>
      <w:r w:rsidR="003F678A" w:rsidRPr="00721F8E">
        <w:rPr>
          <w:rFonts w:asciiTheme="minorHAnsi" w:hAnsiTheme="minorHAnsi" w:cstheme="minorHAnsi"/>
          <w:bCs/>
          <w:sz w:val="20"/>
          <w:szCs w:val="20"/>
        </w:rPr>
        <w:t>(25’)</w:t>
      </w:r>
    </w:p>
    <w:p w:rsidR="003F678A" w:rsidRPr="00721F8E" w:rsidRDefault="003F678A" w:rsidP="003F678A">
      <w:pPr>
        <w:rPr>
          <w:rFonts w:asciiTheme="minorHAnsi" w:hAnsiTheme="minorHAnsi" w:cstheme="minorHAnsi"/>
          <w:sz w:val="20"/>
          <w:szCs w:val="20"/>
        </w:rPr>
      </w:pPr>
      <w:r w:rsidRPr="00721F8E">
        <w:rPr>
          <w:rFonts w:asciiTheme="minorHAnsi" w:hAnsiTheme="minorHAnsi" w:cstheme="minorHAnsi"/>
          <w:b/>
          <w:sz w:val="20"/>
          <w:szCs w:val="20"/>
        </w:rPr>
        <w:t>3/ Group Evaluation</w:t>
      </w:r>
      <w:r w:rsidRPr="00721F8E">
        <w:rPr>
          <w:rFonts w:asciiTheme="minorHAnsi" w:hAnsiTheme="minorHAnsi" w:cstheme="minorHAnsi"/>
          <w:sz w:val="20"/>
          <w:szCs w:val="20"/>
        </w:rPr>
        <w:t xml:space="preserve"> </w:t>
      </w:r>
      <w:r w:rsidRPr="00721F8E">
        <w:rPr>
          <w:rFonts w:asciiTheme="minorHAnsi" w:hAnsiTheme="minorHAnsi" w:cstheme="minorHAnsi"/>
          <w:bCs/>
          <w:sz w:val="20"/>
          <w:szCs w:val="20"/>
        </w:rPr>
        <w:t>(30’)</w:t>
      </w:r>
    </w:p>
    <w:p w:rsidR="003F678A" w:rsidRPr="00721F8E" w:rsidRDefault="003F678A" w:rsidP="003F678A">
      <w:pPr>
        <w:pStyle w:val="ListParagraph"/>
        <w:numPr>
          <w:ilvl w:val="0"/>
          <w:numId w:val="1"/>
        </w:numPr>
        <w:spacing w:after="0" w:line="240" w:lineRule="auto"/>
        <w:rPr>
          <w:rFonts w:cstheme="minorHAnsi"/>
          <w:sz w:val="20"/>
          <w:szCs w:val="20"/>
        </w:rPr>
      </w:pPr>
      <w:r w:rsidRPr="00721F8E">
        <w:rPr>
          <w:rFonts w:cstheme="minorHAnsi"/>
          <w:sz w:val="20"/>
          <w:szCs w:val="20"/>
        </w:rPr>
        <w:t>Working in groups of 5-8 participants use the 3x3 matrix to evaluate the course (see below).</w:t>
      </w:r>
    </w:p>
    <w:p w:rsidR="003F678A" w:rsidRPr="00721F8E" w:rsidRDefault="003F678A" w:rsidP="003F678A">
      <w:pPr>
        <w:pStyle w:val="ListParagraph"/>
        <w:numPr>
          <w:ilvl w:val="0"/>
          <w:numId w:val="1"/>
        </w:numPr>
        <w:spacing w:after="0" w:line="240" w:lineRule="auto"/>
        <w:rPr>
          <w:rFonts w:cstheme="minorHAnsi"/>
          <w:sz w:val="20"/>
          <w:szCs w:val="20"/>
        </w:rPr>
      </w:pPr>
      <w:r w:rsidRPr="00721F8E">
        <w:rPr>
          <w:rFonts w:cstheme="minorHAnsi"/>
          <w:sz w:val="20"/>
          <w:szCs w:val="20"/>
        </w:rPr>
        <w:t>Each group: identify 3 areas to a) keep, b) change and c) other comments (10mn)</w:t>
      </w:r>
    </w:p>
    <w:p w:rsidR="003F678A" w:rsidRPr="00721F8E" w:rsidRDefault="009E2022" w:rsidP="003F678A">
      <w:pPr>
        <w:pStyle w:val="ListParagraph"/>
        <w:numPr>
          <w:ilvl w:val="0"/>
          <w:numId w:val="1"/>
        </w:numPr>
        <w:spacing w:after="0" w:line="240" w:lineRule="auto"/>
        <w:rPr>
          <w:rFonts w:cstheme="minorHAnsi"/>
          <w:sz w:val="20"/>
          <w:szCs w:val="20"/>
        </w:rPr>
      </w:pPr>
      <w:r>
        <w:rPr>
          <w:rFonts w:cstheme="minorHAnsi"/>
          <w:sz w:val="20"/>
          <w:szCs w:val="20"/>
        </w:rPr>
        <w:t>Each individual vote</w:t>
      </w:r>
      <w:r w:rsidR="003F678A" w:rsidRPr="00721F8E">
        <w:rPr>
          <w:rFonts w:cstheme="minorHAnsi"/>
          <w:sz w:val="20"/>
          <w:szCs w:val="20"/>
        </w:rPr>
        <w:t>: agree or disagree with ea</w:t>
      </w:r>
      <w:r>
        <w:rPr>
          <w:rFonts w:cstheme="minorHAnsi"/>
          <w:sz w:val="20"/>
          <w:szCs w:val="20"/>
        </w:rPr>
        <w:t>ch statement, in their group &amp; then in the other groups, 10’</w:t>
      </w:r>
    </w:p>
    <w:p w:rsidR="003F678A" w:rsidRPr="00721F8E" w:rsidRDefault="003F678A" w:rsidP="003F678A">
      <w:pPr>
        <w:pStyle w:val="ListParagraph"/>
        <w:numPr>
          <w:ilvl w:val="0"/>
          <w:numId w:val="1"/>
        </w:numPr>
        <w:spacing w:after="0" w:line="240" w:lineRule="auto"/>
        <w:rPr>
          <w:rFonts w:cstheme="minorHAnsi"/>
          <w:sz w:val="20"/>
          <w:szCs w:val="20"/>
        </w:rPr>
      </w:pPr>
      <w:r w:rsidRPr="00721F8E">
        <w:rPr>
          <w:rFonts w:cstheme="minorHAnsi"/>
          <w:sz w:val="20"/>
          <w:szCs w:val="20"/>
        </w:rPr>
        <w:t xml:space="preserve">Review and Debrief – 10mn </w:t>
      </w:r>
    </w:p>
    <w:p w:rsidR="003F678A" w:rsidRPr="00721F8E" w:rsidRDefault="003F678A" w:rsidP="003F678A">
      <w:pPr>
        <w:rPr>
          <w:rFonts w:asciiTheme="minorHAnsi" w:hAnsiTheme="minorHAnsi" w:cstheme="minorHAnsi"/>
        </w:rPr>
      </w:pPr>
    </w:p>
    <w:p w:rsidR="003F678A" w:rsidRPr="00721F8E" w:rsidRDefault="003F678A" w:rsidP="003F678A">
      <w:pPr>
        <w:rPr>
          <w:rFonts w:asciiTheme="minorHAnsi" w:hAnsiTheme="minorHAnsi" w:cstheme="minorHAnsi"/>
          <w:b/>
          <w:bCs/>
        </w:rPr>
      </w:pPr>
      <w:r w:rsidRPr="00721F8E">
        <w:rPr>
          <w:rFonts w:asciiTheme="minorHAnsi" w:hAnsiTheme="minorHAnsi" w:cstheme="minorHAnsi"/>
          <w:b/>
          <w:bCs/>
        </w:rPr>
        <w:t>Group Evaluation</w:t>
      </w:r>
      <w:r>
        <w:rPr>
          <w:rFonts w:asciiTheme="minorHAnsi" w:hAnsiTheme="minorHAnsi" w:cstheme="minorHAnsi"/>
          <w:b/>
          <w:bCs/>
        </w:rPr>
        <w:t xml:space="preserve"> - </w:t>
      </w:r>
      <w:r w:rsidRPr="00721F8E">
        <w:rPr>
          <w:rFonts w:asciiTheme="minorHAnsi" w:hAnsiTheme="minorHAnsi" w:cstheme="minorHAnsi"/>
          <w:b/>
          <w:bCs/>
        </w:rPr>
        <w:t>3x3 matrix</w:t>
      </w:r>
    </w:p>
    <w:p w:rsidR="003F678A" w:rsidRPr="00721F8E" w:rsidRDefault="003F678A" w:rsidP="003F678A">
      <w:pPr>
        <w:rPr>
          <w:rFonts w:asciiTheme="minorHAnsi" w:hAnsiTheme="minorHAnsi" w:cstheme="minorHAnsi"/>
          <w:b/>
          <w:bCs/>
        </w:rPr>
      </w:pPr>
    </w:p>
    <w:tbl>
      <w:tblPr>
        <w:tblW w:w="0" w:type="auto"/>
        <w:jc w:val="center"/>
        <w:tblCellMar>
          <w:left w:w="0" w:type="dxa"/>
          <w:right w:w="0" w:type="dxa"/>
        </w:tblCellMar>
        <w:tblLook w:val="04A0" w:firstRow="1" w:lastRow="0" w:firstColumn="1" w:lastColumn="0" w:noHBand="0" w:noVBand="1"/>
      </w:tblPr>
      <w:tblGrid>
        <w:gridCol w:w="7029"/>
        <w:gridCol w:w="1215"/>
        <w:gridCol w:w="937"/>
      </w:tblGrid>
      <w:tr w:rsidR="003F678A" w:rsidRPr="00721F8E" w:rsidTr="003D06E4">
        <w:trPr>
          <w:jc w:val="center"/>
        </w:trPr>
        <w:tc>
          <w:tcPr>
            <w:tcW w:w="7029"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3F678A" w:rsidP="00203A1F">
            <w:pPr>
              <w:rPr>
                <w:rFonts w:asciiTheme="minorHAnsi" w:hAnsiTheme="minorHAnsi" w:cstheme="minorHAnsi"/>
                <w:b/>
                <w:sz w:val="20"/>
                <w:szCs w:val="20"/>
                <w:lang w:val="en-US" w:eastAsia="zh-CN"/>
              </w:rPr>
            </w:pPr>
            <w:r w:rsidRPr="00721F8E">
              <w:rPr>
                <w:rFonts w:asciiTheme="minorHAnsi" w:hAnsiTheme="minorHAnsi" w:cstheme="minorHAnsi"/>
                <w:b/>
                <w:sz w:val="20"/>
                <w:szCs w:val="20"/>
                <w:lang w:val="en-US" w:eastAsia="zh-CN"/>
              </w:rPr>
              <w:t>Keep the same</w:t>
            </w:r>
          </w:p>
        </w:tc>
        <w:tc>
          <w:tcPr>
            <w:tcW w:w="1215" w:type="dxa"/>
            <w:tcBorders>
              <w:top w:val="single" w:sz="8" w:space="0" w:color="auto"/>
              <w:left w:val="nil"/>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3F678A" w:rsidP="00203A1F">
            <w:pPr>
              <w:rPr>
                <w:rFonts w:asciiTheme="minorHAnsi" w:hAnsiTheme="minorHAnsi" w:cstheme="minorHAnsi"/>
                <w:b/>
                <w:sz w:val="20"/>
                <w:szCs w:val="20"/>
                <w:lang w:val="en-US" w:eastAsia="zh-CN"/>
              </w:rPr>
            </w:pPr>
            <w:r w:rsidRPr="00721F8E">
              <w:rPr>
                <w:rFonts w:asciiTheme="minorHAnsi" w:hAnsiTheme="minorHAnsi" w:cstheme="minorHAnsi"/>
                <w:b/>
                <w:sz w:val="20"/>
                <w:szCs w:val="20"/>
                <w:lang w:val="en-US" w:eastAsia="zh-CN"/>
              </w:rPr>
              <w:t>Agree</w:t>
            </w:r>
          </w:p>
        </w:tc>
        <w:tc>
          <w:tcPr>
            <w:tcW w:w="937" w:type="dxa"/>
            <w:tcBorders>
              <w:top w:val="single" w:sz="8" w:space="0" w:color="auto"/>
              <w:left w:val="nil"/>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3F678A" w:rsidP="00203A1F">
            <w:pPr>
              <w:rPr>
                <w:rFonts w:asciiTheme="minorHAnsi" w:hAnsiTheme="minorHAnsi" w:cstheme="minorHAnsi"/>
                <w:b/>
                <w:sz w:val="20"/>
                <w:szCs w:val="20"/>
                <w:lang w:val="en-US" w:eastAsia="zh-CN"/>
              </w:rPr>
            </w:pPr>
            <w:r w:rsidRPr="00721F8E">
              <w:rPr>
                <w:rFonts w:asciiTheme="minorHAnsi" w:hAnsiTheme="minorHAnsi" w:cstheme="minorHAnsi"/>
                <w:b/>
                <w:sz w:val="20"/>
                <w:szCs w:val="20"/>
                <w:lang w:val="en-US" w:eastAsia="zh-CN"/>
              </w:rPr>
              <w:t>Disagree</w:t>
            </w:r>
          </w:p>
        </w:tc>
      </w:tr>
      <w:tr w:rsidR="003F678A" w:rsidRPr="00721F8E" w:rsidTr="003D06E4">
        <w:trPr>
          <w:jc w:val="center"/>
        </w:trPr>
        <w:tc>
          <w:tcPr>
            <w:tcW w:w="70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678A" w:rsidRPr="00721F8E" w:rsidRDefault="003F678A" w:rsidP="00203A1F">
            <w:pPr>
              <w:rPr>
                <w:rFonts w:asciiTheme="minorHAnsi" w:hAnsiTheme="minorHAnsi" w:cstheme="minorHAnsi"/>
                <w:sz w:val="20"/>
                <w:szCs w:val="20"/>
                <w:lang w:val="en-US" w:eastAsia="zh-CN"/>
              </w:rPr>
            </w:pPr>
            <w:r w:rsidRPr="00721F8E">
              <w:rPr>
                <w:rFonts w:asciiTheme="minorHAnsi" w:hAnsiTheme="minorHAnsi" w:cstheme="minorHAnsi"/>
                <w:sz w:val="20"/>
                <w:szCs w:val="20"/>
                <w:lang w:val="en-US" w:eastAsia="zh-CN"/>
              </w:rPr>
              <w:t>1</w:t>
            </w:r>
          </w:p>
        </w:tc>
        <w:tc>
          <w:tcPr>
            <w:tcW w:w="1215"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3F678A" w:rsidP="00203A1F">
            <w:pPr>
              <w:rPr>
                <w:rFonts w:asciiTheme="minorHAnsi" w:hAnsiTheme="minorHAnsi" w:cstheme="minorHAnsi"/>
                <w:sz w:val="20"/>
                <w:szCs w:val="20"/>
                <w:lang w:val="en-US" w:eastAsia="zh-CN"/>
              </w:rPr>
            </w:pPr>
          </w:p>
        </w:tc>
        <w:tc>
          <w:tcPr>
            <w:tcW w:w="937"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3F678A" w:rsidP="00203A1F">
            <w:pPr>
              <w:rPr>
                <w:rFonts w:asciiTheme="minorHAnsi" w:hAnsiTheme="minorHAnsi" w:cstheme="minorHAnsi"/>
                <w:sz w:val="20"/>
                <w:szCs w:val="20"/>
                <w:lang w:val="en-US" w:eastAsia="zh-CN"/>
              </w:rPr>
            </w:pPr>
          </w:p>
        </w:tc>
      </w:tr>
      <w:tr w:rsidR="003F678A" w:rsidRPr="00721F8E" w:rsidTr="003D06E4">
        <w:trPr>
          <w:jc w:val="center"/>
        </w:trPr>
        <w:tc>
          <w:tcPr>
            <w:tcW w:w="70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678A" w:rsidRPr="00721F8E" w:rsidRDefault="003F678A" w:rsidP="00203A1F">
            <w:pPr>
              <w:rPr>
                <w:rFonts w:asciiTheme="minorHAnsi" w:hAnsiTheme="minorHAnsi" w:cstheme="minorHAnsi"/>
                <w:sz w:val="20"/>
                <w:szCs w:val="20"/>
                <w:lang w:val="en-US" w:eastAsia="zh-CN"/>
              </w:rPr>
            </w:pPr>
            <w:r w:rsidRPr="00721F8E">
              <w:rPr>
                <w:rFonts w:asciiTheme="minorHAnsi" w:hAnsiTheme="minorHAnsi" w:cstheme="minorHAnsi"/>
                <w:sz w:val="20"/>
                <w:szCs w:val="20"/>
                <w:lang w:val="en-US" w:eastAsia="zh-CN"/>
              </w:rPr>
              <w:t>2</w:t>
            </w:r>
          </w:p>
        </w:tc>
        <w:tc>
          <w:tcPr>
            <w:tcW w:w="1215"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3F678A" w:rsidP="00203A1F">
            <w:pPr>
              <w:rPr>
                <w:rFonts w:asciiTheme="minorHAnsi" w:hAnsiTheme="minorHAnsi" w:cstheme="minorHAnsi"/>
                <w:sz w:val="20"/>
                <w:szCs w:val="20"/>
                <w:lang w:val="en-US" w:eastAsia="zh-CN"/>
              </w:rPr>
            </w:pPr>
          </w:p>
        </w:tc>
        <w:tc>
          <w:tcPr>
            <w:tcW w:w="937"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3F678A" w:rsidP="00203A1F">
            <w:pPr>
              <w:rPr>
                <w:rFonts w:asciiTheme="minorHAnsi" w:hAnsiTheme="minorHAnsi" w:cstheme="minorHAnsi"/>
                <w:sz w:val="20"/>
                <w:szCs w:val="20"/>
                <w:lang w:val="en-US" w:eastAsia="zh-CN"/>
              </w:rPr>
            </w:pPr>
          </w:p>
        </w:tc>
      </w:tr>
      <w:tr w:rsidR="003F678A" w:rsidRPr="00721F8E" w:rsidTr="003D06E4">
        <w:trPr>
          <w:jc w:val="center"/>
        </w:trPr>
        <w:tc>
          <w:tcPr>
            <w:tcW w:w="7029"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3F678A" w:rsidP="00203A1F">
            <w:pPr>
              <w:rPr>
                <w:rFonts w:asciiTheme="minorHAnsi" w:hAnsiTheme="minorHAnsi" w:cstheme="minorHAnsi"/>
                <w:b/>
                <w:sz w:val="20"/>
                <w:szCs w:val="20"/>
                <w:lang w:val="en-US" w:eastAsia="zh-CN"/>
              </w:rPr>
            </w:pPr>
            <w:r w:rsidRPr="00721F8E">
              <w:rPr>
                <w:rFonts w:asciiTheme="minorHAnsi" w:hAnsiTheme="minorHAnsi" w:cstheme="minorHAnsi"/>
                <w:b/>
                <w:sz w:val="20"/>
                <w:szCs w:val="20"/>
                <w:lang w:val="en-US" w:eastAsia="zh-CN"/>
              </w:rPr>
              <w:t>Change or improve</w:t>
            </w:r>
          </w:p>
        </w:tc>
        <w:tc>
          <w:tcPr>
            <w:tcW w:w="1215"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3F678A" w:rsidP="00203A1F">
            <w:pPr>
              <w:rPr>
                <w:rFonts w:asciiTheme="minorHAnsi" w:hAnsiTheme="minorHAnsi" w:cstheme="minorHAnsi"/>
                <w:b/>
                <w:sz w:val="20"/>
                <w:szCs w:val="20"/>
                <w:lang w:val="en-US" w:eastAsia="zh-CN"/>
              </w:rPr>
            </w:pPr>
            <w:r w:rsidRPr="00721F8E">
              <w:rPr>
                <w:rFonts w:asciiTheme="minorHAnsi" w:hAnsiTheme="minorHAnsi" w:cstheme="minorHAnsi"/>
                <w:b/>
                <w:sz w:val="20"/>
                <w:szCs w:val="20"/>
                <w:lang w:val="en-US" w:eastAsia="zh-CN"/>
              </w:rPr>
              <w:t>Agree</w:t>
            </w:r>
          </w:p>
        </w:tc>
        <w:tc>
          <w:tcPr>
            <w:tcW w:w="937"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3F678A" w:rsidP="00203A1F">
            <w:pPr>
              <w:rPr>
                <w:rFonts w:asciiTheme="minorHAnsi" w:hAnsiTheme="minorHAnsi" w:cstheme="minorHAnsi"/>
                <w:b/>
                <w:sz w:val="20"/>
                <w:szCs w:val="20"/>
                <w:lang w:val="en-US" w:eastAsia="zh-CN"/>
              </w:rPr>
            </w:pPr>
            <w:r w:rsidRPr="00721F8E">
              <w:rPr>
                <w:rFonts w:asciiTheme="minorHAnsi" w:hAnsiTheme="minorHAnsi" w:cstheme="minorHAnsi"/>
                <w:b/>
                <w:sz w:val="20"/>
                <w:szCs w:val="20"/>
                <w:lang w:val="en-US" w:eastAsia="zh-CN"/>
              </w:rPr>
              <w:t>Disagree</w:t>
            </w:r>
          </w:p>
        </w:tc>
      </w:tr>
      <w:tr w:rsidR="003F678A" w:rsidRPr="00721F8E" w:rsidTr="003D06E4">
        <w:trPr>
          <w:jc w:val="center"/>
        </w:trPr>
        <w:tc>
          <w:tcPr>
            <w:tcW w:w="70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678A" w:rsidRPr="00721F8E" w:rsidRDefault="003F678A" w:rsidP="00203A1F">
            <w:pPr>
              <w:rPr>
                <w:rFonts w:asciiTheme="minorHAnsi" w:hAnsiTheme="minorHAnsi" w:cstheme="minorHAnsi"/>
                <w:sz w:val="20"/>
                <w:szCs w:val="20"/>
                <w:lang w:val="en-US" w:eastAsia="zh-CN"/>
              </w:rPr>
            </w:pPr>
            <w:r w:rsidRPr="00721F8E">
              <w:rPr>
                <w:rFonts w:asciiTheme="minorHAnsi" w:hAnsiTheme="minorHAnsi" w:cstheme="minorHAnsi"/>
                <w:sz w:val="20"/>
                <w:szCs w:val="20"/>
                <w:lang w:val="en-US" w:eastAsia="zh-CN"/>
              </w:rPr>
              <w:t>1</w:t>
            </w:r>
          </w:p>
        </w:tc>
        <w:tc>
          <w:tcPr>
            <w:tcW w:w="1215"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3F678A" w:rsidP="00203A1F">
            <w:pPr>
              <w:rPr>
                <w:rFonts w:asciiTheme="minorHAnsi" w:hAnsiTheme="minorHAnsi" w:cstheme="minorHAnsi"/>
                <w:sz w:val="20"/>
                <w:szCs w:val="20"/>
                <w:lang w:val="en-US" w:eastAsia="zh-CN"/>
              </w:rPr>
            </w:pPr>
          </w:p>
        </w:tc>
        <w:tc>
          <w:tcPr>
            <w:tcW w:w="937"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3F678A" w:rsidP="00203A1F">
            <w:pPr>
              <w:rPr>
                <w:rFonts w:asciiTheme="minorHAnsi" w:hAnsiTheme="minorHAnsi" w:cstheme="minorHAnsi"/>
                <w:sz w:val="20"/>
                <w:szCs w:val="20"/>
                <w:lang w:val="en-US" w:eastAsia="zh-CN"/>
              </w:rPr>
            </w:pPr>
          </w:p>
        </w:tc>
      </w:tr>
      <w:tr w:rsidR="003F678A" w:rsidRPr="00721F8E" w:rsidTr="003D06E4">
        <w:trPr>
          <w:jc w:val="center"/>
        </w:trPr>
        <w:tc>
          <w:tcPr>
            <w:tcW w:w="70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678A" w:rsidRPr="00721F8E" w:rsidRDefault="003F678A" w:rsidP="00203A1F">
            <w:pPr>
              <w:rPr>
                <w:rFonts w:asciiTheme="minorHAnsi" w:hAnsiTheme="minorHAnsi" w:cstheme="minorHAnsi"/>
                <w:sz w:val="20"/>
                <w:szCs w:val="20"/>
                <w:lang w:val="en-US" w:eastAsia="zh-CN"/>
              </w:rPr>
            </w:pPr>
            <w:r w:rsidRPr="00721F8E">
              <w:rPr>
                <w:rFonts w:asciiTheme="minorHAnsi" w:hAnsiTheme="minorHAnsi" w:cstheme="minorHAnsi"/>
                <w:sz w:val="20"/>
                <w:szCs w:val="20"/>
                <w:lang w:val="en-US" w:eastAsia="zh-CN"/>
              </w:rPr>
              <w:t>2</w:t>
            </w:r>
          </w:p>
        </w:tc>
        <w:tc>
          <w:tcPr>
            <w:tcW w:w="1215"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3F678A" w:rsidP="00203A1F">
            <w:pPr>
              <w:rPr>
                <w:rFonts w:asciiTheme="minorHAnsi" w:hAnsiTheme="minorHAnsi" w:cstheme="minorHAnsi"/>
                <w:sz w:val="20"/>
                <w:szCs w:val="20"/>
                <w:lang w:val="en-US" w:eastAsia="zh-CN"/>
              </w:rPr>
            </w:pPr>
          </w:p>
        </w:tc>
        <w:tc>
          <w:tcPr>
            <w:tcW w:w="937"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3F678A" w:rsidP="00203A1F">
            <w:pPr>
              <w:rPr>
                <w:rFonts w:asciiTheme="minorHAnsi" w:hAnsiTheme="minorHAnsi" w:cstheme="minorHAnsi"/>
                <w:sz w:val="20"/>
                <w:szCs w:val="20"/>
                <w:lang w:val="en-US" w:eastAsia="zh-CN"/>
              </w:rPr>
            </w:pPr>
          </w:p>
        </w:tc>
      </w:tr>
      <w:tr w:rsidR="003F678A" w:rsidRPr="00721F8E" w:rsidTr="003D06E4">
        <w:trPr>
          <w:jc w:val="center"/>
        </w:trPr>
        <w:tc>
          <w:tcPr>
            <w:tcW w:w="7029"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3F678A" w:rsidP="00203A1F">
            <w:pPr>
              <w:rPr>
                <w:rFonts w:asciiTheme="minorHAnsi" w:hAnsiTheme="minorHAnsi" w:cstheme="minorHAnsi"/>
                <w:b/>
                <w:sz w:val="20"/>
                <w:szCs w:val="20"/>
                <w:lang w:val="en-US" w:eastAsia="zh-CN"/>
              </w:rPr>
            </w:pPr>
            <w:r w:rsidRPr="00721F8E">
              <w:rPr>
                <w:rFonts w:asciiTheme="minorHAnsi" w:hAnsiTheme="minorHAnsi" w:cstheme="minorHAnsi"/>
                <w:b/>
                <w:sz w:val="20"/>
                <w:szCs w:val="20"/>
                <w:lang w:val="en-US" w:eastAsia="zh-CN"/>
              </w:rPr>
              <w:t>Other comments</w:t>
            </w:r>
          </w:p>
        </w:tc>
        <w:tc>
          <w:tcPr>
            <w:tcW w:w="1215"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3F678A" w:rsidP="00203A1F">
            <w:pPr>
              <w:rPr>
                <w:rFonts w:asciiTheme="minorHAnsi" w:hAnsiTheme="minorHAnsi" w:cstheme="minorHAnsi"/>
                <w:b/>
                <w:sz w:val="20"/>
                <w:szCs w:val="20"/>
                <w:lang w:val="en-US" w:eastAsia="zh-CN"/>
              </w:rPr>
            </w:pPr>
            <w:r w:rsidRPr="00721F8E">
              <w:rPr>
                <w:rFonts w:asciiTheme="minorHAnsi" w:hAnsiTheme="minorHAnsi" w:cstheme="minorHAnsi"/>
                <w:b/>
                <w:sz w:val="20"/>
                <w:szCs w:val="20"/>
                <w:lang w:val="en-US" w:eastAsia="zh-CN"/>
              </w:rPr>
              <w:t>Agree</w:t>
            </w:r>
          </w:p>
        </w:tc>
        <w:tc>
          <w:tcPr>
            <w:tcW w:w="937"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F678A" w:rsidRPr="00721F8E" w:rsidRDefault="003F678A" w:rsidP="00203A1F">
            <w:pPr>
              <w:rPr>
                <w:rFonts w:asciiTheme="minorHAnsi" w:hAnsiTheme="minorHAnsi" w:cstheme="minorHAnsi"/>
                <w:b/>
                <w:sz w:val="20"/>
                <w:szCs w:val="20"/>
                <w:lang w:val="en-US" w:eastAsia="zh-CN"/>
              </w:rPr>
            </w:pPr>
            <w:r w:rsidRPr="00721F8E">
              <w:rPr>
                <w:rFonts w:asciiTheme="minorHAnsi" w:hAnsiTheme="minorHAnsi" w:cstheme="minorHAnsi"/>
                <w:b/>
                <w:sz w:val="20"/>
                <w:szCs w:val="20"/>
                <w:lang w:val="en-US" w:eastAsia="zh-CN"/>
              </w:rPr>
              <w:t>Disagree</w:t>
            </w:r>
          </w:p>
        </w:tc>
      </w:tr>
      <w:tr w:rsidR="003F678A" w:rsidRPr="00721F8E" w:rsidTr="003D06E4">
        <w:trPr>
          <w:jc w:val="center"/>
        </w:trPr>
        <w:tc>
          <w:tcPr>
            <w:tcW w:w="70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678A" w:rsidRPr="00721F8E" w:rsidRDefault="003F678A" w:rsidP="00203A1F">
            <w:pPr>
              <w:rPr>
                <w:rFonts w:asciiTheme="minorHAnsi" w:hAnsiTheme="minorHAnsi" w:cstheme="minorHAnsi"/>
                <w:sz w:val="20"/>
                <w:szCs w:val="20"/>
                <w:lang w:val="en-US" w:eastAsia="zh-CN"/>
              </w:rPr>
            </w:pPr>
            <w:r w:rsidRPr="00721F8E">
              <w:rPr>
                <w:rFonts w:asciiTheme="minorHAnsi" w:hAnsiTheme="minorHAnsi" w:cstheme="minorHAnsi"/>
                <w:sz w:val="20"/>
                <w:szCs w:val="20"/>
                <w:lang w:val="en-US" w:eastAsia="zh-CN"/>
              </w:rPr>
              <w:t>1</w:t>
            </w:r>
          </w:p>
        </w:tc>
        <w:tc>
          <w:tcPr>
            <w:tcW w:w="1215"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3F678A" w:rsidP="00203A1F">
            <w:pPr>
              <w:rPr>
                <w:rFonts w:asciiTheme="minorHAnsi" w:hAnsiTheme="minorHAnsi" w:cstheme="minorHAnsi"/>
                <w:sz w:val="20"/>
                <w:szCs w:val="20"/>
                <w:lang w:val="en-US" w:eastAsia="zh-CN"/>
              </w:rPr>
            </w:pPr>
          </w:p>
        </w:tc>
        <w:tc>
          <w:tcPr>
            <w:tcW w:w="937"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3F678A" w:rsidP="00203A1F">
            <w:pPr>
              <w:rPr>
                <w:rFonts w:asciiTheme="minorHAnsi" w:hAnsiTheme="minorHAnsi" w:cstheme="minorHAnsi"/>
                <w:sz w:val="20"/>
                <w:szCs w:val="20"/>
                <w:lang w:val="en-US" w:eastAsia="zh-CN"/>
              </w:rPr>
            </w:pPr>
          </w:p>
        </w:tc>
      </w:tr>
      <w:tr w:rsidR="003F678A" w:rsidRPr="00721F8E" w:rsidTr="003D06E4">
        <w:trPr>
          <w:jc w:val="center"/>
        </w:trPr>
        <w:tc>
          <w:tcPr>
            <w:tcW w:w="70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F678A" w:rsidRPr="00721F8E" w:rsidRDefault="003F678A" w:rsidP="00203A1F">
            <w:pPr>
              <w:rPr>
                <w:rFonts w:asciiTheme="minorHAnsi" w:hAnsiTheme="minorHAnsi" w:cstheme="minorHAnsi"/>
                <w:sz w:val="20"/>
                <w:szCs w:val="20"/>
                <w:lang w:val="en-US" w:eastAsia="zh-CN"/>
              </w:rPr>
            </w:pPr>
            <w:r w:rsidRPr="00721F8E">
              <w:rPr>
                <w:rFonts w:asciiTheme="minorHAnsi" w:hAnsiTheme="minorHAnsi" w:cstheme="minorHAnsi"/>
                <w:sz w:val="20"/>
                <w:szCs w:val="20"/>
                <w:lang w:val="en-US" w:eastAsia="zh-CN"/>
              </w:rPr>
              <w:t>2</w:t>
            </w:r>
          </w:p>
        </w:tc>
        <w:tc>
          <w:tcPr>
            <w:tcW w:w="1215"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3F678A" w:rsidP="00203A1F">
            <w:pPr>
              <w:rPr>
                <w:rFonts w:asciiTheme="minorHAnsi" w:hAnsiTheme="minorHAnsi" w:cstheme="minorHAnsi"/>
                <w:sz w:val="20"/>
                <w:szCs w:val="20"/>
                <w:lang w:val="en-US" w:eastAsia="zh-CN"/>
              </w:rPr>
            </w:pPr>
          </w:p>
        </w:tc>
        <w:tc>
          <w:tcPr>
            <w:tcW w:w="937" w:type="dxa"/>
            <w:tcBorders>
              <w:top w:val="nil"/>
              <w:left w:val="nil"/>
              <w:bottom w:val="single" w:sz="8" w:space="0" w:color="auto"/>
              <w:right w:val="single" w:sz="8" w:space="0" w:color="auto"/>
            </w:tcBorders>
            <w:tcMar>
              <w:top w:w="0" w:type="dxa"/>
              <w:left w:w="108" w:type="dxa"/>
              <w:bottom w:w="0" w:type="dxa"/>
              <w:right w:w="108" w:type="dxa"/>
            </w:tcMar>
          </w:tcPr>
          <w:p w:rsidR="003F678A" w:rsidRPr="00721F8E" w:rsidRDefault="003F678A" w:rsidP="00203A1F">
            <w:pPr>
              <w:rPr>
                <w:rFonts w:asciiTheme="minorHAnsi" w:hAnsiTheme="minorHAnsi" w:cstheme="minorHAnsi"/>
                <w:sz w:val="20"/>
                <w:szCs w:val="20"/>
                <w:lang w:val="en-US" w:eastAsia="zh-CN"/>
              </w:rPr>
            </w:pPr>
          </w:p>
        </w:tc>
      </w:tr>
    </w:tbl>
    <w:p w:rsidR="003F678A" w:rsidRPr="003D06E4" w:rsidRDefault="003F678A" w:rsidP="003F678A">
      <w:pPr>
        <w:rPr>
          <w:rFonts w:asciiTheme="minorHAnsi" w:hAnsiTheme="minorHAnsi" w:cstheme="minorHAnsi"/>
          <w:lang w:val="fr-CH"/>
        </w:rPr>
      </w:pPr>
    </w:p>
    <w:tbl>
      <w:tblPr>
        <w:tblStyle w:val="TableGrid"/>
        <w:tblW w:w="0" w:type="auto"/>
        <w:tblLook w:val="04A0" w:firstRow="1" w:lastRow="0" w:firstColumn="1" w:lastColumn="0" w:noHBand="0" w:noVBand="1"/>
      </w:tblPr>
      <w:tblGrid>
        <w:gridCol w:w="9242"/>
      </w:tblGrid>
      <w:tr w:rsidR="003D06E4" w:rsidRPr="003D06E4" w:rsidTr="003D06E4">
        <w:tc>
          <w:tcPr>
            <w:tcW w:w="9242" w:type="dxa"/>
          </w:tcPr>
          <w:p w:rsidR="003D06E4" w:rsidRPr="003D06E4" w:rsidRDefault="003D06E4" w:rsidP="003D06E4">
            <w:pPr>
              <w:pStyle w:val="NormalWeb"/>
              <w:kinsoku w:val="0"/>
              <w:overflowPunct w:val="0"/>
              <w:spacing w:before="77" w:beforeAutospacing="0" w:after="0" w:afterAutospacing="0"/>
              <w:textAlignment w:val="baseline"/>
              <w:rPr>
                <w:sz w:val="20"/>
                <w:szCs w:val="20"/>
              </w:rPr>
            </w:pPr>
            <w:r w:rsidRPr="003D06E4">
              <w:rPr>
                <w:rFonts w:ascii="Arial" w:eastAsia="+mn-ea" w:hAnsi="Arial" w:cs="Arial"/>
                <w:b/>
                <w:bCs/>
                <w:kern w:val="24"/>
                <w:sz w:val="20"/>
                <w:szCs w:val="20"/>
              </w:rPr>
              <w:t>WHO Health Security Learning Platform - Training Materials</w:t>
            </w:r>
          </w:p>
          <w:p w:rsidR="003D06E4" w:rsidRPr="003D06E4" w:rsidRDefault="003D06E4" w:rsidP="003D06E4">
            <w:pPr>
              <w:pStyle w:val="NormalWeb"/>
              <w:kinsoku w:val="0"/>
              <w:overflowPunct w:val="0"/>
              <w:spacing w:before="77" w:beforeAutospacing="0" w:after="0" w:afterAutospacing="0"/>
              <w:textAlignment w:val="baseline"/>
              <w:rPr>
                <w:sz w:val="20"/>
                <w:szCs w:val="20"/>
              </w:rPr>
            </w:pPr>
            <w:r w:rsidRPr="003D06E4">
              <w:rPr>
                <w:rFonts w:ascii="Arial" w:eastAsia="+mn-ea" w:hAnsi="Arial" w:cs="Arial"/>
                <w:kern w:val="24"/>
                <w:sz w:val="20"/>
                <w:szCs w:val="20"/>
              </w:rPr>
              <w:t>These WHO Training Materials are © World Health Organization (WHO) 2018. All rights reserved.</w:t>
            </w:r>
          </w:p>
          <w:p w:rsidR="003D06E4" w:rsidRPr="003D06E4" w:rsidRDefault="003D06E4" w:rsidP="003D06E4">
            <w:pPr>
              <w:pStyle w:val="NormalWeb"/>
              <w:kinsoku w:val="0"/>
              <w:overflowPunct w:val="0"/>
              <w:spacing w:before="77" w:beforeAutospacing="0" w:after="0" w:afterAutospacing="0"/>
              <w:textAlignment w:val="baseline"/>
              <w:rPr>
                <w:sz w:val="20"/>
                <w:szCs w:val="20"/>
              </w:rPr>
            </w:pPr>
            <w:r w:rsidRPr="003D06E4">
              <w:rPr>
                <w:rFonts w:ascii="Arial" w:eastAsia="+mn-ea" w:hAnsi="Arial" w:cs="Arial"/>
                <w:kern w:val="24"/>
                <w:sz w:val="20"/>
                <w:szCs w:val="20"/>
              </w:rPr>
              <w:t>Your use of these materials is subject to the “</w:t>
            </w:r>
            <w:hyperlink r:id="rId7" w:history="1">
              <w:r w:rsidRPr="003D06E4">
                <w:rPr>
                  <w:rStyle w:val="Hyperlink"/>
                  <w:rFonts w:ascii="Arial" w:eastAsia="+mn-ea" w:hAnsi="Arial" w:cs="Arial"/>
                  <w:color w:val="auto"/>
                  <w:kern w:val="24"/>
                  <w:sz w:val="20"/>
                  <w:szCs w:val="20"/>
                </w:rPr>
                <w:t>WHO Health Security Learning Platform, Training Materials – Terms of Use</w:t>
              </w:r>
            </w:hyperlink>
            <w:r w:rsidRPr="003D06E4">
              <w:rPr>
                <w:rFonts w:ascii="Arial" w:eastAsia="+mn-ea" w:hAnsi="Arial" w:cs="Arial"/>
                <w:kern w:val="24"/>
                <w:sz w:val="20"/>
                <w:szCs w:val="20"/>
              </w:rPr>
              <w:t xml:space="preserve">”, which you accepted when downloading them and which are available on the Health Security Learning Platform at: </w:t>
            </w:r>
            <w:hyperlink r:id="rId8" w:history="1">
              <w:r w:rsidRPr="003D06E4">
                <w:rPr>
                  <w:rStyle w:val="Hyperlink"/>
                  <w:rFonts w:ascii="Arial" w:eastAsia="+mn-ea" w:hAnsi="Arial" w:cs="Arial"/>
                  <w:color w:val="auto"/>
                  <w:kern w:val="24"/>
                  <w:sz w:val="20"/>
                  <w:szCs w:val="20"/>
                </w:rPr>
                <w:t>https://extranet.who.int/hslp</w:t>
              </w:r>
            </w:hyperlink>
            <w:r w:rsidRPr="003D06E4">
              <w:rPr>
                <w:rFonts w:ascii="Arial" w:eastAsia="+mn-ea" w:hAnsi="Arial" w:cs="Arial"/>
                <w:kern w:val="24"/>
                <w:sz w:val="20"/>
                <w:szCs w:val="20"/>
              </w:rPr>
              <w:t xml:space="preserve"> .  </w:t>
            </w:r>
          </w:p>
          <w:p w:rsidR="003D06E4" w:rsidRPr="003D06E4" w:rsidRDefault="003D06E4" w:rsidP="003D06E4">
            <w:pPr>
              <w:pStyle w:val="NormalWeb"/>
              <w:kinsoku w:val="0"/>
              <w:overflowPunct w:val="0"/>
              <w:spacing w:before="77" w:beforeAutospacing="0" w:after="0" w:afterAutospacing="0"/>
              <w:textAlignment w:val="baseline"/>
              <w:rPr>
                <w:sz w:val="20"/>
                <w:szCs w:val="20"/>
              </w:rPr>
            </w:pPr>
            <w:r w:rsidRPr="003D06E4">
              <w:rPr>
                <w:rFonts w:ascii="Arial" w:eastAsia="+mn-ea" w:hAnsi="Arial" w:cs="Arial"/>
                <w:kern w:val="24"/>
                <w:sz w:val="20"/>
                <w:szCs w:val="20"/>
              </w:rPr>
              <w:t> </w:t>
            </w:r>
          </w:p>
          <w:p w:rsidR="003D06E4" w:rsidRPr="003D06E4" w:rsidRDefault="003D06E4" w:rsidP="003D06E4">
            <w:pPr>
              <w:pStyle w:val="NormalWeb"/>
              <w:kinsoku w:val="0"/>
              <w:overflowPunct w:val="0"/>
              <w:spacing w:before="77" w:beforeAutospacing="0" w:after="0" w:afterAutospacing="0"/>
              <w:textAlignment w:val="baseline"/>
              <w:rPr>
                <w:sz w:val="20"/>
                <w:szCs w:val="20"/>
              </w:rPr>
            </w:pPr>
            <w:r w:rsidRPr="003D06E4">
              <w:rPr>
                <w:rFonts w:ascii="Arial" w:eastAsia="+mn-ea" w:hAnsi="Arial" w:cs="Arial"/>
                <w:kern w:val="24"/>
                <w:sz w:val="20"/>
                <w:szCs w:val="20"/>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3D06E4" w:rsidRPr="003D06E4" w:rsidRDefault="003D06E4" w:rsidP="003D06E4">
            <w:pPr>
              <w:pStyle w:val="NormalWeb"/>
              <w:kinsoku w:val="0"/>
              <w:overflowPunct w:val="0"/>
              <w:spacing w:before="77" w:beforeAutospacing="0" w:after="0" w:afterAutospacing="0"/>
              <w:textAlignment w:val="baseline"/>
              <w:rPr>
                <w:sz w:val="22"/>
                <w:szCs w:val="22"/>
              </w:rPr>
            </w:pPr>
            <w:r w:rsidRPr="003D06E4">
              <w:rPr>
                <w:rFonts w:ascii="Arial" w:eastAsia="+mn-ea" w:hAnsi="Arial" w:cs="Arial"/>
                <w:kern w:val="24"/>
                <w:sz w:val="20"/>
                <w:szCs w:val="20"/>
              </w:rPr>
              <w:t xml:space="preserve">Further, please inform WHO of any modifications of these materials that you use publicly, for record-keeping purposes and continued development, by emailing </w:t>
            </w:r>
            <w:hyperlink r:id="rId9" w:history="1">
              <w:r w:rsidRPr="003D06E4">
                <w:rPr>
                  <w:rStyle w:val="Hyperlink"/>
                  <w:rFonts w:ascii="Arial" w:eastAsia="+mn-ea" w:hAnsi="Arial" w:cs="Arial"/>
                  <w:color w:val="auto"/>
                  <w:kern w:val="24"/>
                  <w:sz w:val="20"/>
                  <w:szCs w:val="20"/>
                </w:rPr>
                <w:t>ihrhrt@who.int</w:t>
              </w:r>
            </w:hyperlink>
            <w:r w:rsidRPr="003D06E4">
              <w:rPr>
                <w:rFonts w:ascii="Arial" w:eastAsia="+mn-ea" w:hAnsi="Arial" w:cs="Arial"/>
                <w:kern w:val="24"/>
                <w:sz w:val="20"/>
                <w:szCs w:val="20"/>
              </w:rPr>
              <w:t>.</w:t>
            </w:r>
            <w:r w:rsidRPr="003D06E4">
              <w:rPr>
                <w:rFonts w:ascii="Arial" w:eastAsia="+mn-ea" w:hAnsi="Arial" w:cs="Arial"/>
                <w:kern w:val="24"/>
                <w:sz w:val="22"/>
                <w:szCs w:val="22"/>
              </w:rPr>
              <w:t xml:space="preserve"> </w:t>
            </w:r>
          </w:p>
        </w:tc>
      </w:tr>
    </w:tbl>
    <w:p w:rsidR="003F678A" w:rsidRPr="00721F8E" w:rsidRDefault="003F678A">
      <w:pPr>
        <w:rPr>
          <w:rFonts w:asciiTheme="minorHAnsi" w:hAnsiTheme="minorHAnsi" w:cstheme="minorHAnsi"/>
        </w:rPr>
      </w:pPr>
    </w:p>
    <w:sectPr w:rsidR="003F678A" w:rsidRPr="00721F8E">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977" w:rsidRDefault="00537977" w:rsidP="00537977">
      <w:r>
        <w:separator/>
      </w:r>
    </w:p>
  </w:endnote>
  <w:endnote w:type="continuationSeparator" w:id="0">
    <w:p w:rsidR="00537977" w:rsidRDefault="00537977" w:rsidP="00537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Monotype Sorts">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6E4" w:rsidRPr="003D06E4" w:rsidRDefault="003D06E4">
    <w:pPr>
      <w:pBdr>
        <w:left w:val="single" w:sz="12" w:space="11" w:color="4F81BD" w:themeColor="accent1"/>
      </w:pBdr>
      <w:tabs>
        <w:tab w:val="left" w:pos="622"/>
      </w:tabs>
      <w:rPr>
        <w:rFonts w:asciiTheme="majorHAnsi" w:eastAsiaTheme="majorEastAsia" w:hAnsiTheme="majorHAnsi" w:cstheme="majorBidi"/>
        <w:color w:val="002060"/>
        <w:sz w:val="20"/>
        <w:szCs w:val="20"/>
      </w:rPr>
    </w:pPr>
    <w:r w:rsidRPr="003D06E4">
      <w:rPr>
        <w:rFonts w:asciiTheme="majorHAnsi" w:eastAsiaTheme="majorEastAsia" w:hAnsiTheme="majorHAnsi" w:cstheme="majorBidi"/>
        <w:color w:val="002060"/>
        <w:sz w:val="20"/>
        <w:szCs w:val="20"/>
      </w:rPr>
      <w:fldChar w:fldCharType="begin"/>
    </w:r>
    <w:r w:rsidRPr="003D06E4">
      <w:rPr>
        <w:rFonts w:asciiTheme="majorHAnsi" w:eastAsiaTheme="majorEastAsia" w:hAnsiTheme="majorHAnsi" w:cstheme="majorBidi"/>
        <w:color w:val="002060"/>
        <w:sz w:val="20"/>
        <w:szCs w:val="20"/>
      </w:rPr>
      <w:instrText xml:space="preserve"> PAGE   \* MERGEFORMAT </w:instrText>
    </w:r>
    <w:r w:rsidRPr="003D06E4">
      <w:rPr>
        <w:rFonts w:asciiTheme="majorHAnsi" w:eastAsiaTheme="majorEastAsia" w:hAnsiTheme="majorHAnsi" w:cstheme="majorBidi"/>
        <w:color w:val="002060"/>
        <w:sz w:val="20"/>
        <w:szCs w:val="20"/>
      </w:rPr>
      <w:fldChar w:fldCharType="separate"/>
    </w:r>
    <w:r w:rsidR="009E2022">
      <w:rPr>
        <w:rFonts w:asciiTheme="majorHAnsi" w:eastAsiaTheme="majorEastAsia" w:hAnsiTheme="majorHAnsi" w:cstheme="majorBidi"/>
        <w:noProof/>
        <w:color w:val="002060"/>
        <w:sz w:val="20"/>
        <w:szCs w:val="20"/>
      </w:rPr>
      <w:t>1</w:t>
    </w:r>
    <w:r w:rsidRPr="003D06E4">
      <w:rPr>
        <w:rFonts w:asciiTheme="majorHAnsi" w:eastAsiaTheme="majorEastAsia" w:hAnsiTheme="majorHAnsi" w:cstheme="majorBidi"/>
        <w:noProof/>
        <w:color w:val="002060"/>
        <w:sz w:val="20"/>
        <w:szCs w:val="20"/>
      </w:rPr>
      <w:fldChar w:fldCharType="end"/>
    </w:r>
    <w:r w:rsidRPr="003D06E4">
      <w:rPr>
        <w:rFonts w:asciiTheme="majorHAnsi" w:eastAsiaTheme="majorEastAsia" w:hAnsiTheme="majorHAnsi" w:cstheme="majorBidi"/>
        <w:noProof/>
        <w:color w:val="002060"/>
        <w:sz w:val="20"/>
        <w:szCs w:val="20"/>
      </w:rPr>
      <w:t xml:space="preserve"> WHO RRT Training Package – D1 Satisfaction level evaluation – V003 18/05/2018</w:t>
    </w:r>
  </w:p>
  <w:p w:rsidR="00537977" w:rsidRDefault="00537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977" w:rsidRDefault="00537977" w:rsidP="00537977">
      <w:r>
        <w:separator/>
      </w:r>
    </w:p>
  </w:footnote>
  <w:footnote w:type="continuationSeparator" w:id="0">
    <w:p w:rsidR="00537977" w:rsidRDefault="00537977" w:rsidP="00537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8A5195"/>
    <w:multiLevelType w:val="hybridMultilevel"/>
    <w:tmpl w:val="02A60E62"/>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CA9"/>
    <w:rsid w:val="00132CA9"/>
    <w:rsid w:val="003D06E4"/>
    <w:rsid w:val="003F678A"/>
    <w:rsid w:val="00537977"/>
    <w:rsid w:val="00720050"/>
    <w:rsid w:val="00721F8E"/>
    <w:rsid w:val="007B63E9"/>
    <w:rsid w:val="009251C7"/>
    <w:rsid w:val="009E2022"/>
    <w:rsid w:val="00C96AFC"/>
    <w:rsid w:val="00CC3BC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E09C3"/>
  <w15:docId w15:val="{3D9B2DA0-1786-42DE-A3BC-D4AACCF9F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2CA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CA9"/>
    <w:pPr>
      <w:spacing w:after="200" w:line="276" w:lineRule="auto"/>
      <w:ind w:left="720"/>
      <w:contextualSpacing/>
    </w:pPr>
    <w:rPr>
      <w:rFonts w:asciiTheme="minorHAnsi" w:hAnsiTheme="minorHAnsi" w:cstheme="minorBidi"/>
      <w:lang w:val="en-US"/>
    </w:rPr>
  </w:style>
  <w:style w:type="paragraph" w:styleId="Header">
    <w:name w:val="header"/>
    <w:basedOn w:val="Normal"/>
    <w:link w:val="HeaderChar"/>
    <w:uiPriority w:val="99"/>
    <w:unhideWhenUsed/>
    <w:rsid w:val="00537977"/>
    <w:pPr>
      <w:tabs>
        <w:tab w:val="center" w:pos="4513"/>
        <w:tab w:val="right" w:pos="9026"/>
      </w:tabs>
    </w:pPr>
  </w:style>
  <w:style w:type="character" w:customStyle="1" w:styleId="HeaderChar">
    <w:name w:val="Header Char"/>
    <w:basedOn w:val="DefaultParagraphFont"/>
    <w:link w:val="Header"/>
    <w:uiPriority w:val="99"/>
    <w:rsid w:val="00537977"/>
    <w:rPr>
      <w:rFonts w:ascii="Calibri" w:hAnsi="Calibri" w:cs="Calibri"/>
    </w:rPr>
  </w:style>
  <w:style w:type="paragraph" w:styleId="Footer">
    <w:name w:val="footer"/>
    <w:basedOn w:val="Normal"/>
    <w:link w:val="FooterChar"/>
    <w:uiPriority w:val="99"/>
    <w:unhideWhenUsed/>
    <w:rsid w:val="00537977"/>
    <w:pPr>
      <w:tabs>
        <w:tab w:val="center" w:pos="4513"/>
        <w:tab w:val="right" w:pos="9026"/>
      </w:tabs>
    </w:pPr>
  </w:style>
  <w:style w:type="character" w:customStyle="1" w:styleId="FooterChar">
    <w:name w:val="Footer Char"/>
    <w:basedOn w:val="DefaultParagraphFont"/>
    <w:link w:val="Footer"/>
    <w:uiPriority w:val="99"/>
    <w:rsid w:val="00537977"/>
    <w:rPr>
      <w:rFonts w:ascii="Calibri" w:hAnsi="Calibri" w:cs="Calibri"/>
    </w:rPr>
  </w:style>
  <w:style w:type="table" w:styleId="TableGrid">
    <w:name w:val="Table Grid"/>
    <w:basedOn w:val="TableNormal"/>
    <w:uiPriority w:val="59"/>
    <w:unhideWhenUsed/>
    <w:rsid w:val="003D06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D06E4"/>
    <w:pPr>
      <w:spacing w:before="100" w:beforeAutospacing="1" w:after="100" w:afterAutospacing="1"/>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3D06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883031">
      <w:bodyDiv w:val="1"/>
      <w:marLeft w:val="0"/>
      <w:marRight w:val="0"/>
      <w:marTop w:val="0"/>
      <w:marBottom w:val="0"/>
      <w:divBdr>
        <w:top w:val="none" w:sz="0" w:space="0" w:color="auto"/>
        <w:left w:val="none" w:sz="0" w:space="0" w:color="auto"/>
        <w:bottom w:val="none" w:sz="0" w:space="0" w:color="auto"/>
        <w:right w:val="none" w:sz="0" w:space="0" w:color="auto"/>
      </w:divBdr>
    </w:div>
    <w:div w:id="172359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tranet.who.int/hslp" TargetMode="External"/><Relationship Id="rId3" Type="http://schemas.openxmlformats.org/officeDocument/2006/relationships/settings" Target="settings.xml"/><Relationship Id="rId7" Type="http://schemas.openxmlformats.org/officeDocument/2006/relationships/hyperlink" Target="https://extranet.who.int/hslp/?q=content/terms-us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hrhrt@w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GOMEZ, Paula</dc:creator>
  <cp:lastModifiedBy>GOMEZ, Paula</cp:lastModifiedBy>
  <cp:revision>9</cp:revision>
  <dcterms:created xsi:type="dcterms:W3CDTF">2015-03-11T09:06:00Z</dcterms:created>
  <dcterms:modified xsi:type="dcterms:W3CDTF">2018-05-18T13:47:00Z</dcterms:modified>
</cp:coreProperties>
</file>