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5EE9E9" w14:textId="3173A3C5" w:rsidR="00684F49" w:rsidRPr="00234E16" w:rsidRDefault="00234E16">
      <w:pPr>
        <w:pStyle w:val="Heading1"/>
        <w:keepNext w:val="0"/>
        <w:keepLines w:val="0"/>
        <w:pBdr>
          <w:bottom w:val="none" w:sz="0" w:space="0" w:color="auto"/>
        </w:pBdr>
        <w:spacing w:before="0" w:after="0" w:line="276" w:lineRule="auto"/>
        <w:rPr>
          <w:rFonts w:ascii="Arial" w:hAnsi="Arial" w:cs="Arial"/>
          <w:b/>
          <w:bCs/>
          <w:color w:val="009AC9"/>
          <w:kern w:val="36"/>
          <w:sz w:val="36"/>
          <w:szCs w:val="36"/>
          <w:lang w:val="es-ES_tradnl"/>
        </w:rPr>
      </w:pPr>
      <w:r w:rsidRPr="00234E16">
        <w:rPr>
          <w:rFonts w:ascii="Arial" w:hAnsi="Arial" w:cs="Arial"/>
          <w:b/>
          <w:bCs/>
          <w:color w:val="009AC9"/>
          <w:kern w:val="36"/>
          <w:sz w:val="36"/>
          <w:szCs w:val="36"/>
          <w:lang w:val="es-ES_tradnl"/>
        </w:rPr>
        <w:t xml:space="preserve">Prueba diagnóstica rápida de antígenos </w:t>
      </w:r>
      <w:r w:rsidR="00DB0FA4" w:rsidRPr="00234E16">
        <w:rPr>
          <w:rFonts w:ascii="Arial" w:hAnsi="Arial" w:cs="Arial"/>
          <w:b/>
          <w:bCs/>
          <w:color w:val="009AC9"/>
          <w:kern w:val="36"/>
          <w:sz w:val="36"/>
          <w:szCs w:val="36"/>
          <w:lang w:val="es-ES_tradnl"/>
        </w:rPr>
        <w:br/>
      </w:r>
      <w:r w:rsidRPr="00234E16">
        <w:rPr>
          <w:rFonts w:ascii="Arial" w:hAnsi="Arial" w:cs="Arial"/>
          <w:b/>
          <w:bCs/>
          <w:color w:val="009AC9"/>
          <w:kern w:val="36"/>
          <w:sz w:val="36"/>
          <w:szCs w:val="36"/>
          <w:lang w:val="es-ES_tradnl"/>
        </w:rPr>
        <w:t>del SARS-CoV-2</w:t>
      </w:r>
      <w:r w:rsidR="00DB0FA4" w:rsidRPr="00234E16">
        <w:rPr>
          <w:rFonts w:ascii="Arial" w:hAnsi="Arial" w:cs="Arial"/>
          <w:b/>
          <w:bCs/>
          <w:color w:val="009AC9"/>
          <w:kern w:val="36"/>
          <w:sz w:val="36"/>
          <w:szCs w:val="36"/>
          <w:lang w:val="es-ES_tradnl"/>
        </w:rPr>
        <w:t>:</w:t>
      </w:r>
      <w:r w:rsidRPr="00234E16">
        <w:rPr>
          <w:rFonts w:ascii="Arial" w:hAnsi="Arial" w:cs="Arial"/>
          <w:b/>
          <w:bCs/>
          <w:color w:val="009AC9"/>
          <w:kern w:val="36"/>
          <w:sz w:val="36"/>
          <w:szCs w:val="36"/>
          <w:lang w:val="es-ES_tradnl"/>
        </w:rPr>
        <w:t xml:space="preserve"> Preguntas frecuentes </w:t>
      </w:r>
    </w:p>
    <w:p w14:paraId="44406630" w14:textId="77777777" w:rsidR="00684F49" w:rsidRPr="00234E16" w:rsidRDefault="00234E16">
      <w:pPr>
        <w:pStyle w:val="Heading2"/>
        <w:keepNext w:val="0"/>
        <w:keepLines w:val="0"/>
        <w:spacing w:before="480" w:after="160" w:line="276" w:lineRule="auto"/>
        <w:rPr>
          <w:rFonts w:ascii="Arial" w:hAnsi="Arial" w:cs="Arial"/>
          <w:b/>
          <w:bCs/>
          <w:color w:val="auto"/>
          <w:sz w:val="26"/>
          <w:szCs w:val="26"/>
          <w:lang w:val="es-ES_tradnl"/>
        </w:rPr>
      </w:pPr>
      <w:r w:rsidRPr="00234E16">
        <w:rPr>
          <w:rFonts w:ascii="Arial" w:hAnsi="Arial" w:cs="Arial"/>
          <w:b/>
          <w:bCs/>
          <w:color w:val="auto"/>
          <w:sz w:val="26"/>
          <w:szCs w:val="26"/>
          <w:lang w:val="es-ES_tradnl"/>
        </w:rPr>
        <w:t xml:space="preserve">Principios </w:t>
      </w:r>
    </w:p>
    <w:p w14:paraId="759D1168" w14:textId="77777777" w:rsidR="00684F49" w:rsidRPr="00234E16" w:rsidRDefault="00234E16">
      <w:pPr>
        <w:pStyle w:val="ListParagraph"/>
        <w:numPr>
          <w:ilvl w:val="0"/>
          <w:numId w:val="1"/>
        </w:numPr>
        <w:jc w:val="both"/>
        <w:rPr>
          <w:rFonts w:ascii="Arial" w:hAnsi="Arial" w:cs="Arial"/>
          <w:b/>
          <w:sz w:val="20"/>
          <w:szCs w:val="20"/>
          <w:lang w:val="es-ES_tradnl"/>
        </w:rPr>
      </w:pPr>
      <w:r w:rsidRPr="00234E16">
        <w:rPr>
          <w:rFonts w:ascii="Arial" w:hAnsi="Arial" w:cs="Arial"/>
          <w:b/>
          <w:bCs/>
          <w:sz w:val="20"/>
          <w:szCs w:val="20"/>
          <w:lang w:val="es-ES_tradnl"/>
        </w:rPr>
        <w:t>¿Qué es una PDR?</w:t>
      </w:r>
    </w:p>
    <w:p w14:paraId="25B1B80C" w14:textId="5BA1ED41" w:rsidR="00684F49" w:rsidRPr="00234E16" w:rsidRDefault="00234E16">
      <w:pPr>
        <w:pStyle w:val="ListParagraph"/>
        <w:jc w:val="both"/>
        <w:rPr>
          <w:rFonts w:ascii="Arial" w:hAnsi="Arial" w:cs="Arial"/>
          <w:sz w:val="20"/>
          <w:szCs w:val="20"/>
          <w:lang w:val="es-ES_tradnl"/>
        </w:rPr>
      </w:pPr>
      <w:r w:rsidRPr="00234E16">
        <w:rPr>
          <w:rFonts w:ascii="Arial" w:hAnsi="Arial" w:cs="Arial"/>
          <w:sz w:val="20"/>
          <w:szCs w:val="20"/>
          <w:lang w:val="es-ES_tradnl"/>
        </w:rPr>
        <w:t>Las siglas PDR corresponden a prueba de diagnóstico rápido. Las PDR son pruebas fáciles de realizar que pueden usarse fuera de los entornos de laboratorio y normalmente proporcionan los resultados en un plazo de 15</w:t>
      </w:r>
      <w:r w:rsidR="00DB0FA4" w:rsidRPr="00234E16">
        <w:rPr>
          <w:rFonts w:ascii="Arial" w:hAnsi="Arial" w:cs="Arial"/>
          <w:sz w:val="20"/>
          <w:szCs w:val="20"/>
          <w:lang w:val="es-ES_tradnl"/>
        </w:rPr>
        <w:t xml:space="preserve"> a </w:t>
      </w:r>
      <w:r w:rsidRPr="00234E16">
        <w:rPr>
          <w:rFonts w:ascii="Arial" w:hAnsi="Arial" w:cs="Arial"/>
          <w:sz w:val="20"/>
          <w:szCs w:val="20"/>
          <w:lang w:val="es-ES_tradnl"/>
        </w:rPr>
        <w:t>30 minutos. Las pruebas de flujo lateral son el tipo más frecuente de PDR (por ejemplo, las pruebas de la malaria).</w:t>
      </w:r>
    </w:p>
    <w:p w14:paraId="2DEE622D" w14:textId="77777777" w:rsidR="00684F49" w:rsidRPr="00234E16" w:rsidRDefault="00684F49">
      <w:pPr>
        <w:pStyle w:val="ListParagraph"/>
        <w:jc w:val="both"/>
        <w:rPr>
          <w:rFonts w:ascii="Arial" w:hAnsi="Arial" w:cs="Arial"/>
          <w:sz w:val="20"/>
          <w:szCs w:val="20"/>
          <w:lang w:val="es-ES_tradnl"/>
        </w:rPr>
      </w:pPr>
    </w:p>
    <w:p w14:paraId="2D392C92" w14:textId="77777777" w:rsidR="00684F49" w:rsidRPr="00234E16" w:rsidRDefault="00234E16">
      <w:pPr>
        <w:pStyle w:val="ListParagraph"/>
        <w:numPr>
          <w:ilvl w:val="0"/>
          <w:numId w:val="1"/>
        </w:numPr>
        <w:jc w:val="both"/>
        <w:rPr>
          <w:rFonts w:ascii="Arial" w:hAnsi="Arial" w:cs="Arial"/>
          <w:b/>
          <w:sz w:val="20"/>
          <w:szCs w:val="20"/>
          <w:lang w:val="es-ES_tradnl"/>
        </w:rPr>
      </w:pPr>
      <w:r w:rsidRPr="00234E16">
        <w:rPr>
          <w:rFonts w:ascii="Arial" w:hAnsi="Arial" w:cs="Arial"/>
          <w:b/>
          <w:bCs/>
          <w:sz w:val="20"/>
          <w:szCs w:val="20"/>
          <w:lang w:val="es-ES_tradnl"/>
        </w:rPr>
        <w:t>¿Qué es un antígeno?</w:t>
      </w:r>
    </w:p>
    <w:p w14:paraId="056F96D0" w14:textId="2D037A45" w:rsidR="00684F49" w:rsidRPr="00234E16" w:rsidRDefault="00234E16">
      <w:pPr>
        <w:pStyle w:val="ListParagraph"/>
        <w:jc w:val="both"/>
        <w:rPr>
          <w:rFonts w:ascii="Arial" w:hAnsi="Arial" w:cs="Arial"/>
          <w:sz w:val="20"/>
          <w:szCs w:val="20"/>
          <w:lang w:val="es-ES_tradnl"/>
        </w:rPr>
      </w:pPr>
      <w:r w:rsidRPr="00234E16">
        <w:rPr>
          <w:rFonts w:ascii="Arial" w:hAnsi="Arial" w:cs="Arial"/>
          <w:sz w:val="20"/>
          <w:szCs w:val="20"/>
          <w:lang w:val="es-ES_tradnl"/>
        </w:rPr>
        <w:t xml:space="preserve">Un antígeno es un tipo de proteína expresada por virus, bacterias o parásitos. Es identificado por el sistema inmunitario del cuerpo como algo </w:t>
      </w:r>
      <w:r w:rsidR="00DB0FA4" w:rsidRPr="00234E16">
        <w:rPr>
          <w:rFonts w:ascii="Arial" w:hAnsi="Arial" w:cs="Arial"/>
          <w:sz w:val="20"/>
          <w:szCs w:val="20"/>
          <w:lang w:val="es-ES_tradnl"/>
        </w:rPr>
        <w:t xml:space="preserve">ajeno, lo que </w:t>
      </w:r>
      <w:r w:rsidRPr="00234E16">
        <w:rPr>
          <w:rFonts w:ascii="Arial" w:hAnsi="Arial" w:cs="Arial"/>
          <w:sz w:val="20"/>
          <w:szCs w:val="20"/>
          <w:lang w:val="es-ES_tradnl"/>
        </w:rPr>
        <w:t>desencadena una producción de anticuerpos que identifican y neutralizan específicamente ese antígeno.</w:t>
      </w:r>
    </w:p>
    <w:p w14:paraId="24F95EC3" w14:textId="77777777" w:rsidR="00684F49" w:rsidRPr="00234E16" w:rsidRDefault="00684F49">
      <w:pPr>
        <w:pStyle w:val="ListParagraph"/>
        <w:jc w:val="both"/>
        <w:rPr>
          <w:rFonts w:ascii="Arial" w:hAnsi="Arial" w:cs="Arial"/>
          <w:sz w:val="20"/>
          <w:szCs w:val="20"/>
          <w:lang w:val="es-ES_tradnl"/>
        </w:rPr>
      </w:pPr>
    </w:p>
    <w:p w14:paraId="0DB53755" w14:textId="77777777" w:rsidR="00684F49" w:rsidRPr="00234E16" w:rsidRDefault="00234E16">
      <w:pPr>
        <w:pStyle w:val="ListParagraph"/>
        <w:numPr>
          <w:ilvl w:val="0"/>
          <w:numId w:val="1"/>
        </w:numPr>
        <w:jc w:val="both"/>
        <w:rPr>
          <w:rFonts w:ascii="Arial" w:hAnsi="Arial" w:cs="Arial"/>
          <w:b/>
          <w:sz w:val="20"/>
          <w:szCs w:val="20"/>
          <w:lang w:val="es-ES_tradnl"/>
        </w:rPr>
      </w:pPr>
      <w:r w:rsidRPr="00234E16">
        <w:rPr>
          <w:rFonts w:ascii="Arial" w:hAnsi="Arial" w:cs="Arial"/>
          <w:b/>
          <w:bCs/>
          <w:sz w:val="20"/>
          <w:szCs w:val="20"/>
          <w:lang w:val="es-ES_tradnl"/>
        </w:rPr>
        <w:t>¿Cómo funciona una prueba de antígenos?</w:t>
      </w:r>
    </w:p>
    <w:p w14:paraId="7C187F35" w14:textId="1396EC92" w:rsidR="00684F49" w:rsidRPr="00234E16" w:rsidRDefault="00234E16">
      <w:pPr>
        <w:pStyle w:val="ListParagraph"/>
        <w:jc w:val="both"/>
        <w:rPr>
          <w:rFonts w:ascii="Arial" w:hAnsi="Arial" w:cs="Arial"/>
          <w:sz w:val="20"/>
          <w:szCs w:val="20"/>
          <w:lang w:val="es-ES_tradnl"/>
        </w:rPr>
      </w:pPr>
      <w:r w:rsidRPr="00234E16">
        <w:rPr>
          <w:rFonts w:ascii="Arial" w:hAnsi="Arial" w:cs="Arial"/>
          <w:sz w:val="20"/>
          <w:szCs w:val="20"/>
          <w:lang w:val="es-ES_tradnl"/>
        </w:rPr>
        <w:t xml:space="preserve">Una prueba de antígenos busca antígenos específicos de un determinado agente patógeno dentro del cuerpo de una persona para ver si hay una infección por el patógeno en cuestión. Por ejemplo, las pruebas de antígenos del SARS-CoV-2 </w:t>
      </w:r>
      <w:r w:rsidR="00DB0FA4" w:rsidRPr="00234E16">
        <w:rPr>
          <w:rFonts w:ascii="Arial" w:hAnsi="Arial" w:cs="Arial"/>
          <w:sz w:val="20"/>
          <w:szCs w:val="20"/>
          <w:lang w:val="es-ES_tradnl"/>
        </w:rPr>
        <w:t xml:space="preserve">están </w:t>
      </w:r>
      <w:r w:rsidRPr="00234E16">
        <w:rPr>
          <w:rFonts w:ascii="Arial" w:hAnsi="Arial" w:cs="Arial"/>
          <w:sz w:val="20"/>
          <w:szCs w:val="20"/>
          <w:lang w:val="es-ES_tradnl"/>
        </w:rPr>
        <w:t>dirigidas a la detección de la nucleocápside del virus.</w:t>
      </w:r>
    </w:p>
    <w:p w14:paraId="52D51175" w14:textId="77777777" w:rsidR="00684F49" w:rsidRPr="00234E16" w:rsidRDefault="00684F49">
      <w:pPr>
        <w:pStyle w:val="ListParagraph"/>
        <w:jc w:val="both"/>
        <w:rPr>
          <w:rFonts w:ascii="Arial" w:hAnsi="Arial" w:cs="Arial"/>
          <w:sz w:val="20"/>
          <w:szCs w:val="20"/>
          <w:lang w:val="es-ES_tradnl"/>
        </w:rPr>
      </w:pPr>
    </w:p>
    <w:p w14:paraId="530BA36C" w14:textId="77777777" w:rsidR="00684F49" w:rsidRPr="00234E16" w:rsidRDefault="00234E16">
      <w:pPr>
        <w:pStyle w:val="ListParagraph"/>
        <w:numPr>
          <w:ilvl w:val="0"/>
          <w:numId w:val="1"/>
        </w:numPr>
        <w:jc w:val="both"/>
        <w:rPr>
          <w:rFonts w:ascii="Arial" w:hAnsi="Arial" w:cs="Arial"/>
          <w:b/>
          <w:sz w:val="20"/>
          <w:szCs w:val="20"/>
          <w:lang w:val="es-ES_tradnl"/>
        </w:rPr>
      </w:pPr>
      <w:r w:rsidRPr="00234E16">
        <w:rPr>
          <w:rFonts w:ascii="Arial" w:hAnsi="Arial" w:cs="Arial"/>
          <w:b/>
          <w:bCs/>
          <w:sz w:val="20"/>
          <w:szCs w:val="20"/>
          <w:lang w:val="es-ES_tradnl"/>
        </w:rPr>
        <w:t>¿En qué difieren las pruebas de antígenos de las pruebas de anticuerpos?</w:t>
      </w:r>
    </w:p>
    <w:p w14:paraId="008951FC" w14:textId="77777777" w:rsidR="00684F49" w:rsidRPr="00234E16" w:rsidRDefault="00234E16">
      <w:pPr>
        <w:pStyle w:val="ListParagraph"/>
        <w:jc w:val="both"/>
        <w:rPr>
          <w:rFonts w:ascii="Arial" w:hAnsi="Arial" w:cs="Arial"/>
          <w:sz w:val="20"/>
          <w:szCs w:val="20"/>
          <w:lang w:val="es-ES_tradnl"/>
        </w:rPr>
      </w:pPr>
      <w:r w:rsidRPr="00234E16">
        <w:rPr>
          <w:rFonts w:ascii="Arial" w:hAnsi="Arial" w:cs="Arial"/>
          <w:sz w:val="20"/>
          <w:szCs w:val="20"/>
          <w:lang w:val="es-ES_tradnl"/>
        </w:rPr>
        <w:t>Una prueba de antígenos positiva refleja una infección activa, mientras que una prueba de anticuerpos positiva es más probable que refleje una infección reciente o pasada.</w:t>
      </w:r>
    </w:p>
    <w:p w14:paraId="2F1AEBAB" w14:textId="77777777" w:rsidR="00684F49" w:rsidRPr="00234E16" w:rsidRDefault="00684F49">
      <w:pPr>
        <w:pStyle w:val="ListParagraph"/>
        <w:jc w:val="both"/>
        <w:rPr>
          <w:rFonts w:ascii="Arial" w:hAnsi="Arial" w:cs="Arial"/>
          <w:sz w:val="20"/>
          <w:szCs w:val="20"/>
          <w:lang w:val="es-ES_tradnl"/>
        </w:rPr>
      </w:pPr>
    </w:p>
    <w:p w14:paraId="36CFBEAA" w14:textId="77777777" w:rsidR="00684F49" w:rsidRPr="00234E16" w:rsidRDefault="00234E16">
      <w:pPr>
        <w:pStyle w:val="ListParagraph"/>
        <w:numPr>
          <w:ilvl w:val="0"/>
          <w:numId w:val="1"/>
        </w:numPr>
        <w:jc w:val="both"/>
        <w:rPr>
          <w:rFonts w:ascii="Arial" w:hAnsi="Arial" w:cs="Arial"/>
          <w:b/>
          <w:sz w:val="20"/>
          <w:szCs w:val="20"/>
          <w:lang w:val="es-ES_tradnl"/>
        </w:rPr>
      </w:pPr>
      <w:r w:rsidRPr="00234E16">
        <w:rPr>
          <w:rFonts w:ascii="Arial" w:hAnsi="Arial" w:cs="Arial"/>
          <w:b/>
          <w:bCs/>
          <w:sz w:val="20"/>
          <w:szCs w:val="20"/>
          <w:lang w:val="es-ES_tradnl"/>
        </w:rPr>
        <w:t>¿Qué diferencia hay entre las pruebas de antígenos y las PCR?</w:t>
      </w:r>
    </w:p>
    <w:p w14:paraId="5AD23FEF" w14:textId="21907378" w:rsidR="00684F49" w:rsidRPr="00234E16" w:rsidRDefault="00234E16">
      <w:pPr>
        <w:pStyle w:val="ListParagraph"/>
        <w:jc w:val="both"/>
        <w:rPr>
          <w:rFonts w:ascii="Arial" w:hAnsi="Arial" w:cs="Arial"/>
          <w:sz w:val="20"/>
          <w:szCs w:val="20"/>
          <w:lang w:val="es-ES_tradnl"/>
        </w:rPr>
      </w:pPr>
      <w:r w:rsidRPr="00234E16">
        <w:rPr>
          <w:rFonts w:ascii="Arial" w:hAnsi="Arial" w:cs="Arial"/>
          <w:sz w:val="20"/>
          <w:szCs w:val="20"/>
          <w:lang w:val="es-ES_tradnl"/>
        </w:rPr>
        <w:t xml:space="preserve">La PCR detecta el material genético del virus SARS-CoV-2 (ARN), mientras que las pruebas de antígenos detectan antígenos/proteínas específicos del SARS-CoV-2 en el cuerpo de una persona. Ambos tipos de pruebas se emplean para detectar la infección </w:t>
      </w:r>
      <w:r w:rsidR="00DB0FA4" w:rsidRPr="00234E16">
        <w:rPr>
          <w:rFonts w:ascii="Arial" w:hAnsi="Arial" w:cs="Arial"/>
          <w:sz w:val="20"/>
          <w:szCs w:val="20"/>
          <w:lang w:val="es-ES_tradnl"/>
        </w:rPr>
        <w:t xml:space="preserve">activa </w:t>
      </w:r>
      <w:r w:rsidRPr="00234E16">
        <w:rPr>
          <w:rFonts w:ascii="Arial" w:hAnsi="Arial" w:cs="Arial"/>
          <w:sz w:val="20"/>
          <w:szCs w:val="20"/>
          <w:lang w:val="es-ES_tradnl"/>
        </w:rPr>
        <w:t xml:space="preserve">por SARS-CoV-2. </w:t>
      </w:r>
    </w:p>
    <w:p w14:paraId="4EEB9096" w14:textId="77777777" w:rsidR="00684F49" w:rsidRPr="00234E16" w:rsidRDefault="00684F49">
      <w:pPr>
        <w:pStyle w:val="ListParagraph"/>
        <w:jc w:val="both"/>
        <w:rPr>
          <w:rFonts w:ascii="Arial" w:hAnsi="Arial" w:cs="Arial"/>
          <w:sz w:val="20"/>
          <w:szCs w:val="20"/>
          <w:lang w:val="es-ES_tradnl"/>
        </w:rPr>
      </w:pPr>
    </w:p>
    <w:p w14:paraId="3E169F63" w14:textId="77777777" w:rsidR="00684F49" w:rsidRPr="00234E16" w:rsidRDefault="00234E16">
      <w:pPr>
        <w:pStyle w:val="ListParagraph"/>
        <w:numPr>
          <w:ilvl w:val="0"/>
          <w:numId w:val="1"/>
        </w:numPr>
        <w:rPr>
          <w:rFonts w:ascii="Arial" w:hAnsi="Arial" w:cs="Arial"/>
          <w:b/>
          <w:sz w:val="20"/>
          <w:szCs w:val="20"/>
          <w:lang w:val="es-ES_tradnl"/>
        </w:rPr>
      </w:pPr>
      <w:r w:rsidRPr="00234E16">
        <w:rPr>
          <w:rFonts w:ascii="Arial" w:hAnsi="Arial" w:cs="Arial"/>
          <w:b/>
          <w:bCs/>
          <w:sz w:val="20"/>
          <w:szCs w:val="20"/>
          <w:lang w:val="es-ES_tradnl"/>
        </w:rPr>
        <w:t>¿Qué significan las líneas aparecidas en la PDR?</w:t>
      </w:r>
    </w:p>
    <w:p w14:paraId="04ED6B17" w14:textId="65BDC21D" w:rsidR="00684F49" w:rsidRPr="00234E16" w:rsidRDefault="00234E16">
      <w:pPr>
        <w:pStyle w:val="ListParagraph"/>
        <w:jc w:val="both"/>
        <w:rPr>
          <w:rFonts w:ascii="Arial" w:hAnsi="Arial" w:cs="Arial"/>
          <w:sz w:val="20"/>
          <w:szCs w:val="20"/>
          <w:lang w:val="es-ES_tradnl"/>
        </w:rPr>
      </w:pPr>
      <w:r w:rsidRPr="00234E16">
        <w:rPr>
          <w:rFonts w:ascii="Arial" w:hAnsi="Arial" w:cs="Arial"/>
          <w:sz w:val="20"/>
          <w:szCs w:val="20"/>
          <w:lang w:val="es-ES_tradnl"/>
        </w:rPr>
        <w:t xml:space="preserve">En la ventana de la prueba (orificio rectangular), una línea cerca de </w:t>
      </w:r>
      <w:r w:rsidR="00DB0FA4" w:rsidRPr="00234E16">
        <w:rPr>
          <w:rFonts w:ascii="Arial" w:hAnsi="Arial" w:cs="Arial"/>
          <w:sz w:val="20"/>
          <w:szCs w:val="20"/>
          <w:lang w:val="es-ES_tradnl"/>
        </w:rPr>
        <w:t>“</w:t>
      </w:r>
      <w:r w:rsidRPr="00234E16">
        <w:rPr>
          <w:rFonts w:ascii="Arial" w:hAnsi="Arial" w:cs="Arial"/>
          <w:sz w:val="20"/>
          <w:szCs w:val="20"/>
          <w:lang w:val="es-ES_tradnl"/>
        </w:rPr>
        <w:t>C</w:t>
      </w:r>
      <w:r w:rsidR="00DB0FA4" w:rsidRPr="00234E16">
        <w:rPr>
          <w:rFonts w:ascii="Arial" w:hAnsi="Arial" w:cs="Arial"/>
          <w:sz w:val="20"/>
          <w:szCs w:val="20"/>
          <w:lang w:val="es-ES_tradnl"/>
        </w:rPr>
        <w:t>”</w:t>
      </w:r>
      <w:r w:rsidRPr="00234E16">
        <w:rPr>
          <w:rFonts w:ascii="Arial" w:hAnsi="Arial" w:cs="Arial"/>
          <w:sz w:val="20"/>
          <w:szCs w:val="20"/>
          <w:lang w:val="es-ES_tradnl"/>
        </w:rPr>
        <w:t xml:space="preserve"> (control) y una línea cerca de </w:t>
      </w:r>
      <w:r w:rsidR="00DB0FA4" w:rsidRPr="00234E16">
        <w:rPr>
          <w:rFonts w:ascii="Arial" w:hAnsi="Arial" w:cs="Arial"/>
          <w:sz w:val="20"/>
          <w:szCs w:val="20"/>
          <w:lang w:val="es-ES_tradnl"/>
        </w:rPr>
        <w:t>“</w:t>
      </w:r>
      <w:r w:rsidRPr="00234E16">
        <w:rPr>
          <w:rFonts w:ascii="Arial" w:hAnsi="Arial" w:cs="Arial"/>
          <w:sz w:val="20"/>
          <w:szCs w:val="20"/>
          <w:lang w:val="es-ES_tradnl"/>
        </w:rPr>
        <w:t>T</w:t>
      </w:r>
      <w:r w:rsidR="00DB0FA4" w:rsidRPr="00234E16">
        <w:rPr>
          <w:rFonts w:ascii="Arial" w:hAnsi="Arial" w:cs="Arial"/>
          <w:sz w:val="20"/>
          <w:szCs w:val="20"/>
          <w:lang w:val="es-ES_tradnl"/>
        </w:rPr>
        <w:t>”</w:t>
      </w:r>
      <w:r w:rsidRPr="00234E16">
        <w:rPr>
          <w:rFonts w:ascii="Arial" w:hAnsi="Arial" w:cs="Arial"/>
          <w:sz w:val="20"/>
          <w:szCs w:val="20"/>
          <w:lang w:val="es-ES_tradnl"/>
        </w:rPr>
        <w:t xml:space="preserve"> (test) indican que la prueba es positiva para el SARS-CoV-2. Una línea cerca de </w:t>
      </w:r>
      <w:r w:rsidR="00DB0FA4" w:rsidRPr="00234E16">
        <w:rPr>
          <w:rFonts w:ascii="Arial" w:hAnsi="Arial" w:cs="Arial"/>
          <w:sz w:val="20"/>
          <w:szCs w:val="20"/>
          <w:lang w:val="es-ES_tradnl"/>
        </w:rPr>
        <w:t>“</w:t>
      </w:r>
      <w:r w:rsidRPr="00234E16">
        <w:rPr>
          <w:rFonts w:ascii="Arial" w:hAnsi="Arial" w:cs="Arial"/>
          <w:sz w:val="20"/>
          <w:szCs w:val="20"/>
          <w:lang w:val="es-ES_tradnl"/>
        </w:rPr>
        <w:t>C</w:t>
      </w:r>
      <w:r w:rsidR="00DB0FA4" w:rsidRPr="00234E16">
        <w:rPr>
          <w:rFonts w:ascii="Arial" w:hAnsi="Arial" w:cs="Arial"/>
          <w:sz w:val="20"/>
          <w:szCs w:val="20"/>
          <w:lang w:val="es-ES_tradnl"/>
        </w:rPr>
        <w:t>”</w:t>
      </w:r>
      <w:r w:rsidRPr="00234E16">
        <w:rPr>
          <w:rFonts w:ascii="Arial" w:hAnsi="Arial" w:cs="Arial"/>
          <w:sz w:val="20"/>
          <w:szCs w:val="20"/>
          <w:lang w:val="es-ES_tradnl"/>
        </w:rPr>
        <w:t xml:space="preserve"> y ninguna línea cerca de </w:t>
      </w:r>
      <w:r w:rsidR="00DB0FA4" w:rsidRPr="00234E16">
        <w:rPr>
          <w:rFonts w:ascii="Arial" w:hAnsi="Arial" w:cs="Arial"/>
          <w:sz w:val="20"/>
          <w:szCs w:val="20"/>
          <w:lang w:val="es-ES_tradnl"/>
        </w:rPr>
        <w:t>“</w:t>
      </w:r>
      <w:r w:rsidRPr="00234E16">
        <w:rPr>
          <w:rFonts w:ascii="Arial" w:hAnsi="Arial" w:cs="Arial"/>
          <w:sz w:val="20"/>
          <w:szCs w:val="20"/>
          <w:lang w:val="es-ES_tradnl"/>
        </w:rPr>
        <w:t>T</w:t>
      </w:r>
      <w:r w:rsidR="00DB0FA4" w:rsidRPr="00234E16">
        <w:rPr>
          <w:rFonts w:ascii="Arial" w:hAnsi="Arial" w:cs="Arial"/>
          <w:sz w:val="20"/>
          <w:szCs w:val="20"/>
          <w:lang w:val="es-ES_tradnl"/>
        </w:rPr>
        <w:t>”</w:t>
      </w:r>
      <w:r w:rsidRPr="00234E16">
        <w:rPr>
          <w:rFonts w:ascii="Arial" w:hAnsi="Arial" w:cs="Arial"/>
          <w:sz w:val="20"/>
          <w:szCs w:val="20"/>
          <w:lang w:val="es-ES_tradnl"/>
        </w:rPr>
        <w:t xml:space="preserve"> indican que no se detectó el SARS-CoV-2. La línea cerca de </w:t>
      </w:r>
      <w:r w:rsidR="00DB0FA4" w:rsidRPr="00234E16">
        <w:rPr>
          <w:rFonts w:ascii="Arial" w:hAnsi="Arial" w:cs="Arial"/>
          <w:sz w:val="20"/>
          <w:szCs w:val="20"/>
          <w:lang w:val="es-ES_tradnl"/>
        </w:rPr>
        <w:t>“</w:t>
      </w:r>
      <w:r w:rsidRPr="00234E16">
        <w:rPr>
          <w:rFonts w:ascii="Arial" w:hAnsi="Arial" w:cs="Arial"/>
          <w:sz w:val="20"/>
          <w:szCs w:val="20"/>
          <w:lang w:val="es-ES_tradnl"/>
        </w:rPr>
        <w:t>C</w:t>
      </w:r>
      <w:r w:rsidR="00DB0FA4" w:rsidRPr="00234E16">
        <w:rPr>
          <w:rFonts w:ascii="Arial" w:hAnsi="Arial" w:cs="Arial"/>
          <w:sz w:val="20"/>
          <w:szCs w:val="20"/>
          <w:lang w:val="es-ES_tradnl"/>
        </w:rPr>
        <w:t>”</w:t>
      </w:r>
      <w:r w:rsidRPr="00234E16">
        <w:rPr>
          <w:rFonts w:ascii="Arial" w:hAnsi="Arial" w:cs="Arial"/>
          <w:sz w:val="20"/>
          <w:szCs w:val="20"/>
          <w:lang w:val="es-ES_tradnl"/>
        </w:rPr>
        <w:t xml:space="preserve"> es la línea del control; la presencia de la línea del control indica que la prueba se realizó correctamente. Si no aparece una línea del control, significa que la prueba no es válida, aunque aparezca una línea cerca de </w:t>
      </w:r>
      <w:r w:rsidR="00DB0FA4" w:rsidRPr="00234E16">
        <w:rPr>
          <w:rFonts w:ascii="Arial" w:hAnsi="Arial" w:cs="Arial"/>
          <w:sz w:val="20"/>
          <w:szCs w:val="20"/>
          <w:lang w:val="es-ES_tradnl"/>
        </w:rPr>
        <w:t>“</w:t>
      </w:r>
      <w:r w:rsidRPr="00234E16">
        <w:rPr>
          <w:rFonts w:ascii="Arial" w:hAnsi="Arial" w:cs="Arial"/>
          <w:sz w:val="20"/>
          <w:szCs w:val="20"/>
          <w:lang w:val="es-ES_tradnl"/>
        </w:rPr>
        <w:t>T</w:t>
      </w:r>
      <w:r w:rsidR="00DB0FA4" w:rsidRPr="00234E16">
        <w:rPr>
          <w:rFonts w:ascii="Arial" w:hAnsi="Arial" w:cs="Arial"/>
          <w:sz w:val="20"/>
          <w:szCs w:val="20"/>
          <w:lang w:val="es-ES_tradnl"/>
        </w:rPr>
        <w:t>”</w:t>
      </w:r>
      <w:r w:rsidRPr="00234E16">
        <w:rPr>
          <w:rFonts w:ascii="Arial" w:hAnsi="Arial" w:cs="Arial"/>
          <w:sz w:val="20"/>
          <w:szCs w:val="20"/>
          <w:lang w:val="es-ES_tradnl"/>
        </w:rPr>
        <w:t xml:space="preserve">. En este caso debe repetirse la prueba del paciente </w:t>
      </w:r>
      <w:r w:rsidR="00DB0FA4" w:rsidRPr="00234E16">
        <w:rPr>
          <w:rFonts w:ascii="Arial" w:hAnsi="Arial" w:cs="Arial"/>
          <w:sz w:val="20"/>
          <w:szCs w:val="20"/>
          <w:lang w:val="es-ES_tradnl"/>
        </w:rPr>
        <w:t xml:space="preserve">usando </w:t>
      </w:r>
      <w:r w:rsidRPr="00234E16">
        <w:rPr>
          <w:rFonts w:ascii="Arial" w:hAnsi="Arial" w:cs="Arial"/>
          <w:sz w:val="20"/>
          <w:szCs w:val="20"/>
          <w:lang w:val="es-ES_tradnl"/>
        </w:rPr>
        <w:t>una nueva PDR. Es importante señalar que todos los resultados obtenidos en las pruebas deben considerarse conjuntamente con los datos de la historia clínica y otros datos de interés.</w:t>
      </w:r>
    </w:p>
    <w:p w14:paraId="233207D5" w14:textId="77777777" w:rsidR="00684F49" w:rsidRPr="00234E16" w:rsidRDefault="00684F49">
      <w:pPr>
        <w:pStyle w:val="ListParagraph"/>
        <w:jc w:val="both"/>
        <w:rPr>
          <w:rFonts w:ascii="Arial" w:hAnsi="Arial" w:cs="Arial"/>
          <w:sz w:val="20"/>
          <w:szCs w:val="20"/>
          <w:lang w:val="es-ES_tradnl"/>
        </w:rPr>
      </w:pPr>
    </w:p>
    <w:p w14:paraId="51632BE1" w14:textId="77777777" w:rsidR="00684F49" w:rsidRPr="00234E16" w:rsidRDefault="00234E16">
      <w:pPr>
        <w:pStyle w:val="ListParagraph"/>
        <w:numPr>
          <w:ilvl w:val="0"/>
          <w:numId w:val="1"/>
        </w:numPr>
        <w:rPr>
          <w:rFonts w:ascii="Arial" w:hAnsi="Arial" w:cs="Arial"/>
          <w:sz w:val="20"/>
          <w:szCs w:val="20"/>
          <w:lang w:val="es-ES_tradnl"/>
        </w:rPr>
      </w:pPr>
      <w:r w:rsidRPr="00234E16">
        <w:rPr>
          <w:rFonts w:ascii="Arial" w:hAnsi="Arial" w:cs="Arial"/>
          <w:b/>
          <w:bCs/>
          <w:sz w:val="20"/>
          <w:szCs w:val="20"/>
          <w:lang w:val="es-ES_tradnl"/>
        </w:rPr>
        <w:t>¿Qué sensibilidad y especificidad tienen las PDR de antígenos del SARS-CoV-2?</w:t>
      </w:r>
    </w:p>
    <w:p w14:paraId="649724BD" w14:textId="1043693F" w:rsidR="00684F49" w:rsidRPr="00234E16" w:rsidRDefault="00234E16">
      <w:pPr>
        <w:pStyle w:val="ListParagraph"/>
        <w:rPr>
          <w:rFonts w:ascii="Arial" w:hAnsi="Arial" w:cs="Arial"/>
          <w:sz w:val="20"/>
          <w:szCs w:val="20"/>
          <w:lang w:val="es-ES_tradnl"/>
        </w:rPr>
      </w:pPr>
      <w:r w:rsidRPr="00234E16">
        <w:rPr>
          <w:rFonts w:ascii="Arial" w:hAnsi="Arial" w:cs="Arial"/>
          <w:sz w:val="20"/>
          <w:szCs w:val="20"/>
          <w:lang w:val="es-ES_tradnl"/>
        </w:rPr>
        <w:t>Cada vez hay más datos publicados sobre el rendimiento de las PDR de antígenos del SARS</w:t>
      </w:r>
      <w:r w:rsidR="00DB0FA4" w:rsidRPr="00234E16">
        <w:rPr>
          <w:rFonts w:ascii="Arial" w:hAnsi="Arial" w:cs="Arial"/>
          <w:sz w:val="20"/>
          <w:szCs w:val="20"/>
          <w:lang w:val="es-ES_tradnl"/>
        </w:rPr>
        <w:noBreakHyphen/>
      </w:r>
      <w:r w:rsidRPr="00234E16">
        <w:rPr>
          <w:rFonts w:ascii="Arial" w:hAnsi="Arial" w:cs="Arial"/>
          <w:sz w:val="20"/>
          <w:szCs w:val="20"/>
          <w:lang w:val="es-ES_tradnl"/>
        </w:rPr>
        <w:t xml:space="preserve">CoV-2. Puede consultarse una revisión sistemática de varios estudios </w:t>
      </w:r>
      <w:r w:rsidR="00DB0FA4" w:rsidRPr="00234E16">
        <w:rPr>
          <w:rFonts w:ascii="Arial" w:hAnsi="Arial" w:cs="Arial"/>
          <w:sz w:val="20"/>
          <w:szCs w:val="20"/>
          <w:lang w:val="es-ES_tradnl"/>
        </w:rPr>
        <w:t xml:space="preserve">[en inglés] </w:t>
      </w:r>
      <w:r w:rsidRPr="00234E16">
        <w:rPr>
          <w:rFonts w:ascii="Arial" w:hAnsi="Arial" w:cs="Arial"/>
          <w:sz w:val="20"/>
          <w:szCs w:val="20"/>
          <w:lang w:val="es-ES_tradnl"/>
        </w:rPr>
        <w:t xml:space="preserve">en: </w:t>
      </w:r>
      <w:hyperlink r:id="rId11" w:history="1">
        <w:r w:rsidRPr="00234E16">
          <w:rPr>
            <w:rStyle w:val="Hyperlink"/>
            <w:rFonts w:ascii="Arial" w:hAnsi="Arial" w:cs="Arial"/>
            <w:color w:val="009AC9"/>
            <w:sz w:val="20"/>
            <w:szCs w:val="20"/>
            <w:lang w:val="es-ES_tradnl"/>
          </w:rPr>
          <w:t>https://www.cochranelibrary.com/cdsr/doi/10.1002/14651858.CD013705/full</w:t>
        </w:r>
      </w:hyperlink>
      <w:r w:rsidRPr="00234E16">
        <w:rPr>
          <w:rFonts w:ascii="Arial" w:hAnsi="Arial" w:cs="Arial"/>
          <w:sz w:val="20"/>
          <w:szCs w:val="20"/>
          <w:lang w:val="es-ES_tradnl"/>
        </w:rPr>
        <w:t xml:space="preserve"> y la </w:t>
      </w:r>
      <w:r w:rsidR="00DB0FA4" w:rsidRPr="00234E16">
        <w:rPr>
          <w:rFonts w:ascii="Arial" w:hAnsi="Arial" w:cs="Arial"/>
          <w:sz w:val="20"/>
          <w:szCs w:val="20"/>
          <w:lang w:val="es-ES_tradnl"/>
        </w:rPr>
        <w:t xml:space="preserve">organización </w:t>
      </w:r>
      <w:r w:rsidRPr="00234E16">
        <w:rPr>
          <w:rFonts w:ascii="Arial" w:hAnsi="Arial" w:cs="Arial"/>
          <w:sz w:val="20"/>
          <w:szCs w:val="20"/>
          <w:lang w:val="es-ES_tradnl"/>
        </w:rPr>
        <w:t xml:space="preserve">FIND ha publicado también informes al respecto </w:t>
      </w:r>
      <w:r w:rsidR="00DB0FA4" w:rsidRPr="00234E16">
        <w:rPr>
          <w:rFonts w:ascii="Arial" w:hAnsi="Arial" w:cs="Arial"/>
          <w:sz w:val="20"/>
          <w:szCs w:val="20"/>
          <w:lang w:val="es-ES_tradnl"/>
        </w:rPr>
        <w:t xml:space="preserve">[en inglés] </w:t>
      </w:r>
      <w:r w:rsidRPr="00234E16">
        <w:rPr>
          <w:rFonts w:ascii="Arial" w:hAnsi="Arial" w:cs="Arial"/>
          <w:sz w:val="20"/>
          <w:szCs w:val="20"/>
          <w:lang w:val="es-ES_tradnl"/>
        </w:rPr>
        <w:t xml:space="preserve">en: </w:t>
      </w:r>
      <w:hyperlink r:id="rId12" w:history="1">
        <w:r w:rsidRPr="00234E16">
          <w:rPr>
            <w:rStyle w:val="Hyperlink"/>
            <w:rFonts w:ascii="Arial" w:hAnsi="Arial" w:cs="Arial"/>
            <w:color w:val="009AC9"/>
            <w:sz w:val="20"/>
            <w:szCs w:val="20"/>
            <w:lang w:val="es-ES_tradnl"/>
          </w:rPr>
          <w:t>https://www.finddx.org/covid-19/sarscov2-eval-antigen/</w:t>
        </w:r>
      </w:hyperlink>
      <w:r w:rsidRPr="00234E16">
        <w:rPr>
          <w:rFonts w:ascii="Arial" w:hAnsi="Arial" w:cs="Arial"/>
          <w:color w:val="000000" w:themeColor="text1"/>
          <w:sz w:val="20"/>
          <w:szCs w:val="20"/>
          <w:lang w:val="es-ES_tradnl"/>
        </w:rPr>
        <w:t>.</w:t>
      </w:r>
    </w:p>
    <w:p w14:paraId="156943E0" w14:textId="77777777" w:rsidR="00684F49" w:rsidRPr="00234E16" w:rsidRDefault="00684F49">
      <w:pPr>
        <w:pStyle w:val="ListParagraph"/>
        <w:jc w:val="both"/>
        <w:rPr>
          <w:rFonts w:ascii="Arial" w:hAnsi="Arial" w:cs="Arial"/>
          <w:sz w:val="20"/>
          <w:szCs w:val="20"/>
          <w:lang w:val="es-ES_tradnl"/>
        </w:rPr>
      </w:pPr>
    </w:p>
    <w:p w14:paraId="025D9A5B" w14:textId="6F3034AF" w:rsidR="00684F49" w:rsidRPr="00234E16" w:rsidRDefault="00234E16">
      <w:pPr>
        <w:pStyle w:val="ListParagraph"/>
        <w:jc w:val="both"/>
        <w:rPr>
          <w:lang w:val="es-ES_tradnl"/>
        </w:rPr>
      </w:pPr>
      <w:r w:rsidRPr="00234E16">
        <w:rPr>
          <w:rFonts w:ascii="Arial" w:hAnsi="Arial" w:cs="Arial"/>
          <w:sz w:val="20"/>
          <w:szCs w:val="20"/>
          <w:lang w:val="es-ES_tradnl"/>
        </w:rPr>
        <w:lastRenderedPageBreak/>
        <w:t>En general, la sensibilidad descrita de la prueba es variable (0‒94%), pero es uniformemente mejor en los primeros cinco días siguientes al inicio de los síntomas, que es cuando los pacientes tienen la máxima carga v</w:t>
      </w:r>
      <w:r w:rsidR="00DB0FA4" w:rsidRPr="00234E16">
        <w:rPr>
          <w:rFonts w:ascii="Arial" w:hAnsi="Arial" w:cs="Arial"/>
          <w:sz w:val="20"/>
          <w:szCs w:val="20"/>
          <w:lang w:val="es-ES_tradnl"/>
        </w:rPr>
        <w:t>iral</w:t>
      </w:r>
      <w:r w:rsidRPr="00234E16">
        <w:rPr>
          <w:rFonts w:ascii="Arial" w:hAnsi="Arial" w:cs="Arial"/>
          <w:sz w:val="20"/>
          <w:szCs w:val="20"/>
          <w:lang w:val="es-ES_tradnl"/>
        </w:rPr>
        <w:t>. La OMS recomienda el uso de PDR de antígenos que tengan un mínimo de sensibilidad del 80% y una especificidad del 97% según lo indicado por evaluaciones independientes de buena calidad, en comparación con los ensayos moleculares de PAAN autorizados. Algunos estudios han puesto de manifiesto que estos requisitos pueden cumplirse o incluso superarse en algunas poblaciones. Hay muchos factores que afectan al rendimiento de las pruebas, entre ellos las características de la población de pacientes (por ejemplo, el número de días transcurridos desde el inicio de los síntomas o la carga v</w:t>
      </w:r>
      <w:r w:rsidR="00DB0FA4" w:rsidRPr="00234E16">
        <w:rPr>
          <w:rFonts w:ascii="Arial" w:hAnsi="Arial" w:cs="Arial"/>
          <w:sz w:val="20"/>
          <w:szCs w:val="20"/>
          <w:lang w:val="es-ES_tradnl"/>
        </w:rPr>
        <w:t>iral</w:t>
      </w:r>
      <w:r w:rsidRPr="00234E16">
        <w:rPr>
          <w:rFonts w:ascii="Arial" w:hAnsi="Arial" w:cs="Arial"/>
          <w:sz w:val="20"/>
          <w:szCs w:val="20"/>
          <w:lang w:val="es-ES_tradnl"/>
        </w:rPr>
        <w:t xml:space="preserve">), la calidad de la obtención de las muestras y la calidad de la fabricación de la prueba. </w:t>
      </w:r>
    </w:p>
    <w:p w14:paraId="5BF74E74" w14:textId="77777777" w:rsidR="00684F49" w:rsidRPr="00234E16" w:rsidRDefault="00684F49">
      <w:pPr>
        <w:pStyle w:val="ListParagraph"/>
        <w:jc w:val="both"/>
        <w:rPr>
          <w:rFonts w:ascii="Arial" w:hAnsi="Arial" w:cs="Arial"/>
          <w:sz w:val="20"/>
          <w:szCs w:val="20"/>
          <w:lang w:val="es-ES_tradnl"/>
        </w:rPr>
      </w:pPr>
    </w:p>
    <w:p w14:paraId="3989973A" w14:textId="77777777" w:rsidR="00684F49" w:rsidRPr="00234E16" w:rsidRDefault="00234E16">
      <w:pPr>
        <w:pStyle w:val="ListParagraph"/>
        <w:numPr>
          <w:ilvl w:val="0"/>
          <w:numId w:val="1"/>
        </w:numPr>
        <w:spacing w:after="0"/>
        <w:ind w:left="714" w:hanging="357"/>
        <w:rPr>
          <w:rFonts w:ascii="Arial" w:hAnsi="Arial" w:cs="Arial"/>
          <w:b/>
          <w:sz w:val="20"/>
          <w:szCs w:val="20"/>
          <w:lang w:val="es-ES_tradnl"/>
        </w:rPr>
      </w:pPr>
      <w:r w:rsidRPr="00234E16">
        <w:rPr>
          <w:rFonts w:ascii="Arial" w:hAnsi="Arial" w:cs="Arial"/>
          <w:b/>
          <w:bCs/>
          <w:sz w:val="20"/>
          <w:szCs w:val="20"/>
          <w:lang w:val="es-ES_tradnl"/>
        </w:rPr>
        <w:t>¿Cuál es la tecnología en la que se basa la prueba?</w:t>
      </w:r>
    </w:p>
    <w:p w14:paraId="6E7B69CE" w14:textId="2D80590D" w:rsidR="00684F49" w:rsidRPr="00234E16" w:rsidRDefault="00234E16">
      <w:pPr>
        <w:spacing w:after="0"/>
        <w:ind w:left="709"/>
        <w:jc w:val="both"/>
        <w:rPr>
          <w:rFonts w:ascii="Arial" w:hAnsi="Arial" w:cs="Arial"/>
          <w:sz w:val="20"/>
          <w:szCs w:val="20"/>
          <w:lang w:val="es-ES_tradnl"/>
        </w:rPr>
      </w:pPr>
      <w:r w:rsidRPr="00234E16">
        <w:rPr>
          <w:rFonts w:ascii="Arial" w:hAnsi="Arial" w:cs="Arial"/>
          <w:sz w:val="20"/>
          <w:szCs w:val="20"/>
          <w:lang w:val="es-ES_tradnl"/>
        </w:rPr>
        <w:t xml:space="preserve">La tecnología en la que se basa la prueba es la inmunocromatografía de flujo lateral (véase una explicación adicional en el documento de la OMS </w:t>
      </w:r>
      <w:r w:rsidRPr="00234E16">
        <w:rPr>
          <w:rFonts w:ascii="Arial" w:hAnsi="Arial" w:cs="Arial"/>
          <w:i/>
          <w:iCs/>
          <w:sz w:val="20"/>
          <w:szCs w:val="20"/>
          <w:lang w:val="es-ES_tradnl"/>
        </w:rPr>
        <w:t>Antigen-detection in the diagnosis of SARS-CoV-2 infection using rapid immunoassays</w:t>
      </w:r>
      <w:r w:rsidR="00DB0FA4" w:rsidRPr="00234E16">
        <w:rPr>
          <w:rFonts w:ascii="Arial" w:hAnsi="Arial" w:cs="Arial"/>
          <w:i/>
          <w:iCs/>
          <w:sz w:val="20"/>
          <w:szCs w:val="20"/>
          <w:lang w:val="es-ES_tradnl"/>
        </w:rPr>
        <w:t>:</w:t>
      </w:r>
      <w:r w:rsidRPr="00234E16">
        <w:rPr>
          <w:rFonts w:ascii="Arial" w:hAnsi="Arial" w:cs="Arial"/>
          <w:i/>
          <w:iCs/>
          <w:sz w:val="20"/>
          <w:szCs w:val="20"/>
          <w:lang w:val="es-ES_tradnl"/>
        </w:rPr>
        <w:t xml:space="preserve"> Interim guidance</w:t>
      </w:r>
      <w:r w:rsidR="00DB0FA4" w:rsidRPr="00234E16">
        <w:rPr>
          <w:rFonts w:ascii="Arial" w:hAnsi="Arial" w:cs="Arial"/>
          <w:i/>
          <w:iCs/>
          <w:sz w:val="20"/>
          <w:szCs w:val="20"/>
          <w:lang w:val="es-ES_tradnl"/>
        </w:rPr>
        <w:t>,</w:t>
      </w:r>
      <w:r w:rsidRPr="00234E16">
        <w:rPr>
          <w:rFonts w:ascii="Arial" w:hAnsi="Arial" w:cs="Arial"/>
          <w:i/>
          <w:iCs/>
          <w:sz w:val="20"/>
          <w:szCs w:val="20"/>
          <w:lang w:val="es-ES_tradnl"/>
        </w:rPr>
        <w:t xml:space="preserve"> 11 de </w:t>
      </w:r>
      <w:r w:rsidR="00DB0FA4" w:rsidRPr="00234E16">
        <w:rPr>
          <w:rFonts w:ascii="Arial" w:hAnsi="Arial" w:cs="Arial"/>
          <w:i/>
          <w:iCs/>
          <w:sz w:val="20"/>
          <w:szCs w:val="20"/>
          <w:lang w:val="es-ES_tradnl"/>
        </w:rPr>
        <w:t xml:space="preserve">septiembre </w:t>
      </w:r>
      <w:r w:rsidRPr="00234E16">
        <w:rPr>
          <w:rFonts w:ascii="Arial" w:hAnsi="Arial" w:cs="Arial"/>
          <w:i/>
          <w:iCs/>
          <w:sz w:val="20"/>
          <w:szCs w:val="20"/>
          <w:lang w:val="es-ES_tradnl"/>
        </w:rPr>
        <w:t>del 2020</w:t>
      </w:r>
      <w:r w:rsidRPr="00234E16">
        <w:rPr>
          <w:rFonts w:ascii="Arial" w:hAnsi="Arial" w:cs="Arial"/>
          <w:sz w:val="20"/>
          <w:szCs w:val="20"/>
          <w:lang w:val="es-ES_tradnl"/>
        </w:rPr>
        <w:t>:</w:t>
      </w:r>
    </w:p>
    <w:p w14:paraId="0F96E698" w14:textId="2FE52649" w:rsidR="00684F49" w:rsidRPr="00234E16" w:rsidRDefault="00000000">
      <w:pPr>
        <w:spacing w:after="0" w:line="259" w:lineRule="auto"/>
        <w:ind w:left="709"/>
        <w:jc w:val="both"/>
        <w:rPr>
          <w:rFonts w:ascii="Arial" w:hAnsi="Arial" w:cs="Arial"/>
          <w:sz w:val="20"/>
          <w:szCs w:val="20"/>
          <w:lang w:val="es-ES_tradnl"/>
        </w:rPr>
      </w:pPr>
      <w:hyperlink r:id="rId13" w:history="1">
        <w:r w:rsidR="00234E16" w:rsidRPr="00234E16">
          <w:rPr>
            <w:rStyle w:val="Hyperlink"/>
            <w:rFonts w:ascii="Arial" w:hAnsi="Arial" w:cs="Arial"/>
            <w:color w:val="009AC9"/>
            <w:sz w:val="20"/>
            <w:szCs w:val="20"/>
            <w:lang w:val="es-ES_tradnl"/>
          </w:rPr>
          <w:t>https://www.who.int/publications/i/item/antigen-detection-in-the-diagnosis-of-sars-cov-2infection-using-rapid-immunoassays</w:t>
        </w:r>
      </w:hyperlink>
      <w:r w:rsidR="00234E16" w:rsidRPr="00234E16">
        <w:rPr>
          <w:rStyle w:val="Hyperlink"/>
          <w:rFonts w:ascii="Arial" w:hAnsi="Arial" w:cs="Arial"/>
          <w:color w:val="000000" w:themeColor="text1"/>
          <w:sz w:val="20"/>
          <w:szCs w:val="20"/>
          <w:u w:val="none"/>
          <w:lang w:val="es-ES_tradnl"/>
        </w:rPr>
        <w:t>).</w:t>
      </w:r>
    </w:p>
    <w:p w14:paraId="2B191848" w14:textId="77777777" w:rsidR="00684F49" w:rsidRPr="00234E16" w:rsidRDefault="00684F49">
      <w:pPr>
        <w:pStyle w:val="ListParagraph"/>
        <w:rPr>
          <w:rFonts w:ascii="Arial" w:hAnsi="Arial" w:cs="Arial"/>
          <w:sz w:val="20"/>
          <w:szCs w:val="20"/>
          <w:lang w:val="es-ES_tradnl"/>
        </w:rPr>
      </w:pPr>
    </w:p>
    <w:p w14:paraId="7CC54B6F" w14:textId="77777777" w:rsidR="00684F49" w:rsidRPr="00234E16" w:rsidRDefault="00234E16">
      <w:pPr>
        <w:pStyle w:val="ListParagraph"/>
        <w:numPr>
          <w:ilvl w:val="0"/>
          <w:numId w:val="1"/>
        </w:numPr>
        <w:rPr>
          <w:rFonts w:ascii="Arial" w:hAnsi="Arial" w:cs="Arial"/>
          <w:b/>
          <w:sz w:val="20"/>
          <w:szCs w:val="20"/>
          <w:lang w:val="es-ES_tradnl"/>
        </w:rPr>
      </w:pPr>
      <w:r w:rsidRPr="00234E16">
        <w:rPr>
          <w:rFonts w:ascii="Arial" w:hAnsi="Arial" w:cs="Arial"/>
          <w:b/>
          <w:bCs/>
          <w:sz w:val="20"/>
          <w:szCs w:val="20"/>
          <w:lang w:val="es-ES_tradnl"/>
        </w:rPr>
        <w:t>¿Cuáles son las limitaciones de esta prueba?</w:t>
      </w:r>
    </w:p>
    <w:p w14:paraId="37EBD3E4" w14:textId="40142E52" w:rsidR="00684F49" w:rsidRPr="00234E16" w:rsidRDefault="00234E16">
      <w:pPr>
        <w:pStyle w:val="ListParagraph"/>
        <w:numPr>
          <w:ilvl w:val="0"/>
          <w:numId w:val="8"/>
        </w:numPr>
        <w:spacing w:line="259" w:lineRule="auto"/>
        <w:ind w:left="993" w:hanging="284"/>
        <w:jc w:val="both"/>
        <w:rPr>
          <w:rFonts w:ascii="Arial" w:hAnsi="Arial" w:cs="Arial"/>
          <w:sz w:val="20"/>
          <w:szCs w:val="20"/>
          <w:lang w:val="es-ES_tradnl"/>
        </w:rPr>
      </w:pPr>
      <w:r w:rsidRPr="00234E16">
        <w:rPr>
          <w:rFonts w:ascii="Arial" w:hAnsi="Arial" w:cs="Arial"/>
          <w:sz w:val="20"/>
          <w:szCs w:val="20"/>
          <w:lang w:val="es-ES_tradnl"/>
        </w:rPr>
        <w:t xml:space="preserve">Deben seguirse estrictamente el procedimiento, las precauciones y la interpretación de los resultados de la prueba. El hecho de no seguir con exactitud el procedimiento y la interpretación de los resultados de la prueba puede influir negativamente en el rendimiento de la prueba o producir resultados </w:t>
      </w:r>
      <w:r w:rsidR="00DB0FA4" w:rsidRPr="00234E16">
        <w:rPr>
          <w:rFonts w:ascii="Arial" w:hAnsi="Arial" w:cs="Arial"/>
          <w:sz w:val="20"/>
          <w:szCs w:val="20"/>
          <w:lang w:val="es-ES_tradnl"/>
        </w:rPr>
        <w:t xml:space="preserve">que </w:t>
      </w:r>
      <w:r w:rsidRPr="00234E16">
        <w:rPr>
          <w:rFonts w:ascii="Arial" w:hAnsi="Arial" w:cs="Arial"/>
          <w:sz w:val="20"/>
          <w:szCs w:val="20"/>
          <w:lang w:val="es-ES_tradnl"/>
        </w:rPr>
        <w:t xml:space="preserve">no </w:t>
      </w:r>
      <w:r w:rsidR="00DB0FA4" w:rsidRPr="00234E16">
        <w:rPr>
          <w:rFonts w:ascii="Arial" w:hAnsi="Arial" w:cs="Arial"/>
          <w:sz w:val="20"/>
          <w:szCs w:val="20"/>
          <w:lang w:val="es-ES_tradnl"/>
        </w:rPr>
        <w:t xml:space="preserve">sean </w:t>
      </w:r>
      <w:r w:rsidRPr="00234E16">
        <w:rPr>
          <w:rFonts w:ascii="Arial" w:hAnsi="Arial" w:cs="Arial"/>
          <w:sz w:val="20"/>
          <w:szCs w:val="20"/>
          <w:lang w:val="es-ES_tradnl"/>
        </w:rPr>
        <w:t>válidos.</w:t>
      </w:r>
    </w:p>
    <w:p w14:paraId="6D2CA153" w14:textId="7A0C901C" w:rsidR="00684F49" w:rsidRPr="00234E16" w:rsidRDefault="00234E16">
      <w:pPr>
        <w:pStyle w:val="ListParagraph"/>
        <w:numPr>
          <w:ilvl w:val="0"/>
          <w:numId w:val="8"/>
        </w:numPr>
        <w:spacing w:line="259" w:lineRule="auto"/>
        <w:ind w:left="993" w:hanging="284"/>
        <w:jc w:val="both"/>
        <w:rPr>
          <w:rFonts w:ascii="Arial" w:hAnsi="Arial" w:cs="Arial"/>
          <w:sz w:val="20"/>
          <w:szCs w:val="20"/>
          <w:lang w:val="es-ES_tradnl"/>
        </w:rPr>
      </w:pPr>
      <w:r w:rsidRPr="00234E16">
        <w:rPr>
          <w:rFonts w:ascii="Arial" w:hAnsi="Arial" w:cs="Arial"/>
          <w:sz w:val="20"/>
          <w:szCs w:val="20"/>
          <w:lang w:val="es-ES_tradnl"/>
        </w:rPr>
        <w:t xml:space="preserve">La prueba debe usarse para la detección del antígeno del SARS-CoV-2 en muestras </w:t>
      </w:r>
      <w:r w:rsidR="00DB0FA4" w:rsidRPr="00234E16">
        <w:rPr>
          <w:rFonts w:ascii="Arial" w:hAnsi="Arial" w:cs="Arial"/>
          <w:sz w:val="20"/>
          <w:szCs w:val="20"/>
          <w:lang w:val="es-ES_tradnl"/>
        </w:rPr>
        <w:t xml:space="preserve">humanas </w:t>
      </w:r>
      <w:r w:rsidRPr="00234E16">
        <w:rPr>
          <w:rFonts w:ascii="Arial" w:hAnsi="Arial" w:cs="Arial"/>
          <w:sz w:val="20"/>
          <w:szCs w:val="20"/>
          <w:lang w:val="es-ES_tradnl"/>
        </w:rPr>
        <w:t>de hisop</w:t>
      </w:r>
      <w:r w:rsidR="00DB0FA4" w:rsidRPr="00234E16">
        <w:rPr>
          <w:rFonts w:ascii="Arial" w:hAnsi="Arial" w:cs="Arial"/>
          <w:sz w:val="20"/>
          <w:szCs w:val="20"/>
          <w:lang w:val="es-ES_tradnl"/>
        </w:rPr>
        <w:t>ad</w:t>
      </w:r>
      <w:r w:rsidRPr="00234E16">
        <w:rPr>
          <w:rFonts w:ascii="Arial" w:hAnsi="Arial" w:cs="Arial"/>
          <w:sz w:val="20"/>
          <w:szCs w:val="20"/>
          <w:lang w:val="es-ES_tradnl"/>
        </w:rPr>
        <w:t>o nasofaríngeo.</w:t>
      </w:r>
    </w:p>
    <w:p w14:paraId="6435E2A3" w14:textId="77777777" w:rsidR="00684F49" w:rsidRPr="00234E16" w:rsidRDefault="00234E16">
      <w:pPr>
        <w:pStyle w:val="ListParagraph"/>
        <w:numPr>
          <w:ilvl w:val="0"/>
          <w:numId w:val="8"/>
        </w:numPr>
        <w:spacing w:line="259" w:lineRule="auto"/>
        <w:ind w:left="993" w:hanging="284"/>
        <w:jc w:val="both"/>
        <w:rPr>
          <w:rFonts w:ascii="Arial" w:hAnsi="Arial" w:cs="Arial"/>
          <w:sz w:val="20"/>
          <w:szCs w:val="20"/>
          <w:lang w:val="es-ES_tradnl"/>
        </w:rPr>
      </w:pPr>
      <w:r w:rsidRPr="00234E16">
        <w:rPr>
          <w:rFonts w:ascii="Arial" w:hAnsi="Arial" w:cs="Arial"/>
          <w:sz w:val="20"/>
          <w:szCs w:val="20"/>
          <w:lang w:val="es-ES_tradnl"/>
        </w:rPr>
        <w:t>Con esta prueba cualitativa no puede determinarse ni el valor cuantitativo ni la tasa de concentración de antígenos del SARS-CoV-2.</w:t>
      </w:r>
    </w:p>
    <w:p w14:paraId="0244803A" w14:textId="77777777" w:rsidR="00684F49" w:rsidRPr="00234E16" w:rsidRDefault="00234E16">
      <w:pPr>
        <w:pStyle w:val="ListParagraph"/>
        <w:numPr>
          <w:ilvl w:val="0"/>
          <w:numId w:val="8"/>
        </w:numPr>
        <w:spacing w:line="259" w:lineRule="auto"/>
        <w:ind w:left="993" w:hanging="284"/>
        <w:jc w:val="both"/>
        <w:rPr>
          <w:rFonts w:ascii="Arial" w:hAnsi="Arial" w:cs="Arial"/>
          <w:sz w:val="20"/>
          <w:szCs w:val="20"/>
          <w:lang w:val="es-ES_tradnl"/>
        </w:rPr>
      </w:pPr>
      <w:r w:rsidRPr="00234E16">
        <w:rPr>
          <w:rFonts w:ascii="Arial" w:hAnsi="Arial" w:cs="Arial"/>
          <w:sz w:val="20"/>
          <w:szCs w:val="20"/>
          <w:lang w:val="es-ES_tradnl"/>
        </w:rPr>
        <w:t>Puede producirse un resultado negativo de la prueba si la concentración del antígeno extraído que hay en una muestra está por debajo de la sensibilidad de la prueba o si se ha obtenido una muestra de mala calidad.</w:t>
      </w:r>
    </w:p>
    <w:p w14:paraId="18F7F1F6" w14:textId="77777777" w:rsidR="00684F49" w:rsidRPr="00234E16" w:rsidRDefault="00234E16">
      <w:pPr>
        <w:pStyle w:val="ListParagraph"/>
        <w:numPr>
          <w:ilvl w:val="0"/>
          <w:numId w:val="8"/>
        </w:numPr>
        <w:spacing w:line="259" w:lineRule="auto"/>
        <w:ind w:left="993" w:hanging="284"/>
        <w:jc w:val="both"/>
        <w:rPr>
          <w:rFonts w:ascii="Arial" w:hAnsi="Arial" w:cs="Arial"/>
          <w:sz w:val="20"/>
          <w:szCs w:val="20"/>
          <w:lang w:val="es-ES_tradnl"/>
        </w:rPr>
      </w:pPr>
      <w:r w:rsidRPr="00234E16">
        <w:rPr>
          <w:rFonts w:ascii="Arial" w:hAnsi="Arial" w:cs="Arial"/>
          <w:sz w:val="20"/>
          <w:szCs w:val="20"/>
          <w:lang w:val="es-ES_tradnl"/>
        </w:rPr>
        <w:t>Para una evaluación más exacta del estado inmunitario, se recomienda realizar pruebas adicionales de seguimiento con el empleo de otros métodos analíticos.</w:t>
      </w:r>
    </w:p>
    <w:p w14:paraId="7B0A2962" w14:textId="77777777" w:rsidR="00684F49" w:rsidRPr="00234E16" w:rsidRDefault="00234E16">
      <w:pPr>
        <w:pStyle w:val="ListParagraph"/>
        <w:numPr>
          <w:ilvl w:val="0"/>
          <w:numId w:val="8"/>
        </w:numPr>
        <w:spacing w:line="259" w:lineRule="auto"/>
        <w:ind w:left="993" w:hanging="284"/>
        <w:jc w:val="both"/>
        <w:rPr>
          <w:rFonts w:ascii="Arial" w:hAnsi="Arial" w:cs="Arial"/>
          <w:sz w:val="20"/>
          <w:szCs w:val="20"/>
          <w:lang w:val="es-ES_tradnl"/>
        </w:rPr>
      </w:pPr>
      <w:r w:rsidRPr="00234E16">
        <w:rPr>
          <w:rFonts w:ascii="Arial" w:hAnsi="Arial" w:cs="Arial"/>
          <w:sz w:val="20"/>
          <w:szCs w:val="20"/>
          <w:lang w:val="es-ES_tradnl"/>
        </w:rPr>
        <w:t>El resultado de las pruebas debe evaluarse siempre junto con los demás datos de que disponga el médico.</w:t>
      </w:r>
    </w:p>
    <w:p w14:paraId="4FE27C3A" w14:textId="77777777" w:rsidR="00684F49" w:rsidRPr="00234E16" w:rsidRDefault="00234E16">
      <w:pPr>
        <w:pStyle w:val="ListParagraph"/>
        <w:numPr>
          <w:ilvl w:val="0"/>
          <w:numId w:val="8"/>
        </w:numPr>
        <w:spacing w:line="259" w:lineRule="auto"/>
        <w:ind w:left="993" w:hanging="284"/>
        <w:jc w:val="both"/>
        <w:rPr>
          <w:rFonts w:ascii="Arial" w:hAnsi="Arial" w:cs="Arial"/>
          <w:sz w:val="20"/>
          <w:szCs w:val="20"/>
          <w:lang w:val="es-ES_tradnl"/>
        </w:rPr>
      </w:pPr>
      <w:r w:rsidRPr="00234E16">
        <w:rPr>
          <w:rFonts w:ascii="Arial" w:hAnsi="Arial" w:cs="Arial"/>
          <w:sz w:val="20"/>
          <w:szCs w:val="20"/>
          <w:lang w:val="es-ES_tradnl"/>
        </w:rPr>
        <w:t>Los resultados positivos de la prueba no descartan la presencia de una coinfección por otros agentes patógenos.</w:t>
      </w:r>
    </w:p>
    <w:p w14:paraId="3EC49F01" w14:textId="4CD5C402" w:rsidR="00684F49" w:rsidRDefault="00234E16">
      <w:pPr>
        <w:pStyle w:val="ListParagraph"/>
        <w:numPr>
          <w:ilvl w:val="0"/>
          <w:numId w:val="8"/>
        </w:numPr>
        <w:spacing w:line="259" w:lineRule="auto"/>
        <w:ind w:left="993" w:hanging="284"/>
        <w:jc w:val="both"/>
        <w:rPr>
          <w:rFonts w:ascii="Arial" w:hAnsi="Arial" w:cs="Arial"/>
          <w:sz w:val="20"/>
          <w:szCs w:val="20"/>
          <w:lang w:val="es-ES_tradnl"/>
        </w:rPr>
      </w:pPr>
      <w:r w:rsidRPr="00234E16">
        <w:rPr>
          <w:rFonts w:ascii="Arial" w:hAnsi="Arial" w:cs="Arial"/>
          <w:sz w:val="20"/>
          <w:szCs w:val="20"/>
          <w:lang w:val="es-ES_tradnl"/>
        </w:rPr>
        <w:t>No debe interpretarse que los resultados negativos de la prueba descartan una infección por otros coronavirus, sino tan solo la del SARS-CoV-2.</w:t>
      </w:r>
    </w:p>
    <w:p w14:paraId="3FCD60DC" w14:textId="77777777" w:rsidR="007C7E1C" w:rsidRDefault="007C7E1C" w:rsidP="007C7E1C">
      <w:pPr>
        <w:pStyle w:val="ListParagraph"/>
        <w:spacing w:line="259" w:lineRule="auto"/>
        <w:ind w:left="993"/>
        <w:jc w:val="both"/>
        <w:rPr>
          <w:rFonts w:ascii="Arial" w:hAnsi="Arial" w:cs="Arial"/>
          <w:sz w:val="20"/>
          <w:szCs w:val="20"/>
          <w:lang w:val="es-ES_tradnl"/>
        </w:rPr>
      </w:pPr>
    </w:p>
    <w:p w14:paraId="15A4757E" w14:textId="77777777" w:rsidR="0007350D" w:rsidRPr="0007350D" w:rsidRDefault="007C7E1C" w:rsidP="008E1DB5">
      <w:pPr>
        <w:pStyle w:val="ListParagraph"/>
        <w:numPr>
          <w:ilvl w:val="0"/>
          <w:numId w:val="13"/>
        </w:numPr>
        <w:spacing w:line="259" w:lineRule="auto"/>
        <w:jc w:val="both"/>
        <w:rPr>
          <w:rFonts w:ascii="Arial" w:hAnsi="Arial" w:cs="Arial"/>
          <w:sz w:val="20"/>
          <w:szCs w:val="20"/>
          <w:lang w:val="es-ES_tradnl"/>
        </w:rPr>
      </w:pPr>
      <w:r w:rsidRPr="0007350D">
        <w:rPr>
          <w:rFonts w:ascii="Arial" w:hAnsi="Arial" w:cs="Arial"/>
          <w:b/>
          <w:bCs/>
          <w:sz w:val="20"/>
          <w:szCs w:val="20"/>
          <w:lang w:val="es-ES_tradnl"/>
        </w:rPr>
        <w:t xml:space="preserve">¿Cómo afectan las variantes al rendimiento de esta prueba? </w:t>
      </w:r>
    </w:p>
    <w:p w14:paraId="14739D5A" w14:textId="3B5060F5" w:rsidR="007C7E1C" w:rsidRPr="0007350D" w:rsidRDefault="007C7E1C" w:rsidP="0007350D">
      <w:pPr>
        <w:pStyle w:val="ListParagraph"/>
        <w:spacing w:line="259" w:lineRule="auto"/>
        <w:jc w:val="both"/>
        <w:rPr>
          <w:rFonts w:ascii="Arial" w:hAnsi="Arial" w:cs="Arial"/>
          <w:sz w:val="20"/>
          <w:szCs w:val="20"/>
          <w:lang w:val="es-ES_tradnl"/>
        </w:rPr>
      </w:pPr>
      <w:r w:rsidRPr="0007350D">
        <w:rPr>
          <w:rFonts w:ascii="Arial" w:hAnsi="Arial" w:cs="Arial"/>
          <w:sz w:val="20"/>
          <w:szCs w:val="20"/>
          <w:lang w:val="es-ES_tradnl"/>
        </w:rPr>
        <w:t>El virus SARS-CoV-2 ha mutado con el tiempo, lo que ha dado lugar a una variación genética en la población de cepas circulantes en el transcurso de la pandemia de COVID-19. El modo en que las mutaciones de estas cepas pueden afectar el rendimiento de la prueba de antígenos depende de si la prueba detecta la proteína de la nucleocápside (N) o la proteína de la espícula (S). Los profesionales sanitarios y el personal de laboratorio deben ser conscientes de que pueden producirse resultados negativos falsos con **cualquier** prueba molecular para la detección del SARS-CoV-2, especialmente si se produce una mutación en la parte del genoma del virus que se analiza en esa prueba. Las pruebas que figuran en la lista de uso en emergencias de la OMS no han visto disminuida su capacidad para detectar las variantes del virus SARS-CoV-2.</w:t>
      </w:r>
    </w:p>
    <w:p w14:paraId="5C7F78A2" w14:textId="5E5F895A" w:rsidR="007C7E1C" w:rsidRDefault="007C7E1C" w:rsidP="007C7E1C">
      <w:pPr>
        <w:pStyle w:val="Heading2"/>
        <w:keepNext w:val="0"/>
        <w:keepLines w:val="0"/>
        <w:spacing w:before="480" w:after="160" w:line="276" w:lineRule="auto"/>
        <w:rPr>
          <w:rFonts w:ascii="Arial" w:hAnsi="Arial" w:cs="Arial"/>
          <w:b/>
          <w:bCs/>
          <w:color w:val="auto"/>
          <w:sz w:val="26"/>
          <w:szCs w:val="26"/>
          <w:lang w:val="es-ES_tradnl"/>
        </w:rPr>
      </w:pPr>
      <w:r w:rsidRPr="007C7E1C">
        <w:rPr>
          <w:rFonts w:ascii="Arial" w:hAnsi="Arial" w:cs="Arial"/>
          <w:b/>
          <w:bCs/>
          <w:color w:val="auto"/>
          <w:sz w:val="26"/>
          <w:szCs w:val="26"/>
          <w:lang w:val="es-ES_tradnl"/>
        </w:rPr>
        <w:lastRenderedPageBreak/>
        <w:t xml:space="preserve">Pruebas de autodiagnóstico </w:t>
      </w:r>
    </w:p>
    <w:p w14:paraId="4424956B" w14:textId="77777777" w:rsidR="0007350D" w:rsidRPr="0007350D" w:rsidRDefault="007C7E1C" w:rsidP="00560D1B">
      <w:pPr>
        <w:pStyle w:val="ListParagraph"/>
        <w:numPr>
          <w:ilvl w:val="0"/>
          <w:numId w:val="13"/>
        </w:numPr>
        <w:rPr>
          <w:rFonts w:ascii="Arial" w:hAnsi="Arial" w:cs="Arial"/>
          <w:sz w:val="20"/>
          <w:szCs w:val="20"/>
          <w:lang w:val="es-ES_tradnl"/>
        </w:rPr>
      </w:pPr>
      <w:r w:rsidRPr="0007350D">
        <w:rPr>
          <w:rFonts w:ascii="Arial" w:hAnsi="Arial" w:cs="Arial"/>
          <w:b/>
          <w:bCs/>
          <w:sz w:val="20"/>
          <w:szCs w:val="20"/>
          <w:lang w:val="es-ES_tradnl"/>
        </w:rPr>
        <w:t xml:space="preserve">¿Cuál es el beneficio de usar las pruebas de autodiagnóstico? </w:t>
      </w:r>
    </w:p>
    <w:p w14:paraId="290F9C64" w14:textId="77777777" w:rsidR="0007350D" w:rsidRDefault="007C7E1C" w:rsidP="0007350D">
      <w:pPr>
        <w:pStyle w:val="ListParagraph"/>
        <w:rPr>
          <w:rFonts w:ascii="Arial" w:hAnsi="Arial" w:cs="Arial"/>
          <w:sz w:val="20"/>
          <w:szCs w:val="20"/>
          <w:lang w:val="es-ES_tradnl"/>
        </w:rPr>
      </w:pPr>
      <w:r w:rsidRPr="0007350D">
        <w:rPr>
          <w:rFonts w:ascii="Arial" w:hAnsi="Arial" w:cs="Arial"/>
          <w:sz w:val="20"/>
          <w:szCs w:val="20"/>
          <w:lang w:val="es-ES_tradnl"/>
        </w:rPr>
        <w:t xml:space="preserve">El autodiagnóstico de la COVID-19 es viable, y las personas que se autoadministran la prueba pueden usar las PDR-Ag del SARS-CoV-2 de manera fiable y precisa, como los profesionales capacitados. </w:t>
      </w:r>
    </w:p>
    <w:p w14:paraId="73D016EA" w14:textId="77777777" w:rsidR="0007350D" w:rsidRDefault="007C7E1C" w:rsidP="0007350D">
      <w:pPr>
        <w:pStyle w:val="ListParagraph"/>
        <w:rPr>
          <w:rFonts w:ascii="Arial" w:hAnsi="Arial" w:cs="Arial"/>
          <w:sz w:val="20"/>
          <w:szCs w:val="20"/>
          <w:lang w:val="es-ES_tradnl"/>
        </w:rPr>
      </w:pPr>
      <w:r w:rsidRPr="007C7E1C">
        <w:rPr>
          <w:rFonts w:ascii="Arial" w:hAnsi="Arial" w:cs="Arial"/>
          <w:sz w:val="20"/>
          <w:szCs w:val="20"/>
          <w:lang w:val="es-ES_tradnl"/>
        </w:rPr>
        <w:t xml:space="preserve">La oferta de pruebas de autodiagnóstico de la COVID-19 es aceptable y tiene el potencial de lograr una buena aceptación. </w:t>
      </w:r>
    </w:p>
    <w:p w14:paraId="24F2F35D" w14:textId="77777777" w:rsidR="0007350D" w:rsidRDefault="007C7E1C" w:rsidP="0007350D">
      <w:pPr>
        <w:pStyle w:val="ListParagraph"/>
        <w:rPr>
          <w:rFonts w:ascii="Arial" w:hAnsi="Arial" w:cs="Arial"/>
          <w:sz w:val="20"/>
          <w:szCs w:val="20"/>
          <w:lang w:val="es-ES_tradnl"/>
        </w:rPr>
      </w:pPr>
      <w:r w:rsidRPr="007C7E1C">
        <w:rPr>
          <w:rFonts w:ascii="Arial" w:hAnsi="Arial" w:cs="Arial"/>
          <w:sz w:val="20"/>
          <w:szCs w:val="20"/>
          <w:lang w:val="es-ES_tradnl"/>
        </w:rPr>
        <w:t xml:space="preserve">La oferta de pruebas de autodiagnóstico de la COVID-19 tiene el potencial de permitir un diagnóstico oportuno y una toma de decisiones basadas en el riesgo y adopción de medidas posteriores a la prueba rápidas, en particular en las comunidades de difícil acceso.  </w:t>
      </w:r>
    </w:p>
    <w:p w14:paraId="24C7454C" w14:textId="1343A3E3" w:rsidR="007C7E1C" w:rsidRPr="007C7E1C" w:rsidRDefault="007C7E1C" w:rsidP="0007350D">
      <w:pPr>
        <w:pStyle w:val="ListParagraph"/>
        <w:rPr>
          <w:rFonts w:ascii="Arial" w:hAnsi="Arial" w:cs="Arial"/>
          <w:sz w:val="20"/>
          <w:szCs w:val="20"/>
          <w:lang w:val="es-ES_tradnl"/>
        </w:rPr>
      </w:pPr>
      <w:r w:rsidRPr="007C7E1C">
        <w:rPr>
          <w:rFonts w:ascii="Arial" w:hAnsi="Arial" w:cs="Arial"/>
          <w:sz w:val="20"/>
          <w:szCs w:val="20"/>
          <w:lang w:val="es-ES_tradnl"/>
        </w:rPr>
        <w:t xml:space="preserve">La oferta de pruebas de autodiagnóstico de la COVID-19 tiene el potencial de permitir beneficios individuales y sociales adicionales, entre ellos permitir tomar decisiones personales posteriores a la prueba, incluidas decisiones que pueden afectar la salud de la persona y la de su familia y comunidad. </w:t>
      </w:r>
    </w:p>
    <w:p w14:paraId="0BBA2AC9" w14:textId="77777777" w:rsidR="007C7E1C" w:rsidRPr="0007350D" w:rsidRDefault="007C7E1C" w:rsidP="007C7E1C">
      <w:pPr>
        <w:rPr>
          <w:rFonts w:ascii="Arial" w:hAnsi="Arial" w:cs="Arial"/>
          <w:b/>
          <w:bCs/>
          <w:sz w:val="20"/>
          <w:szCs w:val="20"/>
          <w:lang w:val="es-ES_tradnl"/>
        </w:rPr>
      </w:pPr>
    </w:p>
    <w:p w14:paraId="05907888" w14:textId="77777777" w:rsidR="0007350D" w:rsidRPr="0007350D" w:rsidRDefault="007C7E1C" w:rsidP="003D6BA9">
      <w:pPr>
        <w:pStyle w:val="ListParagraph"/>
        <w:numPr>
          <w:ilvl w:val="0"/>
          <w:numId w:val="13"/>
        </w:numPr>
        <w:rPr>
          <w:rFonts w:ascii="Arial" w:hAnsi="Arial" w:cs="Arial"/>
          <w:sz w:val="20"/>
          <w:szCs w:val="20"/>
          <w:lang w:val="es-ES_tradnl"/>
        </w:rPr>
      </w:pPr>
      <w:r w:rsidRPr="0007350D">
        <w:rPr>
          <w:rFonts w:ascii="Arial" w:hAnsi="Arial" w:cs="Arial"/>
          <w:b/>
          <w:bCs/>
          <w:sz w:val="20"/>
          <w:szCs w:val="20"/>
          <w:lang w:val="es-ES_tradnl"/>
        </w:rPr>
        <w:t xml:space="preserve">¿Se pueden utilizar todas las PDR-Ag para el autodiagnóstico? </w:t>
      </w:r>
    </w:p>
    <w:p w14:paraId="7383CA77" w14:textId="79BA926E" w:rsidR="007C7E1C" w:rsidRPr="0007350D" w:rsidRDefault="007C7E1C" w:rsidP="0007350D">
      <w:pPr>
        <w:pStyle w:val="ListParagraph"/>
        <w:rPr>
          <w:rFonts w:ascii="Arial" w:hAnsi="Arial" w:cs="Arial"/>
          <w:sz w:val="20"/>
          <w:szCs w:val="20"/>
          <w:lang w:val="es-ES_tradnl"/>
        </w:rPr>
      </w:pPr>
      <w:r w:rsidRPr="0007350D">
        <w:rPr>
          <w:rFonts w:ascii="Arial" w:hAnsi="Arial" w:cs="Arial"/>
          <w:sz w:val="20"/>
          <w:szCs w:val="20"/>
          <w:lang w:val="es-ES_tradnl"/>
        </w:rPr>
        <w:t xml:space="preserve">Se pueden utilizar las PDR-Ag que han sido autorizadas para el autodiagnóstico. Por lo general, estas pruebas se suministran en un envase unitario con instrucciones de uso específicas para cada prueba. No deben usarse pruebas para uso profesional reenvasadas para su uso como pruebas de autodiagnóstico que no hayan sido autorizadas para el autodiagnóstico.     </w:t>
      </w:r>
    </w:p>
    <w:p w14:paraId="1D02D803" w14:textId="52585133" w:rsidR="007C7E1C" w:rsidRPr="007C7E1C" w:rsidRDefault="007C7E1C" w:rsidP="007C7E1C">
      <w:pPr>
        <w:rPr>
          <w:rFonts w:ascii="Arial" w:hAnsi="Arial" w:cs="Arial"/>
          <w:sz w:val="20"/>
          <w:szCs w:val="20"/>
          <w:lang w:val="es-ES_tradnl"/>
        </w:rPr>
      </w:pPr>
    </w:p>
    <w:p w14:paraId="1A33F7DD" w14:textId="77777777" w:rsidR="0007350D" w:rsidRPr="0007350D" w:rsidRDefault="007C7E1C" w:rsidP="00DE59DD">
      <w:pPr>
        <w:pStyle w:val="ListParagraph"/>
        <w:numPr>
          <w:ilvl w:val="0"/>
          <w:numId w:val="13"/>
        </w:numPr>
        <w:rPr>
          <w:rFonts w:ascii="Arial" w:hAnsi="Arial" w:cs="Arial"/>
          <w:sz w:val="20"/>
          <w:szCs w:val="20"/>
          <w:lang w:val="es-ES_tradnl"/>
        </w:rPr>
      </w:pPr>
      <w:r w:rsidRPr="0007350D">
        <w:rPr>
          <w:rFonts w:ascii="Arial" w:hAnsi="Arial" w:cs="Arial"/>
          <w:b/>
          <w:bCs/>
          <w:sz w:val="20"/>
          <w:szCs w:val="20"/>
          <w:lang w:val="es-ES_tradnl"/>
        </w:rPr>
        <w:t xml:space="preserve">¿Cómo se deben utilizar los resultados de una prueba de autodiagnóstico? </w:t>
      </w:r>
    </w:p>
    <w:p w14:paraId="35D24113" w14:textId="4A84FAB8" w:rsidR="007C7E1C" w:rsidRPr="007C7E1C" w:rsidRDefault="007C7E1C" w:rsidP="0007350D">
      <w:pPr>
        <w:pStyle w:val="ListParagraph"/>
        <w:rPr>
          <w:rFonts w:ascii="Arial" w:hAnsi="Arial" w:cs="Arial"/>
          <w:sz w:val="20"/>
          <w:szCs w:val="20"/>
          <w:lang w:val="es-ES_tradnl"/>
        </w:rPr>
      </w:pPr>
      <w:r w:rsidRPr="0007350D">
        <w:rPr>
          <w:rFonts w:ascii="Arial" w:hAnsi="Arial" w:cs="Arial"/>
          <w:sz w:val="20"/>
          <w:szCs w:val="20"/>
          <w:lang w:val="es-ES_tradnl"/>
        </w:rPr>
        <w:t xml:space="preserve">Con fines de diagnóstico, las personas con un resultado positivo en la prueba de autodiagnóstico pueden considerarse casos probables de infección por SARS-CoV-2 y deben tomar medidas posteriores a la prueba, incluidas medidas de control de la infección, de acuerdo con las directrices nacionales en vigor. Un resultado negativo de la prueba de autodiagnóstico es coherente con la ausencia de evidencia actual de infección, pero las personas deben ser conscientes de la posibilidad de que el resultado sea un falso negativo. Las personas con un resultado negativo en la prueba de autodiagnóstico, especialmente aquellas con síntomas persistentes o progresivos, deben considerar volver a realizarse la prueba, por ejemplo, de 24 a 48 horas después o deben solicitar pruebas para otros diagnósticos, incluso para otras infecciones respiratorias. La nueva prueba la podrá realizar el paciente o un profesional.   </w:t>
      </w:r>
    </w:p>
    <w:p w14:paraId="1814AC5A" w14:textId="77777777" w:rsidR="00684F49" w:rsidRPr="00234E16" w:rsidRDefault="00234E16">
      <w:pPr>
        <w:pStyle w:val="Heading2"/>
        <w:keepNext w:val="0"/>
        <w:keepLines w:val="0"/>
        <w:spacing w:before="480" w:after="160" w:line="276" w:lineRule="auto"/>
        <w:rPr>
          <w:rFonts w:ascii="Arial" w:hAnsi="Arial" w:cs="Arial"/>
          <w:b/>
          <w:bCs/>
          <w:color w:val="auto"/>
          <w:sz w:val="26"/>
          <w:szCs w:val="26"/>
          <w:lang w:val="es-ES_tradnl"/>
        </w:rPr>
      </w:pPr>
      <w:r w:rsidRPr="00234E16">
        <w:rPr>
          <w:rFonts w:ascii="Arial" w:hAnsi="Arial" w:cs="Arial"/>
          <w:b/>
          <w:bCs/>
          <w:color w:val="auto"/>
          <w:sz w:val="26"/>
          <w:szCs w:val="26"/>
          <w:lang w:val="es-ES_tradnl"/>
        </w:rPr>
        <w:t>Requisitos de las muestras</w:t>
      </w:r>
    </w:p>
    <w:p w14:paraId="6C24BB01" w14:textId="77777777" w:rsidR="00684F49" w:rsidRPr="00234E16" w:rsidRDefault="00234E16">
      <w:pPr>
        <w:pStyle w:val="ListParagraph"/>
        <w:numPr>
          <w:ilvl w:val="0"/>
          <w:numId w:val="1"/>
        </w:numPr>
        <w:jc w:val="both"/>
        <w:rPr>
          <w:rFonts w:ascii="Arial" w:hAnsi="Arial" w:cs="Arial"/>
          <w:b/>
          <w:bCs/>
          <w:sz w:val="20"/>
          <w:szCs w:val="20"/>
          <w:lang w:val="es-ES_tradnl"/>
        </w:rPr>
      </w:pPr>
      <w:r w:rsidRPr="00234E16">
        <w:rPr>
          <w:rFonts w:ascii="Arial" w:hAnsi="Arial" w:cs="Arial"/>
          <w:b/>
          <w:bCs/>
          <w:sz w:val="20"/>
          <w:szCs w:val="20"/>
          <w:lang w:val="es-ES_tradnl"/>
        </w:rPr>
        <w:t>¿Con qué muestras puedo utilizar las pruebas de antígenos para el análisis?</w:t>
      </w:r>
    </w:p>
    <w:p w14:paraId="58270C0C" w14:textId="2B8B01AE" w:rsidR="00684F49" w:rsidRDefault="00234E16">
      <w:pPr>
        <w:pStyle w:val="ListParagraph"/>
        <w:jc w:val="both"/>
        <w:rPr>
          <w:rFonts w:ascii="Arial" w:hAnsi="Arial" w:cs="Arial"/>
          <w:sz w:val="20"/>
          <w:szCs w:val="20"/>
          <w:lang w:val="es-ES_tradnl"/>
        </w:rPr>
      </w:pPr>
      <w:r w:rsidRPr="00234E16">
        <w:rPr>
          <w:rFonts w:ascii="Arial" w:hAnsi="Arial" w:cs="Arial"/>
          <w:sz w:val="20"/>
          <w:szCs w:val="20"/>
          <w:lang w:val="es-ES_tradnl"/>
        </w:rPr>
        <w:t xml:space="preserve">Las PDR de antígenos están autorizadas actualmente para el análisis de aspirados nasofaríngeos. Verifique siempre en las instrucciones del fabricante la información relativa a la compatibilidad de los tipos de muestras. </w:t>
      </w:r>
    </w:p>
    <w:p w14:paraId="0ECC4BED" w14:textId="4E898329" w:rsidR="00D5520B" w:rsidRDefault="00D5520B">
      <w:pPr>
        <w:pStyle w:val="ListParagraph"/>
        <w:jc w:val="both"/>
        <w:rPr>
          <w:rFonts w:ascii="Arial" w:hAnsi="Arial" w:cs="Arial"/>
          <w:sz w:val="20"/>
          <w:szCs w:val="20"/>
          <w:lang w:val="es-ES_tradnl"/>
        </w:rPr>
      </w:pPr>
    </w:p>
    <w:p w14:paraId="7F20E6B9" w14:textId="77777777" w:rsidR="00D5520B" w:rsidRPr="00D5520B" w:rsidRDefault="00D5520B" w:rsidP="00D5520B">
      <w:pPr>
        <w:pStyle w:val="ListParagraph"/>
        <w:numPr>
          <w:ilvl w:val="0"/>
          <w:numId w:val="13"/>
        </w:numPr>
        <w:jc w:val="both"/>
        <w:rPr>
          <w:rFonts w:ascii="Arial" w:hAnsi="Arial" w:cs="Arial"/>
          <w:b/>
          <w:bCs/>
          <w:sz w:val="20"/>
          <w:szCs w:val="20"/>
          <w:lang w:val="es-ES_tradnl"/>
        </w:rPr>
      </w:pPr>
      <w:r w:rsidRPr="00D5520B">
        <w:rPr>
          <w:rFonts w:ascii="Arial" w:hAnsi="Arial" w:cs="Arial"/>
          <w:b/>
          <w:bCs/>
          <w:sz w:val="20"/>
          <w:szCs w:val="20"/>
          <w:lang w:val="es-ES_tradnl"/>
        </w:rPr>
        <w:t xml:space="preserve">¿Qué muestras se usan habitualmente para las pruebas de autodiagnóstico? </w:t>
      </w:r>
    </w:p>
    <w:p w14:paraId="2C4052BA" w14:textId="77777777" w:rsidR="00D5520B" w:rsidRPr="00D5520B" w:rsidRDefault="00D5520B" w:rsidP="00D5520B">
      <w:pPr>
        <w:pStyle w:val="ListParagraph"/>
        <w:jc w:val="both"/>
        <w:rPr>
          <w:rFonts w:ascii="Arial" w:hAnsi="Arial" w:cs="Arial"/>
          <w:sz w:val="20"/>
          <w:szCs w:val="20"/>
          <w:lang w:val="es-ES_tradnl"/>
        </w:rPr>
      </w:pPr>
    </w:p>
    <w:p w14:paraId="0CBD068A" w14:textId="3AB26570" w:rsidR="00D5520B" w:rsidRPr="00234E16" w:rsidRDefault="00D5520B" w:rsidP="00D5520B">
      <w:pPr>
        <w:pStyle w:val="ListParagraph"/>
        <w:jc w:val="both"/>
        <w:rPr>
          <w:rFonts w:ascii="Arial" w:hAnsi="Arial" w:cs="Arial"/>
          <w:sz w:val="20"/>
          <w:szCs w:val="20"/>
          <w:lang w:val="es-ES_tradnl"/>
        </w:rPr>
      </w:pPr>
      <w:r w:rsidRPr="00D5520B">
        <w:rPr>
          <w:rFonts w:ascii="Arial" w:hAnsi="Arial" w:cs="Arial"/>
          <w:sz w:val="20"/>
          <w:szCs w:val="20"/>
          <w:lang w:val="es-ES_tradnl"/>
        </w:rPr>
        <w:t xml:space="preserve">Los hisopados nasales suelen ser el tipo de muestra preferido para las pruebas de autodiagnóstico en las que se emplean PDR de antígenos del SARS-CoV-2. A medida que se dispone de nuevas pruebas, se utilizan otros tipos de muestras, como el hisopado de garganta o </w:t>
      </w:r>
      <w:r w:rsidRPr="00D5520B">
        <w:rPr>
          <w:rFonts w:ascii="Arial" w:hAnsi="Arial" w:cs="Arial"/>
          <w:sz w:val="20"/>
          <w:szCs w:val="20"/>
          <w:lang w:val="es-ES_tradnl"/>
        </w:rPr>
        <w:lastRenderedPageBreak/>
        <w:t>saliva. Consulte siempre las instrucciones de uso del kit, en las que se especificará el tipo de muestras que debe utilizarse.</w:t>
      </w:r>
    </w:p>
    <w:p w14:paraId="6D061DC5" w14:textId="77777777" w:rsidR="00684F49" w:rsidRPr="00234E16" w:rsidRDefault="00684F49">
      <w:pPr>
        <w:pStyle w:val="ListParagraph"/>
        <w:jc w:val="both"/>
        <w:rPr>
          <w:rFonts w:ascii="Arial" w:hAnsi="Arial" w:cs="Arial"/>
          <w:sz w:val="20"/>
          <w:szCs w:val="20"/>
          <w:lang w:val="es-ES_tradnl"/>
        </w:rPr>
      </w:pPr>
    </w:p>
    <w:p w14:paraId="1EB1009C" w14:textId="77777777" w:rsidR="00684F49" w:rsidRPr="00234E16" w:rsidRDefault="00234E16">
      <w:pPr>
        <w:pStyle w:val="ListParagraph"/>
        <w:numPr>
          <w:ilvl w:val="0"/>
          <w:numId w:val="1"/>
        </w:numPr>
        <w:jc w:val="both"/>
        <w:rPr>
          <w:rFonts w:ascii="Arial" w:hAnsi="Arial" w:cs="Arial"/>
          <w:b/>
          <w:bCs/>
          <w:sz w:val="20"/>
          <w:szCs w:val="20"/>
          <w:lang w:val="es-ES_tradnl"/>
        </w:rPr>
      </w:pPr>
      <w:r w:rsidRPr="00234E16">
        <w:rPr>
          <w:rFonts w:ascii="Arial" w:hAnsi="Arial" w:cs="Arial"/>
          <w:b/>
          <w:bCs/>
          <w:sz w:val="20"/>
          <w:szCs w:val="20"/>
          <w:lang w:val="es-ES_tradnl"/>
        </w:rPr>
        <w:t>¿Durante cuánto tiempo pueden conservarse las muestras tras la obtención antes de realizar la prueba?</w:t>
      </w:r>
    </w:p>
    <w:p w14:paraId="077125D6" w14:textId="77777777" w:rsidR="00684F49" w:rsidRPr="00234E16" w:rsidRDefault="00234E16">
      <w:pPr>
        <w:pStyle w:val="ListParagraph"/>
        <w:jc w:val="both"/>
        <w:rPr>
          <w:rFonts w:ascii="Arial" w:hAnsi="Arial" w:cs="Arial"/>
          <w:sz w:val="20"/>
          <w:szCs w:val="20"/>
          <w:lang w:val="es-ES_tradnl"/>
        </w:rPr>
      </w:pPr>
      <w:r w:rsidRPr="00234E16">
        <w:rPr>
          <w:rFonts w:ascii="Arial" w:hAnsi="Arial" w:cs="Arial"/>
          <w:sz w:val="20"/>
          <w:szCs w:val="20"/>
          <w:lang w:val="es-ES_tradnl"/>
        </w:rPr>
        <w:t>Siga las instrucciones de uso del fabricante. Algunas muestras deben analizarse en un plazo de cuatro horas tras la obtención si se mantienen a temperatura ambiente.</w:t>
      </w:r>
    </w:p>
    <w:p w14:paraId="1AC528F5" w14:textId="77777777" w:rsidR="00684F49" w:rsidRPr="00234E16" w:rsidRDefault="00684F49">
      <w:pPr>
        <w:pStyle w:val="ListParagraph"/>
        <w:jc w:val="both"/>
        <w:rPr>
          <w:rFonts w:ascii="Arial" w:hAnsi="Arial" w:cs="Arial"/>
          <w:sz w:val="20"/>
          <w:szCs w:val="20"/>
          <w:lang w:val="es-ES_tradnl"/>
        </w:rPr>
      </w:pPr>
    </w:p>
    <w:p w14:paraId="18C10AE9" w14:textId="77777777" w:rsidR="00684F49" w:rsidRPr="00234E16" w:rsidRDefault="00234E16">
      <w:pPr>
        <w:pStyle w:val="ListParagraph"/>
        <w:numPr>
          <w:ilvl w:val="0"/>
          <w:numId w:val="1"/>
        </w:numPr>
        <w:jc w:val="both"/>
        <w:rPr>
          <w:rFonts w:ascii="Arial" w:hAnsi="Arial" w:cs="Arial"/>
          <w:b/>
          <w:bCs/>
          <w:sz w:val="20"/>
          <w:szCs w:val="20"/>
          <w:lang w:val="es-ES_tradnl"/>
        </w:rPr>
      </w:pPr>
      <w:r w:rsidRPr="00234E16">
        <w:rPr>
          <w:rFonts w:ascii="Arial" w:hAnsi="Arial" w:cs="Arial"/>
          <w:b/>
          <w:bCs/>
          <w:sz w:val="20"/>
          <w:szCs w:val="20"/>
          <w:lang w:val="es-ES_tradnl"/>
        </w:rPr>
        <w:t xml:space="preserve">¿Cómo deben conservarse las muestras mientras se espera la realización de la prueba o durante el transporte? </w:t>
      </w:r>
    </w:p>
    <w:p w14:paraId="40CC4032" w14:textId="77777777" w:rsidR="00684F49" w:rsidRPr="00234E16" w:rsidRDefault="00234E16">
      <w:pPr>
        <w:pStyle w:val="ListParagraph"/>
        <w:spacing w:after="0"/>
        <w:jc w:val="both"/>
        <w:rPr>
          <w:rFonts w:ascii="Arial" w:hAnsi="Arial" w:cs="Arial"/>
          <w:sz w:val="20"/>
          <w:szCs w:val="20"/>
          <w:lang w:val="es-ES_tradnl"/>
        </w:rPr>
      </w:pPr>
      <w:r w:rsidRPr="00234E16">
        <w:rPr>
          <w:rFonts w:ascii="Arial" w:hAnsi="Arial" w:cs="Arial"/>
          <w:sz w:val="20"/>
          <w:szCs w:val="20"/>
          <w:lang w:val="es-ES_tradnl"/>
        </w:rPr>
        <w:t>Siga las instrucciones de uso del fabricante. En algunos casos, las muestras pueden conservarse a 4–30 °C antes de realizar la prueba. Si la temperatura ambiente es superior a 30 °C, las muestras deben conservarse en un refrigerador o una nevera durante el transporte y antes de realizar la prueba.</w:t>
      </w:r>
    </w:p>
    <w:p w14:paraId="76C796CD" w14:textId="77777777" w:rsidR="00684F49" w:rsidRPr="00234E16" w:rsidRDefault="00684F49">
      <w:pPr>
        <w:spacing w:after="0"/>
        <w:jc w:val="both"/>
        <w:rPr>
          <w:rFonts w:ascii="Arial" w:hAnsi="Arial" w:cs="Arial"/>
          <w:sz w:val="20"/>
          <w:szCs w:val="20"/>
          <w:lang w:val="es-ES_tradnl"/>
        </w:rPr>
      </w:pPr>
    </w:p>
    <w:p w14:paraId="61F1321A" w14:textId="77777777" w:rsidR="00684F49" w:rsidRPr="00234E16" w:rsidRDefault="00234E16">
      <w:pPr>
        <w:pStyle w:val="ListParagraph"/>
        <w:numPr>
          <w:ilvl w:val="0"/>
          <w:numId w:val="1"/>
        </w:numPr>
        <w:jc w:val="both"/>
        <w:rPr>
          <w:rFonts w:ascii="Arial" w:hAnsi="Arial" w:cs="Arial"/>
          <w:b/>
          <w:bCs/>
          <w:sz w:val="20"/>
          <w:szCs w:val="20"/>
          <w:lang w:val="es-ES_tradnl"/>
        </w:rPr>
      </w:pPr>
      <w:r w:rsidRPr="00234E16">
        <w:rPr>
          <w:rFonts w:ascii="Arial" w:hAnsi="Arial" w:cs="Arial"/>
          <w:b/>
          <w:bCs/>
          <w:sz w:val="20"/>
          <w:szCs w:val="20"/>
          <w:lang w:val="es-ES_tradnl"/>
        </w:rPr>
        <w:t>La muestra es sanguinolenta, ¿puedo usarla de todos modos para la prueba?</w:t>
      </w:r>
    </w:p>
    <w:p w14:paraId="7D1C048E" w14:textId="77777777" w:rsidR="00684F49" w:rsidRPr="00234E16" w:rsidRDefault="00234E16">
      <w:pPr>
        <w:pStyle w:val="ListParagraph"/>
        <w:jc w:val="both"/>
        <w:rPr>
          <w:rFonts w:ascii="Arial" w:hAnsi="Arial" w:cs="Arial"/>
          <w:sz w:val="20"/>
          <w:szCs w:val="20"/>
          <w:lang w:val="es-ES_tradnl"/>
        </w:rPr>
      </w:pPr>
      <w:r w:rsidRPr="00234E16">
        <w:rPr>
          <w:rFonts w:ascii="Arial" w:hAnsi="Arial" w:cs="Arial"/>
          <w:sz w:val="20"/>
          <w:szCs w:val="20"/>
          <w:lang w:val="es-ES_tradnl"/>
        </w:rPr>
        <w:t>Sí. Las muestras que contienen vestigios de sangre pueden usarse de todos modos para los análisis realizados con una prueba de antígenos.</w:t>
      </w:r>
    </w:p>
    <w:p w14:paraId="36E7B81E" w14:textId="77777777" w:rsidR="00684F49" w:rsidRPr="00234E16" w:rsidRDefault="00684F49">
      <w:pPr>
        <w:pStyle w:val="ListParagraph"/>
        <w:jc w:val="both"/>
        <w:rPr>
          <w:rFonts w:ascii="Arial" w:hAnsi="Arial" w:cs="Arial"/>
          <w:sz w:val="20"/>
          <w:szCs w:val="20"/>
          <w:lang w:val="es-ES_tradnl"/>
        </w:rPr>
      </w:pPr>
    </w:p>
    <w:p w14:paraId="728F2C8A" w14:textId="77777777" w:rsidR="00684F49" w:rsidRPr="00234E16" w:rsidRDefault="00234E16">
      <w:pPr>
        <w:pStyle w:val="ListParagraph"/>
        <w:numPr>
          <w:ilvl w:val="0"/>
          <w:numId w:val="1"/>
        </w:numPr>
        <w:jc w:val="both"/>
        <w:rPr>
          <w:rFonts w:ascii="Arial" w:hAnsi="Arial" w:cs="Arial"/>
          <w:b/>
          <w:bCs/>
          <w:sz w:val="20"/>
          <w:szCs w:val="20"/>
          <w:lang w:val="es-ES_tradnl"/>
        </w:rPr>
      </w:pPr>
      <w:r w:rsidRPr="00234E16">
        <w:rPr>
          <w:rFonts w:ascii="Arial" w:hAnsi="Arial" w:cs="Arial"/>
          <w:b/>
          <w:bCs/>
          <w:sz w:val="20"/>
          <w:szCs w:val="20"/>
          <w:lang w:val="es-ES_tradnl"/>
        </w:rPr>
        <w:t>¿Pueden usarse PDR de antígenos para analizar muestras de sangre?</w:t>
      </w:r>
    </w:p>
    <w:p w14:paraId="79AC9B92" w14:textId="77777777" w:rsidR="00684F49" w:rsidRPr="00234E16" w:rsidRDefault="00234E16">
      <w:pPr>
        <w:pStyle w:val="ListParagraph"/>
        <w:jc w:val="both"/>
        <w:rPr>
          <w:rFonts w:ascii="Arial" w:hAnsi="Arial" w:cs="Arial"/>
          <w:sz w:val="20"/>
          <w:szCs w:val="20"/>
          <w:lang w:val="es-ES_tradnl"/>
        </w:rPr>
      </w:pPr>
      <w:r w:rsidRPr="00234E16">
        <w:rPr>
          <w:rFonts w:ascii="Arial" w:hAnsi="Arial" w:cs="Arial"/>
          <w:sz w:val="20"/>
          <w:szCs w:val="20"/>
          <w:lang w:val="es-ES_tradnl"/>
        </w:rPr>
        <w:t xml:space="preserve">No. Las PDR de antígenos están autorizadas actualmente para el análisis de aspirados nasofaríngeos. </w:t>
      </w:r>
    </w:p>
    <w:p w14:paraId="6DD9308A" w14:textId="77777777" w:rsidR="00684F49" w:rsidRPr="00234E16" w:rsidRDefault="00684F49">
      <w:pPr>
        <w:pStyle w:val="ListParagraph"/>
        <w:jc w:val="both"/>
        <w:rPr>
          <w:rFonts w:ascii="Arial" w:hAnsi="Arial" w:cs="Arial"/>
          <w:sz w:val="20"/>
          <w:szCs w:val="20"/>
          <w:lang w:val="es-ES_tradnl"/>
        </w:rPr>
      </w:pPr>
    </w:p>
    <w:p w14:paraId="40280BC1" w14:textId="77777777" w:rsidR="00684F49" w:rsidRPr="00234E16" w:rsidRDefault="00234E16">
      <w:pPr>
        <w:pStyle w:val="ListParagraph"/>
        <w:numPr>
          <w:ilvl w:val="0"/>
          <w:numId w:val="1"/>
        </w:numPr>
        <w:jc w:val="both"/>
        <w:rPr>
          <w:rFonts w:ascii="Arial" w:hAnsi="Arial" w:cs="Arial"/>
          <w:b/>
          <w:bCs/>
          <w:sz w:val="20"/>
          <w:szCs w:val="20"/>
          <w:lang w:val="es-ES_tradnl"/>
        </w:rPr>
      </w:pPr>
      <w:r w:rsidRPr="00234E16">
        <w:rPr>
          <w:rFonts w:ascii="Arial" w:hAnsi="Arial" w:cs="Arial"/>
          <w:b/>
          <w:bCs/>
          <w:sz w:val="20"/>
          <w:szCs w:val="20"/>
          <w:lang w:val="es-ES_tradnl"/>
        </w:rPr>
        <w:t>¿Pueden usarse las PDR de antígenos para analizar muestras de saliva?</w:t>
      </w:r>
    </w:p>
    <w:p w14:paraId="5B57BB0F" w14:textId="77777777" w:rsidR="00684F49" w:rsidRPr="00234E16" w:rsidRDefault="00234E16">
      <w:pPr>
        <w:pStyle w:val="ListParagraph"/>
        <w:jc w:val="both"/>
        <w:rPr>
          <w:rFonts w:ascii="Arial" w:hAnsi="Arial" w:cs="Arial"/>
          <w:sz w:val="20"/>
          <w:szCs w:val="20"/>
          <w:lang w:val="es-ES_tradnl"/>
        </w:rPr>
      </w:pPr>
      <w:r w:rsidRPr="00234E16">
        <w:rPr>
          <w:rFonts w:ascii="Arial" w:hAnsi="Arial" w:cs="Arial"/>
          <w:sz w:val="20"/>
          <w:szCs w:val="20"/>
          <w:lang w:val="es-ES_tradnl"/>
        </w:rPr>
        <w:t xml:space="preserve">No. Las PDR de antígenos están autorizadas actualmente para el análisis de aspirados nasofaríngeos. Se están realizando evaluaciones para determinar su rendimiento con otros tipos de muestras. </w:t>
      </w:r>
    </w:p>
    <w:p w14:paraId="4FB02762" w14:textId="77777777" w:rsidR="00684F49" w:rsidRPr="00234E16" w:rsidRDefault="00234E16">
      <w:pPr>
        <w:pStyle w:val="Heading2"/>
        <w:keepNext w:val="0"/>
        <w:keepLines w:val="0"/>
        <w:spacing w:before="480" w:after="160" w:line="276" w:lineRule="auto"/>
        <w:rPr>
          <w:rFonts w:ascii="Arial" w:hAnsi="Arial" w:cs="Arial"/>
          <w:b/>
          <w:bCs/>
          <w:color w:val="auto"/>
          <w:sz w:val="26"/>
          <w:szCs w:val="26"/>
          <w:lang w:val="es-ES_tradnl"/>
        </w:rPr>
      </w:pPr>
      <w:r w:rsidRPr="00234E16">
        <w:rPr>
          <w:rFonts w:ascii="Arial" w:hAnsi="Arial" w:cs="Arial"/>
          <w:b/>
          <w:bCs/>
          <w:color w:val="auto"/>
          <w:sz w:val="26"/>
          <w:szCs w:val="26"/>
          <w:lang w:val="es-ES_tradnl"/>
        </w:rPr>
        <w:t>Seguridad</w:t>
      </w:r>
    </w:p>
    <w:p w14:paraId="33E3BAE3" w14:textId="77777777" w:rsidR="00684F49" w:rsidRPr="00234E16" w:rsidRDefault="00234E16">
      <w:pPr>
        <w:pStyle w:val="ListParagraph"/>
        <w:numPr>
          <w:ilvl w:val="0"/>
          <w:numId w:val="1"/>
        </w:numPr>
        <w:jc w:val="both"/>
        <w:rPr>
          <w:rFonts w:ascii="Arial" w:hAnsi="Arial" w:cs="Arial"/>
          <w:b/>
          <w:bCs/>
          <w:sz w:val="20"/>
          <w:szCs w:val="20"/>
          <w:lang w:val="es-ES_tradnl"/>
        </w:rPr>
      </w:pPr>
      <w:r w:rsidRPr="00234E16">
        <w:rPr>
          <w:rFonts w:ascii="Arial" w:hAnsi="Arial" w:cs="Arial"/>
          <w:b/>
          <w:bCs/>
          <w:sz w:val="20"/>
          <w:szCs w:val="20"/>
          <w:lang w:val="es-ES_tradnl"/>
        </w:rPr>
        <w:t>¿Qué requisitos de seguridad es necesario cumplir en la toma de muestras?</w:t>
      </w:r>
    </w:p>
    <w:p w14:paraId="4285599A" w14:textId="403BBE30" w:rsidR="00684F49" w:rsidRPr="00234E16" w:rsidRDefault="00234E16">
      <w:pPr>
        <w:pStyle w:val="ListParagraph"/>
        <w:jc w:val="both"/>
        <w:rPr>
          <w:rFonts w:ascii="Arial" w:hAnsi="Arial" w:cs="Arial"/>
          <w:sz w:val="20"/>
          <w:szCs w:val="20"/>
          <w:lang w:val="es-ES_tradnl"/>
        </w:rPr>
      </w:pPr>
      <w:r w:rsidRPr="00234E16">
        <w:rPr>
          <w:rFonts w:ascii="Arial" w:hAnsi="Arial" w:cs="Arial"/>
          <w:sz w:val="20"/>
          <w:szCs w:val="20"/>
          <w:lang w:val="es-ES_tradnl"/>
        </w:rPr>
        <w:t xml:space="preserve">Debe llevarse puesto </w:t>
      </w:r>
      <w:r w:rsidR="00DB0FA4" w:rsidRPr="00234E16">
        <w:rPr>
          <w:rFonts w:ascii="Arial" w:hAnsi="Arial" w:cs="Arial"/>
          <w:sz w:val="20"/>
          <w:szCs w:val="20"/>
          <w:lang w:val="es-ES_tradnl"/>
        </w:rPr>
        <w:t>el</w:t>
      </w:r>
      <w:r w:rsidRPr="00234E16">
        <w:rPr>
          <w:rFonts w:ascii="Arial" w:hAnsi="Arial" w:cs="Arial"/>
          <w:sz w:val="20"/>
          <w:szCs w:val="20"/>
          <w:lang w:val="es-ES_tradnl"/>
        </w:rPr>
        <w:t xml:space="preserve"> equipo de protección personal (EPP) con guantes, protección ocular, mascarilla de protección respiratoria y bata, al obtener muestras de personas en las que se está estudiando si hay una infección de COVID-19 (véase el documento de la OMS </w:t>
      </w:r>
      <w:r w:rsidRPr="00234E16">
        <w:rPr>
          <w:rFonts w:ascii="Arial" w:hAnsi="Arial" w:cs="Arial"/>
          <w:i/>
          <w:iCs/>
          <w:sz w:val="20"/>
          <w:szCs w:val="20"/>
          <w:lang w:val="es-ES_tradnl"/>
        </w:rPr>
        <w:t>Personal protective equipment for COVID-19:</w:t>
      </w:r>
      <w:r w:rsidRPr="00234E16">
        <w:rPr>
          <w:rFonts w:ascii="Arial" w:hAnsi="Arial" w:cs="Arial"/>
          <w:sz w:val="20"/>
          <w:szCs w:val="20"/>
          <w:lang w:val="es-ES_tradnl"/>
        </w:rPr>
        <w:t xml:space="preserve"> </w:t>
      </w:r>
    </w:p>
    <w:p w14:paraId="10CB3932" w14:textId="77777777" w:rsidR="00684F49" w:rsidRPr="00234E16" w:rsidRDefault="00000000">
      <w:pPr>
        <w:pStyle w:val="ListParagraph"/>
        <w:jc w:val="both"/>
        <w:rPr>
          <w:rFonts w:ascii="Arial" w:hAnsi="Arial" w:cs="Arial"/>
          <w:b/>
          <w:bCs/>
          <w:color w:val="009AC9"/>
          <w:sz w:val="20"/>
          <w:szCs w:val="20"/>
          <w:lang w:val="es-ES_tradnl"/>
        </w:rPr>
      </w:pPr>
      <w:hyperlink r:id="rId14" w:history="1">
        <w:r w:rsidR="00234E16" w:rsidRPr="00234E16">
          <w:rPr>
            <w:rStyle w:val="Hyperlink"/>
            <w:rFonts w:ascii="Arial" w:hAnsi="Arial" w:cs="Arial"/>
            <w:color w:val="009AC9"/>
            <w:sz w:val="20"/>
            <w:szCs w:val="20"/>
            <w:lang w:val="es-ES_tradnl"/>
          </w:rPr>
          <w:t>https://www.who.int/medical_devices/priority/COVID_19_PPE/en/</w:t>
        </w:r>
      </w:hyperlink>
      <w:r w:rsidR="00234E16" w:rsidRPr="00234E16">
        <w:rPr>
          <w:rFonts w:ascii="Arial" w:hAnsi="Arial" w:cs="Arial"/>
          <w:color w:val="000000" w:themeColor="text1"/>
          <w:sz w:val="20"/>
          <w:szCs w:val="20"/>
          <w:lang w:val="es-ES_tradnl"/>
        </w:rPr>
        <w:t>).</w:t>
      </w:r>
      <w:r w:rsidR="00234E16" w:rsidRPr="00234E16">
        <w:rPr>
          <w:rFonts w:ascii="Arial" w:hAnsi="Arial" w:cs="Arial"/>
          <w:color w:val="009AC9"/>
          <w:sz w:val="20"/>
          <w:szCs w:val="20"/>
          <w:lang w:val="es-ES_tradnl"/>
        </w:rPr>
        <w:t xml:space="preserve">  </w:t>
      </w:r>
    </w:p>
    <w:p w14:paraId="5F5DFB3E" w14:textId="77777777" w:rsidR="00684F49" w:rsidRPr="00234E16" w:rsidRDefault="00684F49">
      <w:pPr>
        <w:pStyle w:val="ListParagraph"/>
        <w:jc w:val="both"/>
        <w:rPr>
          <w:rFonts w:ascii="Arial" w:hAnsi="Arial" w:cs="Arial"/>
          <w:color w:val="FF0000"/>
          <w:sz w:val="20"/>
          <w:szCs w:val="20"/>
          <w:lang w:val="es-ES_tradnl"/>
        </w:rPr>
      </w:pPr>
    </w:p>
    <w:p w14:paraId="337C6FB0" w14:textId="77777777" w:rsidR="00684F49" w:rsidRPr="00234E16" w:rsidRDefault="00234E16">
      <w:pPr>
        <w:pStyle w:val="ListParagraph"/>
        <w:numPr>
          <w:ilvl w:val="0"/>
          <w:numId w:val="1"/>
        </w:numPr>
        <w:jc w:val="both"/>
        <w:rPr>
          <w:rFonts w:ascii="Arial" w:hAnsi="Arial" w:cs="Arial"/>
          <w:b/>
          <w:bCs/>
          <w:sz w:val="20"/>
          <w:szCs w:val="20"/>
          <w:lang w:val="es-ES_tradnl"/>
        </w:rPr>
      </w:pPr>
      <w:r w:rsidRPr="00234E16">
        <w:rPr>
          <w:rFonts w:ascii="Arial" w:hAnsi="Arial" w:cs="Arial"/>
          <w:b/>
          <w:bCs/>
          <w:sz w:val="20"/>
          <w:szCs w:val="20"/>
          <w:lang w:val="es-ES_tradnl"/>
        </w:rPr>
        <w:t>¿Qué requisitos de seguridad es necesario cumplir en la realización de las PDR de antígenos?</w:t>
      </w:r>
    </w:p>
    <w:p w14:paraId="47D57792" w14:textId="7DDB2A59" w:rsidR="00684F49" w:rsidRPr="00234E16" w:rsidRDefault="00DB0FA4">
      <w:pPr>
        <w:pStyle w:val="ListParagraph"/>
        <w:jc w:val="both"/>
        <w:rPr>
          <w:rFonts w:ascii="Arial" w:hAnsi="Arial" w:cs="Arial"/>
          <w:sz w:val="20"/>
          <w:szCs w:val="20"/>
          <w:lang w:val="es-ES_tradnl"/>
        </w:rPr>
      </w:pPr>
      <w:r w:rsidRPr="00234E16">
        <w:rPr>
          <w:rFonts w:ascii="Arial" w:hAnsi="Arial" w:cs="Arial"/>
          <w:sz w:val="20"/>
          <w:szCs w:val="20"/>
          <w:lang w:val="es-ES_tradnl"/>
        </w:rPr>
        <w:t>Al realizar las PDR d</w:t>
      </w:r>
      <w:r w:rsidR="00234E16" w:rsidRPr="00234E16">
        <w:rPr>
          <w:rFonts w:ascii="Arial" w:hAnsi="Arial" w:cs="Arial"/>
          <w:sz w:val="20"/>
          <w:szCs w:val="20"/>
          <w:lang w:val="es-ES_tradnl"/>
        </w:rPr>
        <w:t xml:space="preserve">ebe llevarse puesto </w:t>
      </w:r>
      <w:r w:rsidRPr="00234E16">
        <w:rPr>
          <w:rFonts w:ascii="Arial" w:hAnsi="Arial" w:cs="Arial"/>
          <w:sz w:val="20"/>
          <w:szCs w:val="20"/>
          <w:lang w:val="es-ES_tradnl"/>
        </w:rPr>
        <w:t>el</w:t>
      </w:r>
      <w:r w:rsidR="00234E16" w:rsidRPr="00234E16">
        <w:rPr>
          <w:rFonts w:ascii="Arial" w:hAnsi="Arial" w:cs="Arial"/>
          <w:sz w:val="20"/>
          <w:szCs w:val="20"/>
          <w:lang w:val="es-ES_tradnl"/>
        </w:rPr>
        <w:t xml:space="preserve"> equipo de protección personal (EPP) con guantes, protección ocular, mascarilla quirúrgica (o mascarilla de protección respiratoria si se realiza directamente después de la obtención de la muestra) y bata.  </w:t>
      </w:r>
    </w:p>
    <w:p w14:paraId="63590490" w14:textId="77777777" w:rsidR="00684F49" w:rsidRPr="00234E16" w:rsidRDefault="00684F49">
      <w:pPr>
        <w:pStyle w:val="ListParagraph"/>
        <w:jc w:val="both"/>
        <w:rPr>
          <w:rFonts w:ascii="Arial" w:hAnsi="Arial" w:cs="Arial"/>
          <w:color w:val="FF0000"/>
          <w:sz w:val="20"/>
          <w:szCs w:val="20"/>
          <w:lang w:val="es-ES_tradnl"/>
        </w:rPr>
      </w:pPr>
    </w:p>
    <w:p w14:paraId="6910F10F" w14:textId="77777777" w:rsidR="00684F49" w:rsidRPr="00234E16" w:rsidRDefault="00234E16">
      <w:pPr>
        <w:pStyle w:val="ListParagraph"/>
        <w:numPr>
          <w:ilvl w:val="0"/>
          <w:numId w:val="1"/>
        </w:numPr>
        <w:jc w:val="both"/>
        <w:rPr>
          <w:rFonts w:ascii="Arial" w:hAnsi="Arial" w:cs="Arial"/>
          <w:b/>
          <w:bCs/>
          <w:sz w:val="20"/>
          <w:szCs w:val="20"/>
          <w:lang w:val="es-ES_tradnl"/>
        </w:rPr>
      </w:pPr>
      <w:r w:rsidRPr="00234E16">
        <w:rPr>
          <w:rFonts w:ascii="Arial" w:hAnsi="Arial" w:cs="Arial"/>
          <w:b/>
          <w:bCs/>
          <w:sz w:val="20"/>
          <w:szCs w:val="20"/>
          <w:lang w:val="es-ES_tradnl"/>
        </w:rPr>
        <w:t>¿Qué precauciones especiales debo tener al realizar las pruebas?</w:t>
      </w:r>
    </w:p>
    <w:p w14:paraId="49FCCA1B" w14:textId="249DF3CA" w:rsidR="00684F49" w:rsidRDefault="00234E16">
      <w:pPr>
        <w:pStyle w:val="ListParagraph"/>
        <w:jc w:val="both"/>
        <w:rPr>
          <w:rFonts w:ascii="Arial" w:hAnsi="Arial" w:cs="Arial"/>
          <w:sz w:val="20"/>
          <w:szCs w:val="20"/>
          <w:lang w:val="es-ES_tradnl"/>
        </w:rPr>
      </w:pPr>
      <w:r w:rsidRPr="00234E16">
        <w:rPr>
          <w:rFonts w:ascii="Arial" w:hAnsi="Arial" w:cs="Arial"/>
          <w:sz w:val="20"/>
          <w:szCs w:val="20"/>
          <w:lang w:val="es-ES_tradnl"/>
        </w:rPr>
        <w:t>Cumpla estrictamente las instrucciones de uso del fabricante y los procedimientos normalizados de trabajo (PNT).</w:t>
      </w:r>
    </w:p>
    <w:p w14:paraId="5A9E416E" w14:textId="77777777" w:rsidR="00D5520B" w:rsidRPr="00234E16" w:rsidRDefault="00D5520B">
      <w:pPr>
        <w:pStyle w:val="ListParagraph"/>
        <w:jc w:val="both"/>
        <w:rPr>
          <w:rFonts w:ascii="Arial" w:hAnsi="Arial" w:cs="Arial"/>
          <w:bCs/>
          <w:sz w:val="20"/>
          <w:szCs w:val="20"/>
          <w:lang w:val="es-ES_tradnl"/>
        </w:rPr>
      </w:pPr>
    </w:p>
    <w:p w14:paraId="01E238BE" w14:textId="1244D625" w:rsidR="00684F49" w:rsidRDefault="00684F49">
      <w:pPr>
        <w:pStyle w:val="ListParagraph"/>
        <w:jc w:val="both"/>
        <w:rPr>
          <w:rFonts w:ascii="Arial" w:hAnsi="Arial" w:cs="Arial"/>
          <w:bCs/>
          <w:sz w:val="20"/>
          <w:szCs w:val="20"/>
          <w:lang w:val="es-ES_tradnl"/>
        </w:rPr>
      </w:pPr>
    </w:p>
    <w:p w14:paraId="20F0A91D" w14:textId="77777777" w:rsidR="00D5520B" w:rsidRPr="00D5520B" w:rsidRDefault="00D5520B" w:rsidP="00D5520B">
      <w:pPr>
        <w:pStyle w:val="ListParagraph"/>
        <w:numPr>
          <w:ilvl w:val="0"/>
          <w:numId w:val="13"/>
        </w:numPr>
        <w:jc w:val="both"/>
        <w:rPr>
          <w:rFonts w:ascii="Arial" w:hAnsi="Arial" w:cs="Arial"/>
          <w:b/>
          <w:sz w:val="20"/>
          <w:szCs w:val="20"/>
          <w:lang w:val="es-ES_tradnl"/>
        </w:rPr>
      </w:pPr>
      <w:r w:rsidRPr="00D5520B">
        <w:rPr>
          <w:rFonts w:ascii="Arial" w:hAnsi="Arial" w:cs="Arial"/>
          <w:b/>
          <w:sz w:val="20"/>
          <w:szCs w:val="20"/>
          <w:lang w:val="es-ES_tradnl"/>
        </w:rPr>
        <w:lastRenderedPageBreak/>
        <w:t xml:space="preserve">¿Cómo debo eliminar los desechos (por ejemplo, pruebas usadas, recipientes de las muestras, etcétera)? </w:t>
      </w:r>
    </w:p>
    <w:p w14:paraId="4B94737C" w14:textId="77777777" w:rsidR="00D5520B" w:rsidRPr="00D5520B" w:rsidRDefault="00D5520B" w:rsidP="00D5520B">
      <w:pPr>
        <w:pStyle w:val="ListParagraph"/>
        <w:jc w:val="both"/>
        <w:rPr>
          <w:rFonts w:ascii="Arial" w:hAnsi="Arial" w:cs="Arial"/>
          <w:bCs/>
          <w:sz w:val="20"/>
          <w:szCs w:val="20"/>
          <w:lang w:val="es-ES_tradnl"/>
        </w:rPr>
      </w:pPr>
    </w:p>
    <w:p w14:paraId="191F2D7F" w14:textId="77777777" w:rsidR="00D5520B" w:rsidRPr="00D5520B" w:rsidRDefault="00D5520B" w:rsidP="00D5520B">
      <w:pPr>
        <w:pStyle w:val="ListParagraph"/>
        <w:jc w:val="both"/>
        <w:rPr>
          <w:rFonts w:ascii="Arial" w:hAnsi="Arial" w:cs="Arial"/>
          <w:bCs/>
          <w:sz w:val="20"/>
          <w:szCs w:val="20"/>
          <w:lang w:val="es-ES_tradnl"/>
        </w:rPr>
      </w:pPr>
      <w:r w:rsidRPr="00D5520B">
        <w:rPr>
          <w:rFonts w:ascii="Arial" w:hAnsi="Arial" w:cs="Arial"/>
          <w:bCs/>
          <w:sz w:val="20"/>
          <w:szCs w:val="20"/>
          <w:lang w:val="es-ES_tradnl"/>
        </w:rPr>
        <w:t xml:space="preserve">A menos que se indique otra cosa en las instrucciones de uso, todos los desechos generados con la realización de la prueba en muestras procedentes de casos de sospecha de COVID-19 o COVID-19 confirmada deben clasificarse como residuos de riesgo biológico y deben manipularse según las directrices locales aplicables. </w:t>
      </w:r>
    </w:p>
    <w:p w14:paraId="5C21259F" w14:textId="77777777" w:rsidR="00D5520B" w:rsidRPr="00D5520B" w:rsidRDefault="00D5520B" w:rsidP="00D5520B">
      <w:pPr>
        <w:pStyle w:val="ListParagraph"/>
        <w:jc w:val="both"/>
        <w:rPr>
          <w:rFonts w:ascii="Arial" w:hAnsi="Arial" w:cs="Arial"/>
          <w:bCs/>
          <w:sz w:val="20"/>
          <w:szCs w:val="20"/>
          <w:lang w:val="es-ES_tradnl"/>
        </w:rPr>
      </w:pPr>
    </w:p>
    <w:p w14:paraId="75D80D40" w14:textId="7EAD1F59" w:rsidR="00D5520B" w:rsidRPr="00234E16" w:rsidRDefault="00D5520B" w:rsidP="00D5520B">
      <w:pPr>
        <w:pStyle w:val="ListParagraph"/>
        <w:jc w:val="both"/>
        <w:rPr>
          <w:rFonts w:ascii="Arial" w:hAnsi="Arial" w:cs="Arial"/>
          <w:bCs/>
          <w:sz w:val="20"/>
          <w:szCs w:val="20"/>
          <w:lang w:val="es-ES_tradnl"/>
        </w:rPr>
      </w:pPr>
      <w:r w:rsidRPr="00D5520B">
        <w:rPr>
          <w:rFonts w:ascii="Arial" w:hAnsi="Arial" w:cs="Arial"/>
          <w:bCs/>
          <w:sz w:val="20"/>
          <w:szCs w:val="20"/>
          <w:lang w:val="es-ES_tradnl"/>
        </w:rPr>
        <w:t>Debe tenerse en cuenta que algunos tampones de extracción de los kits de PDR de antígenos, si se utilizan según las instrucciones de uso, inactivarán el virus del SARS-CoV-2 cuando la muestra se añada al tampón en el tubo de extracción. Los procedimientos de manejo de los residuos indicados pueden consultarse en las instrucciones de uso.</w:t>
      </w:r>
    </w:p>
    <w:p w14:paraId="6D12107E" w14:textId="77777777" w:rsidR="00684F49" w:rsidRPr="00234E16" w:rsidRDefault="00234E16" w:rsidP="00234E16">
      <w:pPr>
        <w:pStyle w:val="Heading2"/>
        <w:keepLines w:val="0"/>
        <w:spacing w:before="480" w:after="160" w:line="276" w:lineRule="auto"/>
        <w:rPr>
          <w:rFonts w:ascii="Arial" w:hAnsi="Arial" w:cs="Arial"/>
          <w:b/>
          <w:bCs/>
          <w:color w:val="auto"/>
          <w:sz w:val="26"/>
          <w:szCs w:val="26"/>
          <w:lang w:val="es-ES_tradnl"/>
        </w:rPr>
      </w:pPr>
      <w:r w:rsidRPr="00234E16">
        <w:rPr>
          <w:rFonts w:ascii="Arial" w:hAnsi="Arial" w:cs="Arial"/>
          <w:b/>
          <w:bCs/>
          <w:color w:val="auto"/>
          <w:sz w:val="26"/>
          <w:szCs w:val="26"/>
          <w:lang w:val="es-ES_tradnl"/>
        </w:rPr>
        <w:t>Antes de la prueba</w:t>
      </w:r>
    </w:p>
    <w:p w14:paraId="690FA516" w14:textId="77777777" w:rsidR="00684F49" w:rsidRPr="00234E16" w:rsidRDefault="00234E16" w:rsidP="00234E16">
      <w:pPr>
        <w:pStyle w:val="ListParagraph"/>
        <w:keepNext/>
        <w:numPr>
          <w:ilvl w:val="0"/>
          <w:numId w:val="1"/>
        </w:numPr>
        <w:jc w:val="both"/>
        <w:rPr>
          <w:rFonts w:ascii="Arial" w:hAnsi="Arial" w:cs="Arial"/>
          <w:b/>
          <w:bCs/>
          <w:sz w:val="20"/>
          <w:szCs w:val="20"/>
          <w:lang w:val="es-ES_tradnl"/>
        </w:rPr>
      </w:pPr>
      <w:r w:rsidRPr="00234E16">
        <w:rPr>
          <w:rFonts w:ascii="Arial" w:hAnsi="Arial" w:cs="Arial"/>
          <w:b/>
          <w:bCs/>
          <w:sz w:val="20"/>
          <w:szCs w:val="20"/>
          <w:lang w:val="es-ES_tradnl"/>
        </w:rPr>
        <w:t>¿Cómo debo conservar el kit?</w:t>
      </w:r>
    </w:p>
    <w:p w14:paraId="183D2BD0" w14:textId="25EF89A6" w:rsidR="00684F49" w:rsidRPr="00234E16" w:rsidRDefault="00234E16" w:rsidP="00234E16">
      <w:pPr>
        <w:pStyle w:val="ListParagraph"/>
        <w:keepNext/>
        <w:jc w:val="both"/>
        <w:rPr>
          <w:rFonts w:ascii="Arial" w:hAnsi="Arial" w:cs="Arial"/>
          <w:bCs/>
          <w:sz w:val="20"/>
          <w:szCs w:val="20"/>
          <w:lang w:val="es-ES_tradnl"/>
        </w:rPr>
      </w:pPr>
      <w:r w:rsidRPr="00234E16">
        <w:rPr>
          <w:rFonts w:ascii="Arial" w:hAnsi="Arial" w:cs="Arial"/>
          <w:sz w:val="20"/>
          <w:szCs w:val="20"/>
          <w:lang w:val="es-ES_tradnl"/>
        </w:rPr>
        <w:t xml:space="preserve">Siga las instrucciones del fabricante, que habitualmente se encuentran en el lado de la caja para los kits de pruebas. Normalmente el kit debe conservarse a 2–30 °C/36–86 °F y fuera de la luz solar directa. </w:t>
      </w:r>
    </w:p>
    <w:p w14:paraId="7DC696D6" w14:textId="77777777" w:rsidR="00684F49" w:rsidRPr="00234E16" w:rsidRDefault="00684F49">
      <w:pPr>
        <w:pStyle w:val="ListParagraph"/>
        <w:jc w:val="both"/>
        <w:rPr>
          <w:rFonts w:ascii="Arial" w:hAnsi="Arial" w:cs="Arial"/>
          <w:bCs/>
          <w:sz w:val="20"/>
          <w:szCs w:val="20"/>
          <w:lang w:val="es-ES_tradnl"/>
        </w:rPr>
      </w:pPr>
    </w:p>
    <w:p w14:paraId="46958C7F" w14:textId="77777777" w:rsidR="00684F49" w:rsidRPr="00234E16" w:rsidRDefault="00234E16">
      <w:pPr>
        <w:pStyle w:val="ListParagraph"/>
        <w:numPr>
          <w:ilvl w:val="0"/>
          <w:numId w:val="1"/>
        </w:numPr>
        <w:jc w:val="both"/>
        <w:rPr>
          <w:rFonts w:ascii="Arial" w:hAnsi="Arial" w:cs="Arial"/>
          <w:bCs/>
          <w:sz w:val="20"/>
          <w:szCs w:val="20"/>
          <w:lang w:val="es-ES_tradnl"/>
        </w:rPr>
      </w:pPr>
      <w:r w:rsidRPr="00234E16">
        <w:rPr>
          <w:rFonts w:ascii="Arial" w:hAnsi="Arial" w:cs="Arial"/>
          <w:b/>
          <w:bCs/>
          <w:sz w:val="20"/>
          <w:szCs w:val="20"/>
          <w:lang w:val="es-ES_tradnl"/>
        </w:rPr>
        <w:t>¿Cuál es el período de validez del kit?</w:t>
      </w:r>
    </w:p>
    <w:p w14:paraId="723BCE9B" w14:textId="6D15CD13" w:rsidR="00684F49" w:rsidRPr="00234E16" w:rsidRDefault="00234E16">
      <w:pPr>
        <w:pStyle w:val="ListParagraph"/>
        <w:jc w:val="both"/>
        <w:rPr>
          <w:lang w:val="es-ES_tradnl"/>
        </w:rPr>
      </w:pPr>
      <w:r w:rsidRPr="00234E16">
        <w:rPr>
          <w:rFonts w:ascii="Arial" w:hAnsi="Arial" w:cs="Arial"/>
          <w:sz w:val="20"/>
          <w:szCs w:val="20"/>
          <w:lang w:val="es-ES_tradnl"/>
        </w:rPr>
        <w:t xml:space="preserve">Los materiales contenidos en el kit son estables hasta la fecha de caducidad impresa en la caja externa. Normalmente, el período de validez es de doce meses a partir de la fecha de fabricación. </w:t>
      </w:r>
    </w:p>
    <w:p w14:paraId="7B7214C7" w14:textId="77777777" w:rsidR="00684F49" w:rsidRPr="00234E16" w:rsidRDefault="00234E16">
      <w:pPr>
        <w:pStyle w:val="Heading2"/>
        <w:keepNext w:val="0"/>
        <w:keepLines w:val="0"/>
        <w:spacing w:before="480" w:after="160" w:line="276" w:lineRule="auto"/>
        <w:rPr>
          <w:rFonts w:ascii="Arial" w:hAnsi="Arial" w:cs="Arial"/>
          <w:b/>
          <w:bCs/>
          <w:color w:val="auto"/>
          <w:sz w:val="26"/>
          <w:szCs w:val="26"/>
          <w:lang w:val="es-ES_tradnl"/>
        </w:rPr>
      </w:pPr>
      <w:r w:rsidRPr="00234E16">
        <w:rPr>
          <w:rFonts w:ascii="Arial" w:hAnsi="Arial" w:cs="Arial"/>
          <w:b/>
          <w:bCs/>
          <w:color w:val="auto"/>
          <w:sz w:val="26"/>
          <w:szCs w:val="26"/>
          <w:lang w:val="es-ES_tradnl"/>
        </w:rPr>
        <w:t>Realización de la prueba</w:t>
      </w:r>
    </w:p>
    <w:p w14:paraId="62941BE3" w14:textId="77777777" w:rsidR="00684F49" w:rsidRPr="00234E16" w:rsidRDefault="00234E16">
      <w:pPr>
        <w:pStyle w:val="ListParagraph"/>
        <w:numPr>
          <w:ilvl w:val="0"/>
          <w:numId w:val="2"/>
        </w:numPr>
        <w:jc w:val="both"/>
        <w:rPr>
          <w:rFonts w:ascii="Arial" w:hAnsi="Arial" w:cs="Arial"/>
          <w:b/>
          <w:bCs/>
          <w:sz w:val="20"/>
          <w:szCs w:val="20"/>
          <w:lang w:val="es-ES_tradnl"/>
        </w:rPr>
      </w:pPr>
      <w:r w:rsidRPr="00234E16">
        <w:rPr>
          <w:rFonts w:ascii="Arial" w:hAnsi="Arial" w:cs="Arial"/>
          <w:b/>
          <w:bCs/>
          <w:sz w:val="20"/>
          <w:szCs w:val="20"/>
          <w:lang w:val="es-ES_tradnl"/>
        </w:rPr>
        <w:t>¿Qué cantidad de muestra debe usarse?</w:t>
      </w:r>
    </w:p>
    <w:p w14:paraId="66FECE92" w14:textId="77777777" w:rsidR="00684F49" w:rsidRPr="00234E16" w:rsidRDefault="00234E16">
      <w:pPr>
        <w:pStyle w:val="ListParagraph"/>
        <w:spacing w:after="0"/>
        <w:jc w:val="both"/>
        <w:rPr>
          <w:rFonts w:ascii="Arial" w:hAnsi="Arial" w:cs="Arial"/>
          <w:bCs/>
          <w:sz w:val="20"/>
          <w:szCs w:val="20"/>
          <w:lang w:val="es-ES_tradnl"/>
        </w:rPr>
      </w:pPr>
      <w:r w:rsidRPr="00234E16">
        <w:rPr>
          <w:rFonts w:ascii="Arial" w:hAnsi="Arial" w:cs="Arial"/>
          <w:sz w:val="20"/>
          <w:szCs w:val="20"/>
          <w:lang w:val="es-ES_tradnl"/>
        </w:rPr>
        <w:t>Véanse las instrucciones de uso del fabricante.</w:t>
      </w:r>
    </w:p>
    <w:p w14:paraId="5847A196" w14:textId="77777777" w:rsidR="00684F49" w:rsidRPr="00234E16" w:rsidRDefault="00684F49">
      <w:pPr>
        <w:spacing w:after="0"/>
        <w:rPr>
          <w:rFonts w:ascii="Arial" w:hAnsi="Arial" w:cs="Arial"/>
          <w:bCs/>
          <w:sz w:val="20"/>
          <w:szCs w:val="20"/>
          <w:lang w:val="es-ES_tradnl"/>
        </w:rPr>
      </w:pPr>
    </w:p>
    <w:p w14:paraId="4F0EDC92" w14:textId="77777777" w:rsidR="00684F49" w:rsidRPr="00234E16" w:rsidRDefault="00234E16">
      <w:pPr>
        <w:pStyle w:val="ListParagraph"/>
        <w:numPr>
          <w:ilvl w:val="0"/>
          <w:numId w:val="2"/>
        </w:numPr>
        <w:jc w:val="both"/>
        <w:rPr>
          <w:rFonts w:ascii="Arial" w:hAnsi="Arial" w:cs="Arial"/>
          <w:b/>
          <w:bCs/>
          <w:sz w:val="20"/>
          <w:szCs w:val="20"/>
          <w:lang w:val="es-ES_tradnl"/>
        </w:rPr>
      </w:pPr>
      <w:r w:rsidRPr="00234E16">
        <w:rPr>
          <w:rFonts w:ascii="Arial" w:hAnsi="Arial" w:cs="Arial"/>
          <w:b/>
          <w:bCs/>
          <w:sz w:val="20"/>
          <w:szCs w:val="20"/>
          <w:lang w:val="es-ES_tradnl"/>
        </w:rPr>
        <w:t>¿Qué sucede si agregué una cantidad excesiva o insuficiente de muestra?</w:t>
      </w:r>
    </w:p>
    <w:p w14:paraId="0830A828" w14:textId="5012C5A7" w:rsidR="00684F49" w:rsidRPr="00234E16" w:rsidRDefault="00234E16">
      <w:pPr>
        <w:pStyle w:val="ListParagraph"/>
        <w:jc w:val="both"/>
        <w:rPr>
          <w:rFonts w:ascii="Arial" w:hAnsi="Arial" w:cs="Arial"/>
          <w:sz w:val="20"/>
          <w:szCs w:val="20"/>
          <w:lang w:val="es-ES_tradnl"/>
        </w:rPr>
      </w:pPr>
      <w:r w:rsidRPr="00234E16">
        <w:rPr>
          <w:rFonts w:ascii="Arial" w:hAnsi="Arial" w:cs="Arial"/>
          <w:sz w:val="20"/>
          <w:szCs w:val="20"/>
          <w:lang w:val="es-ES_tradnl"/>
        </w:rPr>
        <w:t>Agregar una cantidad excesiva o insuficiente de muestra puede impedir el buen funcionamiento del dispositivo y generar, por lo tanto, un resultado que no sea válido o un resultado que pueda ser difícil de leer.</w:t>
      </w:r>
    </w:p>
    <w:p w14:paraId="7B2C4B61" w14:textId="77777777" w:rsidR="00234E16" w:rsidRPr="00234E16" w:rsidRDefault="00234E16">
      <w:pPr>
        <w:pStyle w:val="ListParagraph"/>
        <w:jc w:val="both"/>
        <w:rPr>
          <w:rFonts w:ascii="Arial" w:hAnsi="Arial" w:cs="Arial"/>
          <w:bCs/>
          <w:sz w:val="20"/>
          <w:szCs w:val="20"/>
          <w:lang w:val="es-ES_tradnl"/>
        </w:rPr>
      </w:pPr>
    </w:p>
    <w:p w14:paraId="51049971" w14:textId="77777777" w:rsidR="00684F49" w:rsidRPr="00234E16" w:rsidRDefault="00234E16">
      <w:pPr>
        <w:pStyle w:val="ListParagraph"/>
        <w:numPr>
          <w:ilvl w:val="0"/>
          <w:numId w:val="6"/>
        </w:numPr>
        <w:rPr>
          <w:rFonts w:ascii="Arial" w:eastAsia="Times New Roman" w:hAnsi="Arial" w:cs="Arial"/>
          <w:b/>
          <w:bCs/>
          <w:sz w:val="20"/>
          <w:szCs w:val="20"/>
          <w:lang w:val="es-ES_tradnl"/>
        </w:rPr>
      </w:pPr>
      <w:r w:rsidRPr="00234E16">
        <w:rPr>
          <w:rFonts w:ascii="Arial" w:eastAsia="Times New Roman" w:hAnsi="Arial" w:cs="Arial"/>
          <w:b/>
          <w:bCs/>
          <w:sz w:val="20"/>
          <w:szCs w:val="20"/>
          <w:lang w:val="es-ES_tradnl"/>
        </w:rPr>
        <w:t>¿Qué factores pueden afectar potencialmente la calidad de la prueba?</w:t>
      </w:r>
    </w:p>
    <w:p w14:paraId="387F60AA" w14:textId="7B356FB5" w:rsidR="00684F49" w:rsidRPr="00234E16" w:rsidRDefault="00234E16">
      <w:pPr>
        <w:pStyle w:val="ListParagraph"/>
        <w:numPr>
          <w:ilvl w:val="0"/>
          <w:numId w:val="8"/>
        </w:numPr>
        <w:ind w:left="1134" w:hanging="283"/>
        <w:rPr>
          <w:rFonts w:ascii="Arial" w:eastAsia="Times New Roman" w:hAnsi="Arial" w:cs="Arial"/>
          <w:bCs/>
          <w:sz w:val="20"/>
          <w:szCs w:val="20"/>
          <w:lang w:val="es-ES_tradnl"/>
        </w:rPr>
      </w:pPr>
      <w:r w:rsidRPr="00234E16">
        <w:rPr>
          <w:rFonts w:ascii="Arial" w:eastAsia="Times New Roman" w:hAnsi="Arial" w:cs="Arial"/>
          <w:sz w:val="20"/>
          <w:szCs w:val="20"/>
          <w:lang w:val="es-ES_tradnl"/>
        </w:rPr>
        <w:t>La calidad de la muestra.</w:t>
      </w:r>
    </w:p>
    <w:p w14:paraId="09AC20B8" w14:textId="4C0B5D00" w:rsidR="00684F49" w:rsidRPr="00234E16" w:rsidRDefault="00234E16">
      <w:pPr>
        <w:pStyle w:val="ListParagraph"/>
        <w:numPr>
          <w:ilvl w:val="0"/>
          <w:numId w:val="8"/>
        </w:numPr>
        <w:ind w:left="1134" w:hanging="283"/>
        <w:rPr>
          <w:rFonts w:ascii="Arial" w:eastAsia="Times New Roman" w:hAnsi="Arial" w:cs="Arial"/>
          <w:bCs/>
          <w:sz w:val="20"/>
          <w:szCs w:val="20"/>
          <w:lang w:val="es-ES_tradnl"/>
        </w:rPr>
      </w:pPr>
      <w:r w:rsidRPr="00234E16">
        <w:rPr>
          <w:rFonts w:ascii="Arial" w:eastAsia="Times New Roman" w:hAnsi="Arial" w:cs="Arial"/>
          <w:sz w:val="20"/>
          <w:szCs w:val="20"/>
          <w:lang w:val="es-ES_tradnl"/>
        </w:rPr>
        <w:t>El uso de kits de prueba caducados.</w:t>
      </w:r>
    </w:p>
    <w:p w14:paraId="2B6FE6D8" w14:textId="6AFBB8B7" w:rsidR="00684F49" w:rsidRPr="00234E16" w:rsidRDefault="00234E16">
      <w:pPr>
        <w:pStyle w:val="ListParagraph"/>
        <w:numPr>
          <w:ilvl w:val="0"/>
          <w:numId w:val="8"/>
        </w:numPr>
        <w:ind w:left="1134" w:hanging="283"/>
        <w:rPr>
          <w:rFonts w:ascii="Arial" w:eastAsia="Times New Roman" w:hAnsi="Arial" w:cs="Arial"/>
          <w:bCs/>
          <w:sz w:val="20"/>
          <w:szCs w:val="20"/>
          <w:lang w:val="es-ES_tradnl"/>
        </w:rPr>
      </w:pPr>
      <w:r w:rsidRPr="00234E16">
        <w:rPr>
          <w:rFonts w:ascii="Arial" w:eastAsia="Times New Roman" w:hAnsi="Arial" w:cs="Arial"/>
          <w:sz w:val="20"/>
          <w:szCs w:val="20"/>
          <w:lang w:val="es-ES_tradnl"/>
        </w:rPr>
        <w:t xml:space="preserve">Superar los límites de las condiciones de conservación recomendadas para los kits. </w:t>
      </w:r>
    </w:p>
    <w:p w14:paraId="7EF7C88D" w14:textId="55EA3E03" w:rsidR="00684F49" w:rsidRPr="00234E16" w:rsidRDefault="00234E16">
      <w:pPr>
        <w:pStyle w:val="ListParagraph"/>
        <w:numPr>
          <w:ilvl w:val="0"/>
          <w:numId w:val="8"/>
        </w:numPr>
        <w:ind w:left="1134" w:hanging="283"/>
        <w:rPr>
          <w:rFonts w:ascii="Arial" w:eastAsia="Times New Roman" w:hAnsi="Arial" w:cs="Arial"/>
          <w:bCs/>
          <w:sz w:val="20"/>
          <w:szCs w:val="20"/>
          <w:lang w:val="es-ES_tradnl"/>
        </w:rPr>
      </w:pPr>
      <w:r w:rsidRPr="00234E16">
        <w:rPr>
          <w:rFonts w:ascii="Arial" w:eastAsia="Times New Roman" w:hAnsi="Arial" w:cs="Arial"/>
          <w:sz w:val="20"/>
          <w:szCs w:val="20"/>
          <w:lang w:val="es-ES_tradnl"/>
        </w:rPr>
        <w:t xml:space="preserve">Un embalaje/envasado deficiente. </w:t>
      </w:r>
    </w:p>
    <w:p w14:paraId="02D5D27F" w14:textId="77777777" w:rsidR="00684F49" w:rsidRPr="00234E16" w:rsidRDefault="00234E16">
      <w:pPr>
        <w:pStyle w:val="ListParagraph"/>
        <w:numPr>
          <w:ilvl w:val="0"/>
          <w:numId w:val="8"/>
        </w:numPr>
        <w:ind w:left="1134" w:hanging="283"/>
        <w:rPr>
          <w:rFonts w:ascii="Arial" w:eastAsia="Times New Roman" w:hAnsi="Arial" w:cs="Arial"/>
          <w:bCs/>
          <w:sz w:val="20"/>
          <w:szCs w:val="20"/>
          <w:lang w:val="es-ES_tradnl"/>
        </w:rPr>
      </w:pPr>
      <w:r w:rsidRPr="00234E16">
        <w:rPr>
          <w:rFonts w:ascii="Arial" w:eastAsia="Times New Roman" w:hAnsi="Arial" w:cs="Arial"/>
          <w:sz w:val="20"/>
          <w:szCs w:val="20"/>
          <w:lang w:val="es-ES_tradnl"/>
        </w:rPr>
        <w:t>No seguir las instrucciones de uso.</w:t>
      </w:r>
    </w:p>
    <w:p w14:paraId="5FF8FC9F" w14:textId="77777777" w:rsidR="00684F49" w:rsidRPr="00234E16" w:rsidRDefault="00684F49">
      <w:pPr>
        <w:pStyle w:val="ListParagraph"/>
        <w:ind w:left="1134"/>
        <w:rPr>
          <w:rFonts w:ascii="Arial" w:eastAsia="Times New Roman" w:hAnsi="Arial" w:cs="Arial"/>
          <w:bCs/>
          <w:sz w:val="20"/>
          <w:szCs w:val="20"/>
          <w:lang w:val="es-ES_tradnl"/>
        </w:rPr>
      </w:pPr>
    </w:p>
    <w:p w14:paraId="6E00393A" w14:textId="77777777" w:rsidR="00684F49" w:rsidRPr="00234E16" w:rsidRDefault="00234E16">
      <w:pPr>
        <w:pStyle w:val="ListParagraph"/>
        <w:numPr>
          <w:ilvl w:val="0"/>
          <w:numId w:val="4"/>
        </w:numPr>
        <w:jc w:val="both"/>
        <w:rPr>
          <w:rFonts w:ascii="Arial" w:hAnsi="Arial" w:cs="Arial"/>
          <w:b/>
          <w:bCs/>
          <w:sz w:val="20"/>
          <w:szCs w:val="20"/>
          <w:lang w:val="es-ES_tradnl"/>
        </w:rPr>
      </w:pPr>
      <w:r w:rsidRPr="00234E16">
        <w:rPr>
          <w:rFonts w:ascii="Arial" w:hAnsi="Arial" w:cs="Arial"/>
          <w:b/>
          <w:bCs/>
          <w:sz w:val="20"/>
          <w:szCs w:val="20"/>
          <w:lang w:val="es-ES_tradnl"/>
        </w:rPr>
        <w:t>¿Durante cuánto tiempo debe incubarse la prueba antes de leer el resultado?</w:t>
      </w:r>
    </w:p>
    <w:p w14:paraId="19A05245" w14:textId="1CC7389D" w:rsidR="00684F49" w:rsidRPr="00234E16" w:rsidRDefault="00234E16">
      <w:pPr>
        <w:pStyle w:val="ListParagraph"/>
        <w:jc w:val="both"/>
        <w:rPr>
          <w:rFonts w:ascii="Arial" w:hAnsi="Arial" w:cs="Arial"/>
          <w:bCs/>
          <w:sz w:val="20"/>
          <w:szCs w:val="20"/>
          <w:lang w:val="es-ES_tradnl"/>
        </w:rPr>
      </w:pPr>
      <w:r w:rsidRPr="00234E16">
        <w:rPr>
          <w:rFonts w:ascii="Arial" w:hAnsi="Arial" w:cs="Arial"/>
          <w:sz w:val="20"/>
          <w:szCs w:val="20"/>
          <w:lang w:val="es-ES_tradnl"/>
        </w:rPr>
        <w:t>Siga las instrucciones de uso del fabricante. Normalmente, los resultados se leen en 10 a 30 minutos. No debe realizarse la lectura después de superado el límite de tiempo establecido por el fabricante, ya que en estas situaciones los resultados de la prueba no son fiables y pueden producir resultados positivos falsos o negativos falsos. Si hay alguna duda, debe repetirse la prueba.</w:t>
      </w:r>
    </w:p>
    <w:p w14:paraId="3680DFA2" w14:textId="77777777" w:rsidR="00684F49" w:rsidRPr="00234E16" w:rsidRDefault="00234E16">
      <w:pPr>
        <w:pStyle w:val="Heading2"/>
        <w:keepNext w:val="0"/>
        <w:keepLines w:val="0"/>
        <w:spacing w:before="480" w:after="160" w:line="276" w:lineRule="auto"/>
        <w:rPr>
          <w:rFonts w:ascii="Arial" w:hAnsi="Arial" w:cs="Arial"/>
          <w:b/>
          <w:bCs/>
          <w:color w:val="auto"/>
          <w:sz w:val="26"/>
          <w:szCs w:val="26"/>
          <w:lang w:val="es-ES_tradnl"/>
        </w:rPr>
      </w:pPr>
      <w:r w:rsidRPr="00234E16">
        <w:rPr>
          <w:rFonts w:ascii="Arial" w:hAnsi="Arial" w:cs="Arial"/>
          <w:b/>
          <w:bCs/>
          <w:color w:val="auto"/>
          <w:sz w:val="26"/>
          <w:szCs w:val="26"/>
          <w:lang w:val="es-ES_tradnl"/>
        </w:rPr>
        <w:lastRenderedPageBreak/>
        <w:t>Interpretación de los resultados</w:t>
      </w:r>
    </w:p>
    <w:p w14:paraId="09101708" w14:textId="5C1B654E" w:rsidR="00684F49" w:rsidRPr="00234E16" w:rsidRDefault="00234E16">
      <w:pPr>
        <w:pStyle w:val="ListParagraph"/>
        <w:numPr>
          <w:ilvl w:val="0"/>
          <w:numId w:val="5"/>
        </w:numPr>
        <w:jc w:val="both"/>
        <w:rPr>
          <w:rFonts w:ascii="Arial" w:hAnsi="Arial" w:cs="Arial"/>
          <w:b/>
          <w:bCs/>
          <w:sz w:val="20"/>
          <w:szCs w:val="20"/>
          <w:lang w:val="es-ES_tradnl"/>
        </w:rPr>
      </w:pPr>
      <w:r w:rsidRPr="00234E16">
        <w:rPr>
          <w:rFonts w:ascii="Arial" w:hAnsi="Arial" w:cs="Arial"/>
          <w:b/>
          <w:bCs/>
          <w:sz w:val="20"/>
          <w:szCs w:val="20"/>
          <w:lang w:val="es-ES_tradnl"/>
        </w:rPr>
        <w:t>¿Qué significa un resultado inválido o insatisfactorio en una PDR de antígenos?</w:t>
      </w:r>
    </w:p>
    <w:p w14:paraId="495044D4" w14:textId="35B01A12" w:rsidR="00684F49" w:rsidRPr="00234E16" w:rsidRDefault="00234E16">
      <w:pPr>
        <w:pStyle w:val="ListParagraph"/>
        <w:jc w:val="both"/>
        <w:rPr>
          <w:rFonts w:ascii="Arial" w:hAnsi="Arial" w:cs="Arial"/>
          <w:sz w:val="20"/>
          <w:szCs w:val="20"/>
          <w:lang w:val="es-ES_tradnl"/>
        </w:rPr>
      </w:pPr>
      <w:r w:rsidRPr="00234E16">
        <w:rPr>
          <w:rFonts w:ascii="Arial" w:hAnsi="Arial" w:cs="Arial"/>
          <w:sz w:val="20"/>
          <w:szCs w:val="20"/>
          <w:lang w:val="es-ES_tradnl"/>
        </w:rPr>
        <w:t>Ocasionalmente, una persona tendrá un resultado de la prueba inválido o insatisfactorio, que puede deberse a un exceso de moco en la muestra, que interfiere en la realización de la prueba o a otros problemas de la obtención de la muestra. En estos casos debe obtenerse una nueva muestra mediante hisopo para enviarla a la realización de pruebas del SARS-CoV-2.</w:t>
      </w:r>
    </w:p>
    <w:p w14:paraId="276D5854" w14:textId="77777777" w:rsidR="00684F49" w:rsidRPr="00234E16" w:rsidRDefault="00684F49">
      <w:pPr>
        <w:pStyle w:val="ListParagraph"/>
        <w:jc w:val="both"/>
        <w:rPr>
          <w:rFonts w:ascii="Arial" w:hAnsi="Arial" w:cs="Arial"/>
          <w:sz w:val="20"/>
          <w:szCs w:val="20"/>
          <w:lang w:val="es-ES_tradnl"/>
        </w:rPr>
      </w:pPr>
    </w:p>
    <w:p w14:paraId="28E243CB" w14:textId="77777777" w:rsidR="00684F49" w:rsidRPr="00234E16" w:rsidRDefault="00234E16">
      <w:pPr>
        <w:pStyle w:val="ListParagraph"/>
        <w:numPr>
          <w:ilvl w:val="0"/>
          <w:numId w:val="5"/>
        </w:numPr>
        <w:jc w:val="both"/>
        <w:rPr>
          <w:rFonts w:ascii="Arial" w:hAnsi="Arial" w:cs="Arial"/>
          <w:b/>
          <w:bCs/>
          <w:sz w:val="20"/>
          <w:szCs w:val="20"/>
          <w:lang w:val="es-ES_tradnl"/>
        </w:rPr>
      </w:pPr>
      <w:r w:rsidRPr="00234E16">
        <w:rPr>
          <w:rFonts w:ascii="Arial" w:hAnsi="Arial" w:cs="Arial"/>
          <w:b/>
          <w:bCs/>
          <w:sz w:val="20"/>
          <w:szCs w:val="20"/>
          <w:lang w:val="es-ES_tradnl"/>
        </w:rPr>
        <w:t>¿Es posible que un paciente con un resultado negativo de una PDR de antígenos tenga de todos modos una infección de COVID-19?</w:t>
      </w:r>
    </w:p>
    <w:p w14:paraId="0B4F7BD8" w14:textId="4166E408" w:rsidR="00684F49" w:rsidRPr="00234E16" w:rsidRDefault="00234E16">
      <w:pPr>
        <w:pStyle w:val="ListParagraph"/>
        <w:jc w:val="both"/>
        <w:rPr>
          <w:rFonts w:ascii="Arial" w:hAnsi="Arial" w:cs="Arial"/>
          <w:sz w:val="20"/>
          <w:szCs w:val="20"/>
          <w:lang w:val="es-ES_tradnl"/>
        </w:rPr>
      </w:pPr>
      <w:r w:rsidRPr="00234E16">
        <w:rPr>
          <w:rFonts w:ascii="Arial" w:hAnsi="Arial" w:cs="Arial"/>
          <w:sz w:val="20"/>
          <w:szCs w:val="20"/>
          <w:lang w:val="es-ES_tradnl"/>
        </w:rPr>
        <w:t>Sí. Las personas con una infección de COVID-19 pueden presentar un resultado negativo de la prueba. Los datos actuales indican que un 15% a 20% de los pacientes pueden no ser detectados con las pruebas de antígenos.</w:t>
      </w:r>
    </w:p>
    <w:p w14:paraId="034ED0AF" w14:textId="77777777" w:rsidR="00684F49" w:rsidRPr="00234E16" w:rsidRDefault="00684F49">
      <w:pPr>
        <w:pStyle w:val="ListParagraph"/>
        <w:jc w:val="both"/>
        <w:rPr>
          <w:rFonts w:ascii="Arial" w:hAnsi="Arial" w:cs="Arial"/>
          <w:sz w:val="20"/>
          <w:szCs w:val="20"/>
          <w:lang w:val="es-ES_tradnl"/>
        </w:rPr>
      </w:pPr>
    </w:p>
    <w:p w14:paraId="01A87A6E" w14:textId="77777777" w:rsidR="00684F49" w:rsidRPr="00234E16" w:rsidRDefault="00234E16">
      <w:pPr>
        <w:pStyle w:val="ListParagraph"/>
        <w:numPr>
          <w:ilvl w:val="0"/>
          <w:numId w:val="5"/>
        </w:numPr>
        <w:jc w:val="both"/>
        <w:rPr>
          <w:rFonts w:ascii="Arial" w:hAnsi="Arial" w:cs="Arial"/>
          <w:b/>
          <w:bCs/>
          <w:sz w:val="20"/>
          <w:szCs w:val="20"/>
          <w:lang w:val="es-ES_tradnl"/>
        </w:rPr>
      </w:pPr>
      <w:r w:rsidRPr="00234E16">
        <w:rPr>
          <w:rFonts w:ascii="Arial" w:hAnsi="Arial" w:cs="Arial"/>
          <w:b/>
          <w:bCs/>
          <w:sz w:val="20"/>
          <w:szCs w:val="20"/>
          <w:lang w:val="es-ES_tradnl"/>
        </w:rPr>
        <w:t>¿Debo repetir la prueba en los pacientes con un resultado negativo de la PDR de antígenos utilizando una segunda PDR?</w:t>
      </w:r>
    </w:p>
    <w:p w14:paraId="376D91ED" w14:textId="77777777" w:rsidR="00684F49" w:rsidRPr="00234E16" w:rsidRDefault="00234E16">
      <w:pPr>
        <w:pStyle w:val="ListParagraph"/>
        <w:jc w:val="both"/>
        <w:rPr>
          <w:rFonts w:ascii="Arial" w:hAnsi="Arial" w:cs="Arial"/>
          <w:sz w:val="20"/>
          <w:szCs w:val="20"/>
          <w:lang w:val="es-ES_tradnl"/>
        </w:rPr>
      </w:pPr>
      <w:r w:rsidRPr="00234E16">
        <w:rPr>
          <w:rFonts w:ascii="Arial" w:hAnsi="Arial" w:cs="Arial"/>
          <w:sz w:val="20"/>
          <w:szCs w:val="20"/>
          <w:lang w:val="es-ES_tradnl"/>
        </w:rPr>
        <w:t xml:space="preserve">En los pacientes con una PDR de antígenos negativa es preferible utilizar una prueba más sensible, como la RT-PCR, para repetir el análisis. Sin embargo, si no se dispone de una prueba de tipo molecular, puede contemplarse repetir la prueba con una segunda PDR de antígenos en las 48 horas siguientes, sobre todo si los síntomas persisten o progresan. </w:t>
      </w:r>
    </w:p>
    <w:p w14:paraId="0183F1E9" w14:textId="77777777" w:rsidR="00684F49" w:rsidRPr="00234E16" w:rsidRDefault="00684F49">
      <w:pPr>
        <w:pStyle w:val="ListParagraph"/>
        <w:jc w:val="both"/>
        <w:rPr>
          <w:rFonts w:ascii="Arial" w:hAnsi="Arial" w:cs="Arial"/>
          <w:sz w:val="20"/>
          <w:szCs w:val="20"/>
          <w:lang w:val="es-ES_tradnl"/>
        </w:rPr>
      </w:pPr>
    </w:p>
    <w:p w14:paraId="3DE41C96" w14:textId="77777777" w:rsidR="00684F49" w:rsidRPr="00234E16" w:rsidRDefault="00234E16">
      <w:pPr>
        <w:pStyle w:val="ListParagraph"/>
        <w:numPr>
          <w:ilvl w:val="0"/>
          <w:numId w:val="5"/>
        </w:numPr>
        <w:jc w:val="both"/>
        <w:rPr>
          <w:rFonts w:ascii="Arial" w:hAnsi="Arial" w:cs="Arial"/>
          <w:b/>
          <w:bCs/>
          <w:sz w:val="20"/>
          <w:szCs w:val="20"/>
          <w:lang w:val="es-ES_tradnl"/>
        </w:rPr>
      </w:pPr>
      <w:r w:rsidRPr="00234E16">
        <w:rPr>
          <w:rFonts w:ascii="Arial" w:hAnsi="Arial" w:cs="Arial"/>
          <w:b/>
          <w:bCs/>
          <w:sz w:val="20"/>
          <w:szCs w:val="20"/>
          <w:lang w:val="es-ES_tradnl"/>
        </w:rPr>
        <w:t>¿Debo confirmar un resultado positivo de la PDR de antígenos con una PCR?</w:t>
      </w:r>
    </w:p>
    <w:p w14:paraId="73296F05" w14:textId="644FF41E" w:rsidR="00684F49" w:rsidRPr="00234E16" w:rsidRDefault="00234E16">
      <w:pPr>
        <w:pStyle w:val="ListParagraph"/>
        <w:jc w:val="both"/>
        <w:rPr>
          <w:rFonts w:ascii="Arial" w:hAnsi="Arial" w:cs="Arial"/>
          <w:sz w:val="20"/>
          <w:szCs w:val="20"/>
          <w:lang w:val="es-ES_tradnl"/>
        </w:rPr>
      </w:pPr>
      <w:r w:rsidRPr="00234E16">
        <w:rPr>
          <w:rFonts w:ascii="Arial" w:hAnsi="Arial" w:cs="Arial"/>
          <w:sz w:val="20"/>
          <w:szCs w:val="20"/>
          <w:lang w:val="es-ES_tradnl"/>
        </w:rPr>
        <w:t>Si se emplean PDR para diagnosticar a pacientes sintomáticos o contactos asintomáticos de los casos en zonas con una transmisión en la comunidad generalizada, el resultado positivo de la PDR de antígenos basta para confirmar un caso y no se requiere una prueba de confirmación. Sin embargo, si se emplean PDR de antígenos en contextos de prevalencia baja, los resultados positivos pueden tener una mayor probabilidad de corresponder a positivos falsos que a positivos verdaderos, y se recomienda vivamente realizar pruebas de confirmación en las personas con una PDR positiva.</w:t>
      </w:r>
    </w:p>
    <w:p w14:paraId="179517E4" w14:textId="77777777" w:rsidR="00684F49" w:rsidRPr="00234E16" w:rsidRDefault="00684F49">
      <w:pPr>
        <w:pStyle w:val="ListParagraph"/>
        <w:jc w:val="both"/>
        <w:rPr>
          <w:rFonts w:ascii="Arial" w:hAnsi="Arial" w:cs="Arial"/>
          <w:sz w:val="20"/>
          <w:szCs w:val="20"/>
          <w:lang w:val="es-ES_tradnl"/>
        </w:rPr>
      </w:pPr>
    </w:p>
    <w:p w14:paraId="4DC25015" w14:textId="77777777" w:rsidR="00684F49" w:rsidRPr="00234E16" w:rsidRDefault="00234E16">
      <w:pPr>
        <w:pStyle w:val="ListParagraph"/>
        <w:numPr>
          <w:ilvl w:val="0"/>
          <w:numId w:val="5"/>
        </w:numPr>
        <w:jc w:val="both"/>
        <w:rPr>
          <w:rFonts w:ascii="Arial" w:hAnsi="Arial" w:cs="Arial"/>
          <w:b/>
          <w:bCs/>
          <w:sz w:val="20"/>
          <w:szCs w:val="20"/>
          <w:lang w:val="es-ES_tradnl"/>
        </w:rPr>
      </w:pPr>
      <w:r w:rsidRPr="00234E16">
        <w:rPr>
          <w:rFonts w:ascii="Arial" w:hAnsi="Arial" w:cs="Arial"/>
          <w:b/>
          <w:bCs/>
          <w:sz w:val="20"/>
          <w:szCs w:val="20"/>
          <w:lang w:val="es-ES_tradnl"/>
        </w:rPr>
        <w:t>No se aprecia una banda de control visible en la prueba tras la incubación durante el período de tiempo requerido. ¿Qué debo hacer?</w:t>
      </w:r>
    </w:p>
    <w:p w14:paraId="32870FB2" w14:textId="77777777" w:rsidR="00684F49" w:rsidRPr="00234E16" w:rsidRDefault="00234E16">
      <w:pPr>
        <w:pStyle w:val="ListParagraph"/>
        <w:jc w:val="both"/>
        <w:rPr>
          <w:rFonts w:ascii="Arial" w:hAnsi="Arial" w:cs="Arial"/>
          <w:sz w:val="20"/>
          <w:szCs w:val="20"/>
          <w:lang w:val="es-ES_tradnl"/>
        </w:rPr>
      </w:pPr>
      <w:r w:rsidRPr="00234E16">
        <w:rPr>
          <w:rFonts w:ascii="Arial" w:hAnsi="Arial" w:cs="Arial"/>
          <w:sz w:val="20"/>
          <w:szCs w:val="20"/>
          <w:lang w:val="es-ES_tradnl"/>
        </w:rPr>
        <w:t>Tome una nueva muestra y repita la prueba.</w:t>
      </w:r>
    </w:p>
    <w:p w14:paraId="0271DFE2" w14:textId="77777777" w:rsidR="00684F49" w:rsidRPr="00234E16" w:rsidRDefault="00684F49">
      <w:pPr>
        <w:pStyle w:val="ListParagraph"/>
        <w:jc w:val="both"/>
        <w:rPr>
          <w:rFonts w:ascii="Arial" w:hAnsi="Arial" w:cs="Arial"/>
          <w:sz w:val="20"/>
          <w:szCs w:val="20"/>
          <w:lang w:val="es-ES_tradnl"/>
        </w:rPr>
      </w:pPr>
    </w:p>
    <w:p w14:paraId="65A687C3" w14:textId="7678BD94" w:rsidR="00684F49" w:rsidRPr="00234E16" w:rsidRDefault="00234E16">
      <w:pPr>
        <w:pStyle w:val="ListParagraph"/>
        <w:numPr>
          <w:ilvl w:val="0"/>
          <w:numId w:val="5"/>
        </w:numPr>
        <w:jc w:val="both"/>
        <w:rPr>
          <w:rFonts w:ascii="Arial" w:hAnsi="Arial" w:cs="Arial"/>
          <w:b/>
          <w:bCs/>
          <w:sz w:val="20"/>
          <w:szCs w:val="20"/>
          <w:lang w:val="es-ES_tradnl"/>
        </w:rPr>
      </w:pPr>
      <w:r w:rsidRPr="00234E16">
        <w:rPr>
          <w:rFonts w:ascii="Arial" w:hAnsi="Arial" w:cs="Arial"/>
          <w:b/>
          <w:bCs/>
          <w:sz w:val="20"/>
          <w:szCs w:val="20"/>
          <w:lang w:val="es-ES_tradnl"/>
        </w:rPr>
        <w:t>¿A qué puede deberse un resultado negativo falso de la prueba?</w:t>
      </w:r>
    </w:p>
    <w:p w14:paraId="40B3398E" w14:textId="6053CF72" w:rsidR="00684F49" w:rsidRPr="00234E16" w:rsidRDefault="00234E16">
      <w:pPr>
        <w:pStyle w:val="ListParagraph"/>
        <w:jc w:val="both"/>
        <w:rPr>
          <w:rFonts w:ascii="Arial" w:hAnsi="Arial" w:cs="Arial"/>
          <w:sz w:val="20"/>
          <w:szCs w:val="20"/>
          <w:lang w:val="es-ES_tradnl"/>
        </w:rPr>
      </w:pPr>
      <w:r w:rsidRPr="00234E16">
        <w:rPr>
          <w:rFonts w:ascii="Arial" w:hAnsi="Arial" w:cs="Arial"/>
          <w:sz w:val="20"/>
          <w:szCs w:val="20"/>
          <w:lang w:val="es-ES_tradnl"/>
        </w:rPr>
        <w:t xml:space="preserve">Pueden producirse resultados negativos falsos (un resultado negativo de la prueba en un paciente con infección de COVID-19) cuando la cantidad de antígeno viral presente en la muestra está por debajo del límite de detección de la prueba. Esto puede ocurrir a causa de métodos de toma de la muestra deficientes o de la obtención de muestras cuando la carga viral es baja, como ocurre en una fase muy temprana de la enfermedad o en etapas posteriores del curso de la enfermedad, por ejemplo, cuando han pasado más de siete días tras el inicio de los síntomas. Las pruebas funcionan mejor cuando se realizan en los primeros cinco a siete días tras el inicio de los síntomas. </w:t>
      </w:r>
    </w:p>
    <w:p w14:paraId="2BF6A81E" w14:textId="77777777" w:rsidR="00684F49" w:rsidRPr="00234E16" w:rsidRDefault="00684F49">
      <w:pPr>
        <w:pStyle w:val="ListParagraph"/>
        <w:jc w:val="both"/>
        <w:rPr>
          <w:rFonts w:ascii="Arial" w:hAnsi="Arial" w:cs="Arial"/>
          <w:sz w:val="20"/>
          <w:szCs w:val="20"/>
          <w:lang w:val="es-ES_tradnl"/>
        </w:rPr>
      </w:pPr>
    </w:p>
    <w:p w14:paraId="309C47DD" w14:textId="77777777" w:rsidR="00684F49" w:rsidRPr="00234E16" w:rsidRDefault="00234E16">
      <w:pPr>
        <w:pStyle w:val="ListParagraph"/>
        <w:numPr>
          <w:ilvl w:val="0"/>
          <w:numId w:val="5"/>
        </w:numPr>
        <w:rPr>
          <w:rFonts w:ascii="Arial" w:hAnsi="Arial" w:cs="Arial"/>
          <w:b/>
          <w:bCs/>
          <w:sz w:val="20"/>
          <w:szCs w:val="20"/>
          <w:lang w:val="es-ES_tradnl"/>
        </w:rPr>
      </w:pPr>
      <w:r w:rsidRPr="00234E16">
        <w:rPr>
          <w:rFonts w:ascii="Arial" w:hAnsi="Arial" w:cs="Arial"/>
          <w:b/>
          <w:bCs/>
          <w:sz w:val="20"/>
          <w:szCs w:val="20"/>
          <w:lang w:val="es-ES_tradnl"/>
        </w:rPr>
        <w:t>Tanto la banda de control (C) como la de la prueba (T) son visibles. ¿Qué significa esto?</w:t>
      </w:r>
    </w:p>
    <w:p w14:paraId="767DAF44" w14:textId="77777777" w:rsidR="00684F49" w:rsidRPr="00234E16" w:rsidRDefault="00234E16">
      <w:pPr>
        <w:pStyle w:val="ListParagraph"/>
        <w:rPr>
          <w:rFonts w:ascii="Arial" w:hAnsi="Arial" w:cs="Arial"/>
          <w:bCs/>
          <w:sz w:val="20"/>
          <w:szCs w:val="20"/>
          <w:lang w:val="es-ES_tradnl"/>
        </w:rPr>
      </w:pPr>
      <w:r w:rsidRPr="00234E16">
        <w:rPr>
          <w:rFonts w:ascii="Arial" w:hAnsi="Arial" w:cs="Arial"/>
          <w:sz w:val="20"/>
          <w:szCs w:val="20"/>
          <w:lang w:val="es-ES_tradnl"/>
        </w:rPr>
        <w:t>Cuando son visibles tanto la banda de control como la de la prueba, significa que el resultado de la prueba es positivo.</w:t>
      </w:r>
    </w:p>
    <w:p w14:paraId="4EB9B691" w14:textId="77777777" w:rsidR="00684F49" w:rsidRPr="00234E16" w:rsidRDefault="00684F49">
      <w:pPr>
        <w:pStyle w:val="ListParagraph"/>
        <w:rPr>
          <w:rFonts w:ascii="Arial" w:hAnsi="Arial" w:cs="Arial"/>
          <w:bCs/>
          <w:sz w:val="20"/>
          <w:szCs w:val="20"/>
          <w:lang w:val="es-ES_tradnl"/>
        </w:rPr>
      </w:pPr>
    </w:p>
    <w:p w14:paraId="459DC40C" w14:textId="0A4A2B40" w:rsidR="00684F49" w:rsidRPr="00234E16" w:rsidRDefault="00234E16">
      <w:pPr>
        <w:pStyle w:val="ListParagraph"/>
        <w:numPr>
          <w:ilvl w:val="0"/>
          <w:numId w:val="5"/>
        </w:numPr>
        <w:rPr>
          <w:rFonts w:ascii="Arial" w:hAnsi="Arial" w:cs="Arial"/>
          <w:b/>
          <w:bCs/>
          <w:sz w:val="20"/>
          <w:szCs w:val="20"/>
          <w:lang w:val="es-ES_tradnl"/>
        </w:rPr>
      </w:pPr>
      <w:r w:rsidRPr="00234E16">
        <w:rPr>
          <w:rFonts w:ascii="Arial" w:hAnsi="Arial" w:cs="Arial"/>
          <w:b/>
          <w:bCs/>
          <w:sz w:val="20"/>
          <w:szCs w:val="20"/>
          <w:lang w:val="es-ES_tradnl"/>
        </w:rPr>
        <w:t>La banda de control (C) es visible, pero la banda de la prueba (T) no lo es. ¿Qué significa esto?</w:t>
      </w:r>
    </w:p>
    <w:p w14:paraId="5076E55D" w14:textId="77777777" w:rsidR="00684F49" w:rsidRPr="00234E16" w:rsidRDefault="00234E16">
      <w:pPr>
        <w:pStyle w:val="ListParagraph"/>
        <w:rPr>
          <w:lang w:val="es-ES_tradnl"/>
        </w:rPr>
      </w:pPr>
      <w:r w:rsidRPr="00234E16">
        <w:rPr>
          <w:rFonts w:ascii="Arial" w:hAnsi="Arial" w:cs="Arial"/>
          <w:sz w:val="20"/>
          <w:szCs w:val="20"/>
          <w:lang w:val="es-ES_tradnl"/>
        </w:rPr>
        <w:lastRenderedPageBreak/>
        <w:t>Cuando la banda de control es visible, pero la banda de la prueba no lo es, significa que el resultado de la prueba es negativo.</w:t>
      </w:r>
    </w:p>
    <w:p w14:paraId="7C49F4ED" w14:textId="77777777" w:rsidR="00684F49" w:rsidRPr="00234E16" w:rsidRDefault="00234E16">
      <w:pPr>
        <w:pStyle w:val="Heading2"/>
        <w:keepNext w:val="0"/>
        <w:keepLines w:val="0"/>
        <w:spacing w:before="480" w:after="160" w:line="276" w:lineRule="auto"/>
        <w:rPr>
          <w:rFonts w:ascii="Arial" w:hAnsi="Arial" w:cs="Arial"/>
          <w:b/>
          <w:bCs/>
          <w:color w:val="auto"/>
          <w:sz w:val="26"/>
          <w:szCs w:val="26"/>
          <w:lang w:val="es-ES_tradnl"/>
        </w:rPr>
      </w:pPr>
      <w:r w:rsidRPr="00234E16">
        <w:rPr>
          <w:rFonts w:ascii="Arial" w:hAnsi="Arial" w:cs="Arial"/>
          <w:b/>
          <w:bCs/>
          <w:color w:val="auto"/>
          <w:sz w:val="26"/>
          <w:szCs w:val="26"/>
          <w:lang w:val="es-ES_tradnl"/>
        </w:rPr>
        <w:t>¿Dónde puedo encontrar más información sobre los medios de diagnóstico del SARS-CoV-2?</w:t>
      </w:r>
    </w:p>
    <w:p w14:paraId="3C4627A0" w14:textId="30D31FDF" w:rsidR="00684F49" w:rsidRPr="007C7E1C" w:rsidRDefault="00234E16">
      <w:pPr>
        <w:pStyle w:val="ListParagraph"/>
        <w:numPr>
          <w:ilvl w:val="0"/>
          <w:numId w:val="11"/>
        </w:numPr>
        <w:rPr>
          <w:rFonts w:ascii="Arial" w:hAnsi="Arial" w:cs="Arial"/>
          <w:bCs/>
          <w:color w:val="009AC9"/>
          <w:sz w:val="20"/>
          <w:szCs w:val="20"/>
          <w:u w:val="single"/>
          <w:lang w:val="en-GB"/>
        </w:rPr>
      </w:pPr>
      <w:r w:rsidRPr="00234E16">
        <w:rPr>
          <w:rFonts w:ascii="Arial" w:hAnsi="Arial" w:cs="Arial"/>
          <w:sz w:val="20"/>
          <w:szCs w:val="20"/>
          <w:lang w:val="es-ES_tradnl"/>
        </w:rPr>
        <w:t xml:space="preserve">Organización Mundial de la Salud. </w:t>
      </w:r>
      <w:r w:rsidRPr="007C7E1C">
        <w:rPr>
          <w:rFonts w:ascii="Arial" w:hAnsi="Arial" w:cs="Arial"/>
          <w:color w:val="000000" w:themeColor="text1"/>
          <w:sz w:val="20"/>
          <w:szCs w:val="20"/>
          <w:lang w:val="en-GB"/>
        </w:rPr>
        <w:t xml:space="preserve">Antigen-detection in the diagnosis of SARS-CoV-2 infection using rapid immunoassays: Interim guidance, 11 de septiembre del 2020: </w:t>
      </w:r>
      <w:hyperlink r:id="rId15" w:history="1">
        <w:r w:rsidRPr="007C7E1C">
          <w:rPr>
            <w:rStyle w:val="Hyperlink"/>
            <w:rFonts w:ascii="Arial" w:hAnsi="Arial" w:cs="Arial"/>
            <w:color w:val="009AC9"/>
            <w:sz w:val="20"/>
            <w:szCs w:val="20"/>
            <w:lang w:val="en-GB"/>
          </w:rPr>
          <w:t>https://www.who.int/publications/i/item/antigen-detection-in-the-diagnosis-of-sars-cov-2infection-using-rapid-immunoassays</w:t>
        </w:r>
      </w:hyperlink>
    </w:p>
    <w:p w14:paraId="6A6B04F5" w14:textId="7D1E70E9" w:rsidR="00684F49" w:rsidRPr="00234E16" w:rsidRDefault="00234E16">
      <w:pPr>
        <w:pStyle w:val="ListParagraph"/>
        <w:numPr>
          <w:ilvl w:val="0"/>
          <w:numId w:val="11"/>
        </w:numPr>
        <w:rPr>
          <w:rFonts w:ascii="Arial" w:hAnsi="Arial" w:cs="Arial"/>
          <w:bCs/>
          <w:color w:val="009AC9"/>
          <w:sz w:val="20"/>
          <w:szCs w:val="20"/>
          <w:u w:val="single"/>
          <w:lang w:val="es-ES_tradnl"/>
        </w:rPr>
      </w:pPr>
      <w:r w:rsidRPr="00234E16">
        <w:rPr>
          <w:rFonts w:ascii="Arial" w:hAnsi="Arial" w:cs="Arial"/>
          <w:sz w:val="20"/>
          <w:szCs w:val="20"/>
          <w:lang w:val="es-ES_tradnl"/>
        </w:rPr>
        <w:t>Organización Mundial de la Salud. Orientaciones técnicas sobre el nuevo coronavirus (2019</w:t>
      </w:r>
      <w:r w:rsidRPr="00234E16">
        <w:rPr>
          <w:rFonts w:ascii="Arial" w:hAnsi="Arial" w:cs="Arial"/>
          <w:sz w:val="20"/>
          <w:szCs w:val="20"/>
          <w:lang w:val="es-ES_tradnl"/>
        </w:rPr>
        <w:noBreakHyphen/>
        <w:t xml:space="preserve">nCoV) (página web): </w:t>
      </w:r>
      <w:hyperlink r:id="rId16" w:history="1">
        <w:r w:rsidRPr="00234E16">
          <w:rPr>
            <w:rStyle w:val="Hyperlink"/>
            <w:rFonts w:ascii="Arial" w:hAnsi="Arial" w:cs="Arial"/>
            <w:color w:val="009AC9"/>
            <w:sz w:val="20"/>
            <w:szCs w:val="20"/>
            <w:lang w:val="es-ES_tradnl"/>
          </w:rPr>
          <w:t>https://www.who.int/es/emergencies/diseases/novel-coronavirus-2019/technical-guidance</w:t>
        </w:r>
      </w:hyperlink>
      <w:r w:rsidRPr="00234E16">
        <w:rPr>
          <w:rFonts w:ascii="Arial" w:hAnsi="Arial" w:cs="Arial"/>
          <w:color w:val="009AC9"/>
          <w:sz w:val="20"/>
          <w:szCs w:val="20"/>
          <w:lang w:val="es-ES_tradnl"/>
        </w:rPr>
        <w:t>.</w:t>
      </w:r>
    </w:p>
    <w:p w14:paraId="26AA110F" w14:textId="12C99A8D" w:rsidR="00684F49" w:rsidRPr="00234E16" w:rsidRDefault="00234E16">
      <w:pPr>
        <w:pStyle w:val="ListParagraph"/>
        <w:numPr>
          <w:ilvl w:val="0"/>
          <w:numId w:val="11"/>
        </w:numPr>
        <w:rPr>
          <w:rFonts w:ascii="Arial" w:hAnsi="Arial" w:cs="Arial"/>
          <w:bCs/>
          <w:color w:val="009AC9"/>
          <w:sz w:val="20"/>
          <w:szCs w:val="20"/>
          <w:u w:val="single"/>
          <w:lang w:val="es-ES_tradnl"/>
        </w:rPr>
      </w:pPr>
      <w:r w:rsidRPr="00234E16">
        <w:rPr>
          <w:rFonts w:ascii="Arial" w:hAnsi="Arial" w:cs="Arial"/>
          <w:sz w:val="20"/>
          <w:szCs w:val="20"/>
          <w:lang w:val="es-ES_tradnl"/>
        </w:rPr>
        <w:t>Organización Mundial de la Salud. Diagnostic testing for SARS-CoV-2: Interim guidance, 11 de septiembre</w:t>
      </w:r>
      <w:r>
        <w:rPr>
          <w:rFonts w:ascii="Arial" w:hAnsi="Arial" w:cs="Arial"/>
          <w:sz w:val="20"/>
          <w:szCs w:val="20"/>
          <w:lang w:val="es-ES_tradnl"/>
        </w:rPr>
        <w:t xml:space="preserve"> del </w:t>
      </w:r>
      <w:r w:rsidRPr="00234E16">
        <w:rPr>
          <w:rFonts w:ascii="Arial" w:hAnsi="Arial" w:cs="Arial"/>
          <w:sz w:val="20"/>
          <w:szCs w:val="20"/>
          <w:lang w:val="es-ES_tradnl"/>
        </w:rPr>
        <w:t xml:space="preserve">2020: </w:t>
      </w:r>
      <w:hyperlink r:id="rId17" w:history="1">
        <w:r w:rsidRPr="00234E16">
          <w:rPr>
            <w:rStyle w:val="Hyperlink"/>
            <w:rFonts w:ascii="Arial" w:hAnsi="Arial" w:cs="Arial"/>
            <w:color w:val="009AC9"/>
            <w:sz w:val="20"/>
            <w:szCs w:val="20"/>
            <w:lang w:val="es-ES_tradnl"/>
          </w:rPr>
          <w:t>https://www.who.int/publications/i/item/diagnostic-testing-for-sars-cov-2</w:t>
        </w:r>
      </w:hyperlink>
      <w:r w:rsidRPr="00234E16">
        <w:rPr>
          <w:rStyle w:val="Hyperlink"/>
          <w:rFonts w:ascii="Arial" w:hAnsi="Arial" w:cs="Arial"/>
          <w:color w:val="009AC9"/>
          <w:sz w:val="20"/>
          <w:szCs w:val="20"/>
          <w:lang w:val="es-ES_tradnl"/>
        </w:rPr>
        <w:t>.</w:t>
      </w:r>
    </w:p>
    <w:p w14:paraId="655D2F0F" w14:textId="44453330" w:rsidR="00684F49" w:rsidRPr="007C7E1C" w:rsidRDefault="00234E16">
      <w:pPr>
        <w:pStyle w:val="ListParagraph"/>
        <w:numPr>
          <w:ilvl w:val="0"/>
          <w:numId w:val="11"/>
        </w:numPr>
        <w:rPr>
          <w:rFonts w:ascii="Arial" w:hAnsi="Arial" w:cs="Arial"/>
          <w:bCs/>
          <w:color w:val="009AC9"/>
          <w:sz w:val="20"/>
          <w:szCs w:val="20"/>
          <w:u w:val="single"/>
          <w:lang w:val="en-GB"/>
        </w:rPr>
      </w:pPr>
      <w:r w:rsidRPr="00234E16">
        <w:rPr>
          <w:rFonts w:ascii="Arial" w:hAnsi="Arial"/>
          <w:sz w:val="20"/>
          <w:szCs w:val="20"/>
          <w:lang w:val="es-ES_tradnl"/>
        </w:rPr>
        <w:t xml:space="preserve">Organización Mundial de la Salud. </w:t>
      </w:r>
      <w:r w:rsidRPr="007C7E1C">
        <w:rPr>
          <w:rFonts w:ascii="Arial" w:hAnsi="Arial"/>
          <w:sz w:val="20"/>
          <w:szCs w:val="20"/>
          <w:lang w:val="en-GB"/>
        </w:rPr>
        <w:t xml:space="preserve">Coronavirus disease (COVID-19) pandemic: Emergency Use Listing Procedure (EUL) open for in vitro diagnostics: </w:t>
      </w:r>
      <w:hyperlink r:id="rId18" w:history="1">
        <w:r w:rsidRPr="007C7E1C">
          <w:rPr>
            <w:rFonts w:ascii="Arial" w:hAnsi="Arial"/>
            <w:color w:val="009AC9"/>
            <w:u w:val="single"/>
            <w:lang w:val="en-GB"/>
          </w:rPr>
          <w:t>https://www.who.int/diagnostics_laboratory/EUL/en/</w:t>
        </w:r>
      </w:hyperlink>
      <w:r w:rsidRPr="007C7E1C">
        <w:rPr>
          <w:rFonts w:ascii="Arial" w:hAnsi="Arial"/>
          <w:color w:val="009AC9"/>
          <w:sz w:val="20"/>
          <w:szCs w:val="20"/>
          <w:u w:val="single"/>
          <w:lang w:val="en-GB"/>
        </w:rPr>
        <w:t>.</w:t>
      </w:r>
    </w:p>
    <w:p w14:paraId="42E33EA5" w14:textId="2DC9A17D" w:rsidR="00684F49" w:rsidRPr="007C7E1C" w:rsidRDefault="00234E16">
      <w:pPr>
        <w:pStyle w:val="ListParagraph"/>
        <w:numPr>
          <w:ilvl w:val="0"/>
          <w:numId w:val="11"/>
        </w:numPr>
        <w:rPr>
          <w:rStyle w:val="Hyperlink"/>
          <w:rFonts w:ascii="Arial" w:hAnsi="Arial" w:cs="Arial"/>
          <w:bCs/>
          <w:color w:val="009AC9"/>
          <w:sz w:val="20"/>
          <w:szCs w:val="20"/>
          <w:lang w:val="en-GB"/>
        </w:rPr>
      </w:pPr>
      <w:r w:rsidRPr="00234E16">
        <w:rPr>
          <w:rFonts w:ascii="Arial" w:hAnsi="Arial" w:cs="Arial"/>
          <w:sz w:val="20"/>
          <w:szCs w:val="20"/>
          <w:lang w:val="es-ES_tradnl"/>
        </w:rPr>
        <w:t xml:space="preserve">Organización Mundial de la Salud. </w:t>
      </w:r>
      <w:r w:rsidRPr="007C7E1C">
        <w:rPr>
          <w:rFonts w:ascii="Arial" w:hAnsi="Arial" w:cs="Arial"/>
          <w:sz w:val="20"/>
          <w:szCs w:val="20"/>
          <w:lang w:val="en-GB"/>
        </w:rPr>
        <w:t xml:space="preserve">Post-market surveillance for in vitro diagnostics (IVDs): </w:t>
      </w:r>
      <w:hyperlink r:id="rId19" w:history="1">
        <w:r w:rsidRPr="007C7E1C">
          <w:rPr>
            <w:rStyle w:val="Hyperlink"/>
            <w:rFonts w:ascii="Arial" w:hAnsi="Arial" w:cs="Arial"/>
            <w:color w:val="009AC9"/>
            <w:sz w:val="20"/>
            <w:szCs w:val="20"/>
            <w:lang w:val="en-GB"/>
          </w:rPr>
          <w:t>https://www.who.int/diagnostics_laboratory/postmarket/en/</w:t>
        </w:r>
      </w:hyperlink>
      <w:r w:rsidRPr="007C7E1C">
        <w:rPr>
          <w:rStyle w:val="Hyperlink"/>
          <w:rFonts w:ascii="Arial" w:hAnsi="Arial" w:cs="Arial"/>
          <w:color w:val="009AC9"/>
          <w:sz w:val="20"/>
          <w:szCs w:val="20"/>
          <w:lang w:val="en-GB"/>
        </w:rPr>
        <w:t>.</w:t>
      </w:r>
    </w:p>
    <w:p w14:paraId="22E724DF" w14:textId="77777777" w:rsidR="00684F49" w:rsidRPr="007C7E1C" w:rsidRDefault="00234E16">
      <w:pPr>
        <w:pStyle w:val="ListParagraph"/>
        <w:numPr>
          <w:ilvl w:val="0"/>
          <w:numId w:val="11"/>
        </w:numPr>
        <w:jc w:val="both"/>
        <w:rPr>
          <w:rFonts w:ascii="Arial" w:hAnsi="Arial" w:cs="Arial"/>
          <w:sz w:val="20"/>
          <w:szCs w:val="20"/>
          <w:lang w:val="en-GB"/>
        </w:rPr>
      </w:pPr>
      <w:r w:rsidRPr="00234E16">
        <w:rPr>
          <w:rFonts w:ascii="Arial" w:hAnsi="Arial" w:cs="Arial"/>
          <w:sz w:val="20"/>
          <w:szCs w:val="20"/>
          <w:lang w:val="es-ES_tradnl"/>
        </w:rPr>
        <w:t xml:space="preserve">Organización Mundial de la Salud. </w:t>
      </w:r>
      <w:r w:rsidRPr="007C7E1C">
        <w:rPr>
          <w:rFonts w:ascii="Arial" w:hAnsi="Arial" w:cs="Arial"/>
          <w:sz w:val="20"/>
          <w:szCs w:val="20"/>
          <w:lang w:val="en-GB"/>
        </w:rPr>
        <w:t>Personal protective equipment for COVID-19:</w:t>
      </w:r>
    </w:p>
    <w:p w14:paraId="187E4C31" w14:textId="71AA1391" w:rsidR="00684F49" w:rsidRPr="007C7E1C" w:rsidRDefault="00000000">
      <w:pPr>
        <w:pStyle w:val="ListParagraph"/>
        <w:numPr>
          <w:ilvl w:val="0"/>
          <w:numId w:val="11"/>
        </w:numPr>
        <w:jc w:val="both"/>
        <w:rPr>
          <w:rFonts w:ascii="Arial" w:hAnsi="Arial" w:cs="Arial"/>
          <w:b/>
          <w:bCs/>
          <w:color w:val="009AC9"/>
          <w:sz w:val="20"/>
          <w:szCs w:val="20"/>
          <w:lang w:val="en-GB"/>
        </w:rPr>
      </w:pPr>
      <w:hyperlink r:id="rId20" w:history="1">
        <w:r w:rsidR="00234E16" w:rsidRPr="007C7E1C">
          <w:rPr>
            <w:rStyle w:val="Hyperlink"/>
            <w:rFonts w:ascii="Arial" w:hAnsi="Arial" w:cs="Arial"/>
            <w:color w:val="009AC9"/>
            <w:sz w:val="20"/>
            <w:szCs w:val="20"/>
            <w:lang w:val="en-GB"/>
          </w:rPr>
          <w:t>https://www.who.int/medical_devices/priority/COVID_19_PPE/en/</w:t>
        </w:r>
      </w:hyperlink>
      <w:r w:rsidR="00234E16" w:rsidRPr="007C7E1C">
        <w:rPr>
          <w:rFonts w:ascii="Arial" w:hAnsi="Arial" w:cs="Arial"/>
          <w:color w:val="009AC9"/>
          <w:sz w:val="20"/>
          <w:szCs w:val="20"/>
          <w:lang w:val="en-GB"/>
        </w:rPr>
        <w:t>.</w:t>
      </w:r>
    </w:p>
    <w:p w14:paraId="403DAAB9" w14:textId="65CA5689" w:rsidR="00684F49" w:rsidRPr="007C7E1C" w:rsidRDefault="00234E16">
      <w:pPr>
        <w:pStyle w:val="ListParagraph"/>
        <w:numPr>
          <w:ilvl w:val="0"/>
          <w:numId w:val="11"/>
        </w:numPr>
        <w:rPr>
          <w:rFonts w:ascii="Arial" w:hAnsi="Arial" w:cs="Arial"/>
          <w:bCs/>
          <w:color w:val="009AC9"/>
          <w:sz w:val="20"/>
          <w:szCs w:val="20"/>
          <w:u w:val="single"/>
          <w:lang w:val="en-GB"/>
        </w:rPr>
      </w:pPr>
      <w:r w:rsidRPr="00234E16">
        <w:rPr>
          <w:rFonts w:ascii="Arial" w:hAnsi="Arial" w:cs="Arial"/>
          <w:sz w:val="20"/>
          <w:szCs w:val="20"/>
          <w:lang w:val="es-ES_tradnl"/>
        </w:rPr>
        <w:t xml:space="preserve">Centros para el Control y la Prevención de Enfermedades. </w:t>
      </w:r>
      <w:r w:rsidRPr="007C7E1C">
        <w:rPr>
          <w:rFonts w:ascii="Arial" w:hAnsi="Arial" w:cs="Arial"/>
          <w:sz w:val="20"/>
          <w:szCs w:val="20"/>
          <w:lang w:val="en-GB"/>
        </w:rPr>
        <w:t>Coronavirus disease 2019 (COVID</w:t>
      </w:r>
      <w:r w:rsidRPr="007C7E1C">
        <w:rPr>
          <w:rFonts w:ascii="Arial" w:hAnsi="Arial" w:cs="Arial"/>
          <w:sz w:val="20"/>
          <w:szCs w:val="20"/>
          <w:lang w:val="en-GB"/>
        </w:rPr>
        <w:noBreakHyphen/>
        <w:t xml:space="preserve">19): Guidance documents: </w:t>
      </w:r>
      <w:hyperlink r:id="rId21" w:history="1">
        <w:r w:rsidRPr="007C7E1C">
          <w:rPr>
            <w:rStyle w:val="Hyperlink"/>
            <w:rFonts w:ascii="Arial" w:hAnsi="Arial" w:cs="Arial"/>
            <w:color w:val="009AC9"/>
            <w:sz w:val="20"/>
            <w:szCs w:val="20"/>
            <w:lang w:val="en-GB"/>
          </w:rPr>
          <w:t>https://www.cdc.gov/coronavirus/2019-ncov/communication/guidance-list.html?Sort=Date%3A%3Adesc</w:t>
        </w:r>
      </w:hyperlink>
      <w:r w:rsidRPr="007C7E1C">
        <w:rPr>
          <w:rFonts w:ascii="Arial" w:hAnsi="Arial" w:cs="Arial"/>
          <w:color w:val="009AC9"/>
          <w:sz w:val="20"/>
          <w:szCs w:val="20"/>
          <w:lang w:val="en-GB"/>
        </w:rPr>
        <w:t>.</w:t>
      </w:r>
    </w:p>
    <w:p w14:paraId="18CB5A85" w14:textId="785B66AC" w:rsidR="00684F49" w:rsidRPr="00234E16" w:rsidRDefault="00234E16">
      <w:pPr>
        <w:pStyle w:val="ListParagraph"/>
        <w:numPr>
          <w:ilvl w:val="0"/>
          <w:numId w:val="11"/>
        </w:numPr>
        <w:rPr>
          <w:rFonts w:ascii="Arial" w:hAnsi="Arial" w:cs="Arial"/>
          <w:bCs/>
          <w:color w:val="009AC9"/>
          <w:sz w:val="20"/>
          <w:szCs w:val="20"/>
          <w:u w:val="single"/>
        </w:rPr>
      </w:pPr>
      <w:r w:rsidRPr="00234E16">
        <w:rPr>
          <w:rFonts w:ascii="Arial" w:hAnsi="Arial" w:cs="Arial"/>
          <w:sz w:val="20"/>
          <w:szCs w:val="20"/>
          <w:lang w:val="es-ES_tradnl"/>
        </w:rPr>
        <w:t xml:space="preserve">Centros para el Control y la Prevención de Enfermedades de África. </w:t>
      </w:r>
      <w:r w:rsidRPr="00234E16">
        <w:rPr>
          <w:rFonts w:ascii="Arial" w:hAnsi="Arial" w:cs="Arial"/>
          <w:color w:val="000000" w:themeColor="text1"/>
          <w:sz w:val="20"/>
          <w:szCs w:val="20"/>
        </w:rPr>
        <w:t>COVID-19 guidance on use of personal protective equipment for different clinical settings and activities, mayo del 2020:</w:t>
      </w:r>
    </w:p>
    <w:p w14:paraId="4C5C5597" w14:textId="77777777" w:rsidR="00684F49" w:rsidRPr="007C7E1C" w:rsidRDefault="00000000">
      <w:pPr>
        <w:pStyle w:val="ListParagraph"/>
        <w:rPr>
          <w:rFonts w:ascii="Arial" w:hAnsi="Arial" w:cs="Arial"/>
          <w:bCs/>
          <w:color w:val="009AC9"/>
          <w:sz w:val="20"/>
          <w:szCs w:val="20"/>
          <w:u w:val="single"/>
        </w:rPr>
      </w:pPr>
      <w:hyperlink r:id="rId22" w:history="1">
        <w:r w:rsidR="00234E16" w:rsidRPr="007C7E1C">
          <w:rPr>
            <w:rStyle w:val="Hyperlink"/>
            <w:rFonts w:ascii="Arial" w:hAnsi="Arial" w:cs="Arial"/>
            <w:color w:val="009AC9"/>
            <w:sz w:val="20"/>
            <w:szCs w:val="20"/>
          </w:rPr>
          <w:t>https://africacdc.org/download/covid-19-guidance-on-use-of-personal-protective-equipment-for-different-clinical-settings-and-activities/</w:t>
        </w:r>
      </w:hyperlink>
    </w:p>
    <w:p w14:paraId="0D4C6151" w14:textId="77777777" w:rsidR="00684F49" w:rsidRPr="007C7E1C" w:rsidRDefault="00684F49">
      <w:pPr>
        <w:pStyle w:val="ListParagraph"/>
        <w:rPr>
          <w:rFonts w:ascii="Arial" w:hAnsi="Arial" w:cs="Arial"/>
          <w:bCs/>
          <w:color w:val="009AC9"/>
          <w:sz w:val="20"/>
          <w:szCs w:val="20"/>
          <w:u w:val="single"/>
        </w:rPr>
      </w:pPr>
    </w:p>
    <w:p w14:paraId="463E23A3" w14:textId="77777777" w:rsidR="00684F49" w:rsidRPr="007C7E1C" w:rsidRDefault="00684F49">
      <w:pPr>
        <w:jc w:val="both"/>
        <w:rPr>
          <w:rFonts w:ascii="Arial" w:hAnsi="Arial" w:cs="Arial"/>
          <w:b/>
          <w:sz w:val="20"/>
          <w:szCs w:val="20"/>
        </w:rPr>
      </w:pPr>
    </w:p>
    <w:p w14:paraId="58E9FB6E" w14:textId="77777777" w:rsidR="00684F49" w:rsidRPr="007C7E1C" w:rsidRDefault="00684F49" w:rsidP="00234E16">
      <w:pPr>
        <w:jc w:val="both"/>
        <w:rPr>
          <w:rFonts w:ascii="Arial" w:hAnsi="Arial" w:cs="Arial"/>
          <w:b/>
          <w:sz w:val="20"/>
          <w:szCs w:val="20"/>
        </w:rPr>
      </w:pPr>
    </w:p>
    <w:p w14:paraId="235F9549" w14:textId="77777777" w:rsidR="00684F49" w:rsidRPr="007C7E1C" w:rsidRDefault="00000000">
      <w:r>
        <w:rPr>
          <w:lang w:val="es-ES_tradnl"/>
        </w:rPr>
        <w:pict w14:anchorId="77B9F04D">
          <v:rect id="Rectangle 1" o:spid="_x0000_s2050" style="position:absolute;margin-left:2561.1pt;margin-top:8.15pt;width:472.45pt;height:256.8pt;z-index:25165926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" filled="f" strokecolor="black [3213]" strokeweight="1pt">
            <w10:wrap anchorx="margin"/>
          </v:rect>
        </w:pict>
      </w:r>
    </w:p>
    <w:p w14:paraId="77179AF1" w14:textId="77777777" w:rsidR="00234E16" w:rsidRPr="00234E16" w:rsidRDefault="00234E16" w:rsidP="00234E16">
      <w:pPr>
        <w:rPr>
          <w:rFonts w:ascii="Arial" w:hAnsi="Arial" w:cs="Arial"/>
          <w:b/>
          <w:bCs/>
          <w:color w:val="0070C0"/>
          <w:lang w:val="es-ES_tradnl"/>
        </w:rPr>
      </w:pPr>
      <w:r w:rsidRPr="00234E16">
        <w:rPr>
          <w:rFonts w:ascii="Arial" w:hAnsi="Arial" w:cs="Arial"/>
          <w:b/>
          <w:bCs/>
          <w:color w:val="0070C0"/>
          <w:lang w:val="es-ES_tradnl"/>
        </w:rPr>
        <w:t>Declaración de exención de responsabilidades</w:t>
      </w:r>
    </w:p>
    <w:p w14:paraId="172DB775" w14:textId="77777777" w:rsidR="00234E16" w:rsidRPr="00234E16" w:rsidRDefault="00234E16" w:rsidP="00234E16">
      <w:pPr>
        <w:rPr>
          <w:rFonts w:ascii="Arial" w:hAnsi="Arial" w:cs="Arial"/>
          <w:b/>
          <w:bCs/>
          <w:lang w:val="es-ES_tradnl"/>
        </w:rPr>
      </w:pPr>
      <w:r w:rsidRPr="00234E16">
        <w:rPr>
          <w:rFonts w:ascii="Arial" w:hAnsi="Arial" w:cs="Arial"/>
          <w:b/>
          <w:bCs/>
          <w:lang w:val="es-ES_tradnl"/>
        </w:rPr>
        <w:t>Plataforma de la OMS de aprendizaje de seguridad sanitaria: Materiales didácticos</w:t>
      </w:r>
    </w:p>
    <w:p w14:paraId="6E8DA5BD" w14:textId="4B13BB74" w:rsidR="00234E16" w:rsidRPr="00234E16" w:rsidRDefault="00234E16" w:rsidP="00234E16">
      <w:pPr>
        <w:rPr>
          <w:rFonts w:ascii="Arial" w:hAnsi="Arial" w:cs="Arial"/>
          <w:lang w:val="es-ES_tradnl"/>
        </w:rPr>
      </w:pPr>
      <w:r w:rsidRPr="00234E16">
        <w:rPr>
          <w:rFonts w:ascii="Arial" w:hAnsi="Arial" w:cs="Arial"/>
          <w:lang w:val="es-ES_tradnl"/>
        </w:rPr>
        <w:t>Estos materiales didácticos de la OMS son © Organización Mundial de la Salud (OMS) 202</w:t>
      </w:r>
      <w:r w:rsidR="00904FA8">
        <w:rPr>
          <w:rFonts w:ascii="Arial" w:hAnsi="Arial" w:cs="Arial"/>
          <w:lang w:val="es-ES_tradnl"/>
        </w:rPr>
        <w:t>2</w:t>
      </w:r>
      <w:r w:rsidRPr="00234E16">
        <w:rPr>
          <w:rFonts w:ascii="Arial" w:hAnsi="Arial" w:cs="Arial"/>
          <w:lang w:val="es-ES_tradnl"/>
        </w:rPr>
        <w:t>. Reservados todos los derechos.</w:t>
      </w:r>
    </w:p>
    <w:p w14:paraId="16DA21A8" w14:textId="77777777" w:rsidR="00234E16" w:rsidRPr="00234E16" w:rsidRDefault="00234E16" w:rsidP="00234E16">
      <w:pPr>
        <w:rPr>
          <w:rFonts w:ascii="Arial" w:hAnsi="Arial" w:cs="Arial"/>
          <w:lang w:val="es-ES_tradnl"/>
        </w:rPr>
      </w:pPr>
      <w:r w:rsidRPr="00234E16">
        <w:rPr>
          <w:rFonts w:ascii="Arial" w:hAnsi="Arial" w:cs="Arial"/>
          <w:lang w:val="es-ES_tradnl"/>
        </w:rPr>
        <w:t xml:space="preserve">El uso de estos materiales está sujeto a las </w:t>
      </w:r>
      <w:hyperlink r:id="rId23" w:history="1">
        <w:r w:rsidRPr="00234E16">
          <w:rPr>
            <w:rStyle w:val="Hyperlink"/>
            <w:rFonts w:ascii="Arial" w:hAnsi="Arial" w:cs="Arial"/>
            <w:lang w:val="es-ES_tradnl"/>
          </w:rPr>
          <w:t>condiciones de uso de la los materiales didácticos de la plataforma de la OMS de aprendizaje de seguridad sanitaria</w:t>
        </w:r>
      </w:hyperlink>
      <w:r w:rsidRPr="00234E16">
        <w:rPr>
          <w:rFonts w:ascii="Arial" w:hAnsi="Arial" w:cs="Arial"/>
          <w:lang w:val="es-ES_tradnl"/>
        </w:rPr>
        <w:t xml:space="preserve"> que usted aceptó al descargarlos y que pueden consultarse [en inglés] en la plataforma de aprendizaje de seguridad sanitaria en: </w:t>
      </w:r>
      <w:hyperlink r:id="rId24" w:history="1">
        <w:r w:rsidRPr="00234E16">
          <w:rPr>
            <w:rStyle w:val="Hyperlink"/>
            <w:rFonts w:ascii="Arial" w:hAnsi="Arial" w:cs="Arial"/>
            <w:lang w:val="es-ES_tradnl"/>
          </w:rPr>
          <w:t>https://extranet.who.int/hslp</w:t>
        </w:r>
      </w:hyperlink>
      <w:r w:rsidRPr="00234E16">
        <w:rPr>
          <w:rFonts w:ascii="Arial" w:hAnsi="Arial" w:cs="Arial"/>
          <w:lang w:val="es-ES_tradnl"/>
        </w:rPr>
        <w:t xml:space="preserve">.  </w:t>
      </w:r>
    </w:p>
    <w:p w14:paraId="351F0F3B" w14:textId="77777777" w:rsidR="00234E16" w:rsidRPr="00234E16" w:rsidRDefault="00234E16" w:rsidP="00234E16">
      <w:pPr>
        <w:rPr>
          <w:rFonts w:ascii="Arial" w:hAnsi="Arial" w:cs="Arial"/>
          <w:lang w:val="es-ES_tradnl"/>
        </w:rPr>
      </w:pPr>
      <w:r w:rsidRPr="00234E16">
        <w:rPr>
          <w:rFonts w:ascii="Arial" w:hAnsi="Arial" w:cs="Arial"/>
          <w:lang w:val="es-ES_tradnl"/>
        </w:rPr>
        <w:lastRenderedPageBreak/>
        <w:t xml:space="preserve">Si usted adapta, modifica, traduce o cambia de cualquier otra manera el contenido de estos materiales, no debe dar a entender que la OMS respalda en modo alguno esas modificaciones ni puede usar el nombre o el logo de la OMS en esos materiales modificados.  </w:t>
      </w:r>
    </w:p>
    <w:p w14:paraId="7DF3CBC3" w14:textId="77777777" w:rsidR="00234E16" w:rsidRPr="00234E16" w:rsidRDefault="00234E16" w:rsidP="00234E16">
      <w:pPr>
        <w:spacing w:line="259" w:lineRule="auto"/>
        <w:rPr>
          <w:lang w:val="es-ES_tradnl"/>
        </w:rPr>
      </w:pPr>
      <w:r w:rsidRPr="00234E16">
        <w:rPr>
          <w:rFonts w:ascii="Arial" w:hAnsi="Arial" w:cs="Arial"/>
          <w:lang w:val="es-ES_tradnl"/>
        </w:rPr>
        <w:t xml:space="preserve">Además, sírvase informar a la OMS de cualquier modificación de estos materiales que usted utilice públicamente, para fines de registro y desarrollo continuo, enviando un mensaje de correo electrónico a </w:t>
      </w:r>
      <w:hyperlink r:id="rId25" w:history="1">
        <w:r w:rsidRPr="00234E16">
          <w:rPr>
            <w:rFonts w:ascii="Arial" w:hAnsi="Arial" w:cs="Arial"/>
            <w:u w:val="single"/>
            <w:lang w:val="es-ES_tradnl"/>
          </w:rPr>
          <w:t>ihrhrt@who.int</w:t>
        </w:r>
      </w:hyperlink>
      <w:r w:rsidRPr="00234E16">
        <w:rPr>
          <w:rFonts w:ascii="Arial" w:hAnsi="Arial" w:cs="Arial"/>
          <w:lang w:val="es-ES_tradnl"/>
        </w:rPr>
        <w:t>.</w:t>
      </w:r>
    </w:p>
    <w:p w14:paraId="5C63B23F" w14:textId="3F994C79" w:rsidR="00684F49" w:rsidRPr="00234E16" w:rsidRDefault="00684F49" w:rsidP="00234E16">
      <w:pPr>
        <w:rPr>
          <w:rFonts w:ascii="Arial" w:hAnsi="Arial" w:cs="Arial"/>
          <w:color w:val="9A127D"/>
          <w:sz w:val="20"/>
          <w:szCs w:val="20"/>
          <w:lang w:val="es-ES_tradnl"/>
        </w:rPr>
      </w:pPr>
    </w:p>
    <w:sectPr w:rsidR="00684F49" w:rsidRPr="00234E16">
      <w:headerReference w:type="even" r:id="rId26"/>
      <w:headerReference w:type="default" r:id="rId27"/>
      <w:footerReference w:type="even" r:id="rId28"/>
      <w:footerReference w:type="default" r:id="rId29"/>
      <w:headerReference w:type="first" r:id="rId30"/>
      <w:footerReference w:type="first" r:id="rId31"/>
      <w:pgSz w:w="12240" w:h="15840"/>
      <w:pgMar w:top="661" w:right="1440" w:bottom="1440" w:left="1440"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BFC6D" w14:textId="77777777" w:rsidR="00F16F18" w:rsidRDefault="00F16F18">
      <w:pPr>
        <w:spacing w:after="0" w:line="240" w:lineRule="auto"/>
      </w:pPr>
      <w:r>
        <w:separator/>
      </w:r>
    </w:p>
  </w:endnote>
  <w:endnote w:type="continuationSeparator" w:id="0">
    <w:p w14:paraId="00D8E274" w14:textId="77777777" w:rsidR="00F16F18" w:rsidRDefault="00F16F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80222" w14:textId="77777777" w:rsidR="00904FA8" w:rsidRDefault="00904F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7357247"/>
      <w:docPartObj>
        <w:docPartGallery w:val="Page Numbers (Bottom of Page)"/>
        <w:docPartUnique/>
      </w:docPartObj>
    </w:sdtPr>
    <w:sdtContent>
      <w:sdt>
        <w:sdtPr>
          <w:id w:val="-1769616900"/>
          <w:docPartObj>
            <w:docPartGallery w:val="Page Numbers (Top of Page)"/>
            <w:docPartUnique/>
          </w:docPartObj>
        </w:sdtPr>
        <w:sdtContent>
          <w:p w14:paraId="2444A5A7" w14:textId="1E53B4B5" w:rsidR="00684F49" w:rsidRPr="00DB0FA4" w:rsidRDefault="00234E16">
            <w:pPr>
              <w:pStyle w:val="Footer"/>
              <w:ind w:right="360"/>
              <w:rPr>
                <w:lang w:val="es-ES"/>
              </w:rPr>
            </w:pPr>
            <w:r w:rsidRPr="00DB0FA4">
              <w:rPr>
                <w:b/>
                <w:bCs/>
                <w:lang w:val="es-ES"/>
              </w:rPr>
              <w:t xml:space="preserve">Taller de capacitación sobre pruebas diagnósticas rápidas de antígenos del SARS-CoV-2 </w:t>
            </w:r>
            <w:r w:rsidR="00DB0FA4">
              <w:rPr>
                <w:b/>
                <w:bCs/>
                <w:lang w:val="es-ES"/>
              </w:rPr>
              <w:t>(</w:t>
            </w:r>
            <w:r w:rsidRPr="00DB0FA4">
              <w:rPr>
                <w:b/>
                <w:bCs/>
                <w:lang w:val="es-ES"/>
              </w:rPr>
              <w:t>v</w:t>
            </w:r>
            <w:r w:rsidR="00904FA8">
              <w:rPr>
                <w:b/>
                <w:bCs/>
                <w:lang w:val="es-ES"/>
              </w:rPr>
              <w:t>3</w:t>
            </w:r>
            <w:r w:rsidRPr="00DB0FA4">
              <w:rPr>
                <w:b/>
                <w:bCs/>
                <w:lang w:val="es-ES"/>
              </w:rPr>
              <w:t>.0</w:t>
            </w:r>
            <w:r w:rsidR="00DB0FA4">
              <w:rPr>
                <w:b/>
                <w:bCs/>
                <w:lang w:val="es-ES"/>
              </w:rPr>
              <w:t>)</w:t>
            </w:r>
            <w:r w:rsidRPr="00DB0FA4">
              <w:rPr>
                <w:lang w:val="es-ES"/>
              </w:rPr>
              <w:tab/>
              <w:t xml:space="preserve">Página </w:t>
            </w:r>
            <w:r>
              <w:fldChar w:fldCharType="begin"/>
            </w:r>
            <w:r w:rsidRPr="00DB0FA4">
              <w:rPr>
                <w:lang w:val="es-ES"/>
              </w:rPr>
              <w:instrText xml:space="preserve"> PAGE </w:instrText>
            </w:r>
            <w:r>
              <w:fldChar w:fldCharType="separate"/>
            </w:r>
            <w:r w:rsidRPr="00DB0FA4">
              <w:rPr>
                <w:noProof/>
                <w:lang w:val="es-ES"/>
              </w:rPr>
              <w:t>5</w:t>
            </w:r>
            <w:r>
              <w:rPr>
                <w:noProof/>
              </w:rPr>
              <w:fldChar w:fldCharType="end"/>
            </w:r>
            <w:r w:rsidRPr="00DB0FA4">
              <w:rPr>
                <w:lang w:val="es-ES"/>
              </w:rPr>
              <w:t xml:space="preserve"> de </w:t>
            </w:r>
            <w:r>
              <w:fldChar w:fldCharType="begin"/>
            </w:r>
            <w:r w:rsidRPr="00DB0FA4">
              <w:rPr>
                <w:lang w:val="es-ES"/>
              </w:rPr>
              <w:instrText xml:space="preserve"> NUMPAGES  </w:instrText>
            </w:r>
            <w:r>
              <w:fldChar w:fldCharType="separate"/>
            </w:r>
            <w:r w:rsidRPr="00DB0FA4">
              <w:rPr>
                <w:noProof/>
                <w:lang w:val="es-ES"/>
              </w:rPr>
              <w:t>6</w:t>
            </w:r>
            <w:r>
              <w:rPr>
                <w:noProof/>
              </w:rPr>
              <w:fldChar w:fldCharType="end"/>
            </w:r>
          </w:p>
        </w:sdtContent>
      </w:sdt>
    </w:sdtContent>
  </w:sdt>
  <w:p w14:paraId="7893CF7B" w14:textId="77777777" w:rsidR="00684F49" w:rsidRPr="00DB0FA4" w:rsidRDefault="00684F49">
    <w:pPr>
      <w:pStyle w:val="Footer"/>
      <w:rPr>
        <w:lang w:val="es-E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6154B" w14:textId="77777777" w:rsidR="00904FA8" w:rsidRDefault="00904F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98BAD" w14:textId="77777777" w:rsidR="00F16F18" w:rsidRDefault="00F16F18">
      <w:pPr>
        <w:spacing w:after="0" w:line="240" w:lineRule="auto"/>
      </w:pPr>
      <w:r>
        <w:separator/>
      </w:r>
    </w:p>
  </w:footnote>
  <w:footnote w:type="continuationSeparator" w:id="0">
    <w:p w14:paraId="041128A3" w14:textId="77777777" w:rsidR="00F16F18" w:rsidRDefault="00F16F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04D6B" w14:textId="77777777" w:rsidR="00904FA8" w:rsidRDefault="00904F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3F697" w14:textId="77777777" w:rsidR="00684F49" w:rsidRDefault="00234E16">
    <w:pPr>
      <w:pStyle w:val="Header"/>
      <w:spacing w:after="240"/>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719A2" w14:textId="77777777" w:rsidR="00904FA8" w:rsidRDefault="00904F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76DEB"/>
    <w:multiLevelType w:val="hybridMultilevel"/>
    <w:tmpl w:val="7EBC6A5C"/>
    <w:lvl w:ilvl="0" w:tplc="7598EB88">
      <w:start w:val="16"/>
      <w:numFmt w:val="bullet"/>
      <w:lvlText w:val="-"/>
      <w:lvlJc w:val="left"/>
      <w:pPr>
        <w:ind w:left="1080" w:hanging="360"/>
      </w:pPr>
      <w:rPr>
        <w:rFonts w:ascii="Arial" w:eastAsiaTheme="minorEastAsia"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4740906"/>
    <w:multiLevelType w:val="hybridMultilevel"/>
    <w:tmpl w:val="DBF27E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B87479"/>
    <w:multiLevelType w:val="hybridMultilevel"/>
    <w:tmpl w:val="2B7A3C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E3E7826"/>
    <w:multiLevelType w:val="hybridMultilevel"/>
    <w:tmpl w:val="414A340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22EA28E6"/>
    <w:multiLevelType w:val="hybridMultilevel"/>
    <w:tmpl w:val="7A44E884"/>
    <w:lvl w:ilvl="0" w:tplc="BA18B0E8">
      <w:start w:val="16"/>
      <w:numFmt w:val="bullet"/>
      <w:lvlText w:val="-"/>
      <w:lvlJc w:val="left"/>
      <w:pPr>
        <w:ind w:left="1440" w:hanging="360"/>
      </w:pPr>
      <w:rPr>
        <w:rFonts w:ascii="Calibri" w:eastAsiaTheme="minorHAns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6E309A2"/>
    <w:multiLevelType w:val="hybridMultilevel"/>
    <w:tmpl w:val="3AB224F4"/>
    <w:lvl w:ilvl="0" w:tplc="BA18B0E8">
      <w:start w:val="1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642C35"/>
    <w:multiLevelType w:val="hybridMultilevel"/>
    <w:tmpl w:val="47F627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A41F64"/>
    <w:multiLevelType w:val="hybridMultilevel"/>
    <w:tmpl w:val="EE061A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F91F1E"/>
    <w:multiLevelType w:val="hybridMultilevel"/>
    <w:tmpl w:val="F1A052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EF6A7F"/>
    <w:multiLevelType w:val="hybridMultilevel"/>
    <w:tmpl w:val="480C5D5E"/>
    <w:lvl w:ilvl="0" w:tplc="38E8803E">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D3459DB"/>
    <w:multiLevelType w:val="hybridMultilevel"/>
    <w:tmpl w:val="F6361A4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6A4732C"/>
    <w:multiLevelType w:val="hybridMultilevel"/>
    <w:tmpl w:val="C3A4F58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118677F"/>
    <w:multiLevelType w:val="hybridMultilevel"/>
    <w:tmpl w:val="615459B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209415890">
    <w:abstractNumId w:val="11"/>
  </w:num>
  <w:num w:numId="2" w16cid:durableId="70931544">
    <w:abstractNumId w:val="8"/>
  </w:num>
  <w:num w:numId="3" w16cid:durableId="825126686">
    <w:abstractNumId w:val="12"/>
  </w:num>
  <w:num w:numId="4" w16cid:durableId="1445533663">
    <w:abstractNumId w:val="1"/>
  </w:num>
  <w:num w:numId="5" w16cid:durableId="741566609">
    <w:abstractNumId w:val="7"/>
  </w:num>
  <w:num w:numId="6" w16cid:durableId="202711356">
    <w:abstractNumId w:val="6"/>
  </w:num>
  <w:num w:numId="7" w16cid:durableId="1399862151">
    <w:abstractNumId w:val="0"/>
  </w:num>
  <w:num w:numId="8" w16cid:durableId="224878637">
    <w:abstractNumId w:val="5"/>
  </w:num>
  <w:num w:numId="9" w16cid:durableId="780026533">
    <w:abstractNumId w:val="2"/>
  </w:num>
  <w:num w:numId="10" w16cid:durableId="1088502248">
    <w:abstractNumId w:val="3"/>
  </w:num>
  <w:num w:numId="11" w16cid:durableId="128473223">
    <w:abstractNumId w:val="9"/>
  </w:num>
  <w:num w:numId="12" w16cid:durableId="393355531">
    <w:abstractNumId w:val="4"/>
  </w:num>
  <w:num w:numId="13" w16cid:durableId="14595640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1"/>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684F49"/>
    <w:rsid w:val="0007350D"/>
    <w:rsid w:val="00230C49"/>
    <w:rsid w:val="00234E16"/>
    <w:rsid w:val="00684F49"/>
    <w:rsid w:val="007469F3"/>
    <w:rsid w:val="007C7E1C"/>
    <w:rsid w:val="00904FA8"/>
    <w:rsid w:val="00D5520B"/>
    <w:rsid w:val="00DB0FA4"/>
    <w:rsid w:val="00F16F1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6DD5AC2"/>
  <w15:docId w15:val="{8BD71539-0F8B-41A8-B913-E8E8CB247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customStyle="1" w:styleId="Heading1Char">
    <w:name w:val="Heading 1 Char"/>
    <w:basedOn w:val="DefaultParagraphFont"/>
    <w:link w:val="Heading1"/>
    <w:uiPriority w:val="9"/>
    <w:rPr>
      <w:rFonts w:asciiTheme="majorHAnsi" w:eastAsiaTheme="majorEastAsia" w:hAnsiTheme="majorHAnsi" w:cstheme="majorBidi"/>
      <w:color w:val="262626" w:themeColor="text1" w:themeTint="D9"/>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pPr>
      <w:spacing w:line="240" w:lineRule="auto"/>
    </w:pPr>
    <w:rPr>
      <w:b/>
      <w:bCs/>
      <w:color w:val="404040" w:themeColor="text1" w:themeTint="BF"/>
      <w:sz w:val="16"/>
      <w:szCs w:val="16"/>
    </w:r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Pr>
      <w:caps/>
      <w:color w:val="404040" w:themeColor="text1" w:themeTint="BF"/>
      <w:spacing w:val="20"/>
      <w:sz w:val="28"/>
      <w:szCs w:val="28"/>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color w:val="000000" w:themeColor="text1"/>
    </w:rPr>
  </w:style>
  <w:style w:type="paragraph" w:styleId="NoSpacing">
    <w:name w:val="No Spacing"/>
    <w:uiPriority w:val="1"/>
    <w:qFormat/>
    <w:pPr>
      <w:spacing w:after="0" w:line="240" w:lineRule="auto"/>
    </w:pPr>
  </w:style>
  <w:style w:type="paragraph" w:styleId="Quote">
    <w:name w:val="Quote"/>
    <w:basedOn w:val="Normal"/>
    <w:next w:val="Normal"/>
    <w:link w:val="QuoteChar"/>
    <w:uiPriority w:val="29"/>
    <w:qFormat/>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Pr>
      <w:rFonts w:asciiTheme="majorHAnsi" w:eastAsiaTheme="majorEastAsia" w:hAnsiTheme="majorHAnsi" w:cstheme="majorBidi"/>
      <w:sz w:val="24"/>
      <w:szCs w:val="24"/>
    </w:rPr>
  </w:style>
  <w:style w:type="character" w:styleId="SubtleEmphasis">
    <w:name w:val="Subtle Emphasis"/>
    <w:basedOn w:val="DefaultParagraphFont"/>
    <w:uiPriority w:val="19"/>
    <w:qFormat/>
    <w:rPr>
      <w:i/>
      <w:iCs/>
      <w:color w:val="595959" w:themeColor="text1" w:themeTint="A6"/>
    </w:rPr>
  </w:style>
  <w:style w:type="character" w:styleId="IntenseEmphasis">
    <w:name w:val="Intense Emphasis"/>
    <w:basedOn w:val="DefaultParagraphFont"/>
    <w:uiPriority w:val="21"/>
    <w:qFormat/>
    <w:rPr>
      <w:b/>
      <w:bCs/>
      <w:i/>
      <w:iCs/>
      <w:caps w:val="0"/>
      <w:smallCaps w:val="0"/>
      <w:strike w:val="0"/>
      <w:dstrike w:val="0"/>
      <w:color w:val="ED7D31" w:themeColor="accent2"/>
    </w:rPr>
  </w:style>
  <w:style w:type="character" w:styleId="SubtleReference">
    <w:name w:val="Subtle Reference"/>
    <w:basedOn w:val="DefaultParagraphFont"/>
    <w:uiPriority w:val="31"/>
    <w:qFormat/>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Pr>
      <w:b/>
      <w:bCs/>
      <w:caps w:val="0"/>
      <w:smallCaps/>
      <w:color w:val="auto"/>
      <w:spacing w:val="0"/>
      <w:u w:val="single"/>
    </w:rPr>
  </w:style>
  <w:style w:type="character" w:styleId="BookTitle">
    <w:name w:val="Book Title"/>
    <w:basedOn w:val="DefaultParagraphFont"/>
    <w:uiPriority w:val="33"/>
    <w:qFormat/>
    <w:rPr>
      <w:b/>
      <w:bCs/>
      <w:caps w:val="0"/>
      <w:smallCaps/>
      <w:spacing w:val="0"/>
    </w:rPr>
  </w:style>
  <w:style w:type="paragraph" w:styleId="TOCHeading">
    <w:name w:val="TOC Heading"/>
    <w:basedOn w:val="Heading1"/>
    <w:next w:val="Normal"/>
    <w:uiPriority w:val="39"/>
    <w:semiHidden/>
    <w:unhideWhenUsed/>
    <w:qFormat/>
    <w:pPr>
      <w:outlineLvl w:val="9"/>
    </w:p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6Colorful-Accent51">
    <w:name w:val="List Table 6 Colorful - Accent 51"/>
    <w:basedOn w:val="TableNormal"/>
    <w:uiPriority w:val="51"/>
    <w:pPr>
      <w:spacing w:after="0" w:line="240" w:lineRule="auto"/>
    </w:pPr>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semiHidden/>
    <w:unhideWhenUsed/>
    <w:rPr>
      <w:color w:val="954F72" w:themeColor="followedHyperlink"/>
      <w:u w:val="single"/>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normaltextrun">
    <w:name w:val="normaltextrun"/>
    <w:basedOn w:val="DefaultParagraphFont"/>
    <w:rsid w:val="007C7E1C"/>
  </w:style>
  <w:style w:type="character" w:customStyle="1" w:styleId="eop">
    <w:name w:val="eop"/>
    <w:basedOn w:val="DefaultParagraphFont"/>
    <w:rsid w:val="007C7E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0964">
      <w:bodyDiv w:val="1"/>
      <w:marLeft w:val="0"/>
      <w:marRight w:val="0"/>
      <w:marTop w:val="0"/>
      <w:marBottom w:val="0"/>
      <w:divBdr>
        <w:top w:val="none" w:sz="0" w:space="0" w:color="auto"/>
        <w:left w:val="none" w:sz="0" w:space="0" w:color="auto"/>
        <w:bottom w:val="none" w:sz="0" w:space="0" w:color="auto"/>
        <w:right w:val="none" w:sz="0" w:space="0" w:color="auto"/>
      </w:divBdr>
    </w:div>
    <w:div w:id="28377537">
      <w:bodyDiv w:val="1"/>
      <w:marLeft w:val="0"/>
      <w:marRight w:val="0"/>
      <w:marTop w:val="0"/>
      <w:marBottom w:val="0"/>
      <w:divBdr>
        <w:top w:val="none" w:sz="0" w:space="0" w:color="auto"/>
        <w:left w:val="none" w:sz="0" w:space="0" w:color="auto"/>
        <w:bottom w:val="none" w:sz="0" w:space="0" w:color="auto"/>
        <w:right w:val="none" w:sz="0" w:space="0" w:color="auto"/>
      </w:divBdr>
    </w:div>
    <w:div w:id="39940420">
      <w:bodyDiv w:val="1"/>
      <w:marLeft w:val="0"/>
      <w:marRight w:val="0"/>
      <w:marTop w:val="0"/>
      <w:marBottom w:val="0"/>
      <w:divBdr>
        <w:top w:val="none" w:sz="0" w:space="0" w:color="auto"/>
        <w:left w:val="none" w:sz="0" w:space="0" w:color="auto"/>
        <w:bottom w:val="none" w:sz="0" w:space="0" w:color="auto"/>
        <w:right w:val="none" w:sz="0" w:space="0" w:color="auto"/>
      </w:divBdr>
    </w:div>
    <w:div w:id="43453082">
      <w:bodyDiv w:val="1"/>
      <w:marLeft w:val="0"/>
      <w:marRight w:val="0"/>
      <w:marTop w:val="0"/>
      <w:marBottom w:val="0"/>
      <w:divBdr>
        <w:top w:val="none" w:sz="0" w:space="0" w:color="auto"/>
        <w:left w:val="none" w:sz="0" w:space="0" w:color="auto"/>
        <w:bottom w:val="none" w:sz="0" w:space="0" w:color="auto"/>
        <w:right w:val="none" w:sz="0" w:space="0" w:color="auto"/>
      </w:divBdr>
    </w:div>
    <w:div w:id="62801063">
      <w:bodyDiv w:val="1"/>
      <w:marLeft w:val="0"/>
      <w:marRight w:val="0"/>
      <w:marTop w:val="0"/>
      <w:marBottom w:val="0"/>
      <w:divBdr>
        <w:top w:val="none" w:sz="0" w:space="0" w:color="auto"/>
        <w:left w:val="none" w:sz="0" w:space="0" w:color="auto"/>
        <w:bottom w:val="none" w:sz="0" w:space="0" w:color="auto"/>
        <w:right w:val="none" w:sz="0" w:space="0" w:color="auto"/>
      </w:divBdr>
    </w:div>
    <w:div w:id="111024046">
      <w:bodyDiv w:val="1"/>
      <w:marLeft w:val="0"/>
      <w:marRight w:val="0"/>
      <w:marTop w:val="0"/>
      <w:marBottom w:val="0"/>
      <w:divBdr>
        <w:top w:val="none" w:sz="0" w:space="0" w:color="auto"/>
        <w:left w:val="none" w:sz="0" w:space="0" w:color="auto"/>
        <w:bottom w:val="none" w:sz="0" w:space="0" w:color="auto"/>
        <w:right w:val="none" w:sz="0" w:space="0" w:color="auto"/>
      </w:divBdr>
    </w:div>
    <w:div w:id="119500131">
      <w:bodyDiv w:val="1"/>
      <w:marLeft w:val="0"/>
      <w:marRight w:val="0"/>
      <w:marTop w:val="0"/>
      <w:marBottom w:val="0"/>
      <w:divBdr>
        <w:top w:val="none" w:sz="0" w:space="0" w:color="auto"/>
        <w:left w:val="none" w:sz="0" w:space="0" w:color="auto"/>
        <w:bottom w:val="none" w:sz="0" w:space="0" w:color="auto"/>
        <w:right w:val="none" w:sz="0" w:space="0" w:color="auto"/>
      </w:divBdr>
    </w:div>
    <w:div w:id="173692574">
      <w:bodyDiv w:val="1"/>
      <w:marLeft w:val="0"/>
      <w:marRight w:val="0"/>
      <w:marTop w:val="0"/>
      <w:marBottom w:val="0"/>
      <w:divBdr>
        <w:top w:val="none" w:sz="0" w:space="0" w:color="auto"/>
        <w:left w:val="none" w:sz="0" w:space="0" w:color="auto"/>
        <w:bottom w:val="none" w:sz="0" w:space="0" w:color="auto"/>
        <w:right w:val="none" w:sz="0" w:space="0" w:color="auto"/>
      </w:divBdr>
    </w:div>
    <w:div w:id="208342215">
      <w:bodyDiv w:val="1"/>
      <w:marLeft w:val="0"/>
      <w:marRight w:val="0"/>
      <w:marTop w:val="0"/>
      <w:marBottom w:val="0"/>
      <w:divBdr>
        <w:top w:val="none" w:sz="0" w:space="0" w:color="auto"/>
        <w:left w:val="none" w:sz="0" w:space="0" w:color="auto"/>
        <w:bottom w:val="none" w:sz="0" w:space="0" w:color="auto"/>
        <w:right w:val="none" w:sz="0" w:space="0" w:color="auto"/>
      </w:divBdr>
    </w:div>
    <w:div w:id="209192163">
      <w:bodyDiv w:val="1"/>
      <w:marLeft w:val="0"/>
      <w:marRight w:val="0"/>
      <w:marTop w:val="0"/>
      <w:marBottom w:val="0"/>
      <w:divBdr>
        <w:top w:val="none" w:sz="0" w:space="0" w:color="auto"/>
        <w:left w:val="none" w:sz="0" w:space="0" w:color="auto"/>
        <w:bottom w:val="none" w:sz="0" w:space="0" w:color="auto"/>
        <w:right w:val="none" w:sz="0" w:space="0" w:color="auto"/>
      </w:divBdr>
    </w:div>
    <w:div w:id="253973097">
      <w:bodyDiv w:val="1"/>
      <w:marLeft w:val="0"/>
      <w:marRight w:val="0"/>
      <w:marTop w:val="0"/>
      <w:marBottom w:val="0"/>
      <w:divBdr>
        <w:top w:val="none" w:sz="0" w:space="0" w:color="auto"/>
        <w:left w:val="none" w:sz="0" w:space="0" w:color="auto"/>
        <w:bottom w:val="none" w:sz="0" w:space="0" w:color="auto"/>
        <w:right w:val="none" w:sz="0" w:space="0" w:color="auto"/>
      </w:divBdr>
    </w:div>
    <w:div w:id="262347344">
      <w:bodyDiv w:val="1"/>
      <w:marLeft w:val="0"/>
      <w:marRight w:val="0"/>
      <w:marTop w:val="0"/>
      <w:marBottom w:val="0"/>
      <w:divBdr>
        <w:top w:val="none" w:sz="0" w:space="0" w:color="auto"/>
        <w:left w:val="none" w:sz="0" w:space="0" w:color="auto"/>
        <w:bottom w:val="none" w:sz="0" w:space="0" w:color="auto"/>
        <w:right w:val="none" w:sz="0" w:space="0" w:color="auto"/>
      </w:divBdr>
    </w:div>
    <w:div w:id="294070233">
      <w:bodyDiv w:val="1"/>
      <w:marLeft w:val="0"/>
      <w:marRight w:val="0"/>
      <w:marTop w:val="0"/>
      <w:marBottom w:val="0"/>
      <w:divBdr>
        <w:top w:val="none" w:sz="0" w:space="0" w:color="auto"/>
        <w:left w:val="none" w:sz="0" w:space="0" w:color="auto"/>
        <w:bottom w:val="none" w:sz="0" w:space="0" w:color="auto"/>
        <w:right w:val="none" w:sz="0" w:space="0" w:color="auto"/>
      </w:divBdr>
    </w:div>
    <w:div w:id="306865370">
      <w:bodyDiv w:val="1"/>
      <w:marLeft w:val="0"/>
      <w:marRight w:val="0"/>
      <w:marTop w:val="0"/>
      <w:marBottom w:val="0"/>
      <w:divBdr>
        <w:top w:val="none" w:sz="0" w:space="0" w:color="auto"/>
        <w:left w:val="none" w:sz="0" w:space="0" w:color="auto"/>
        <w:bottom w:val="none" w:sz="0" w:space="0" w:color="auto"/>
        <w:right w:val="none" w:sz="0" w:space="0" w:color="auto"/>
      </w:divBdr>
    </w:div>
    <w:div w:id="356127475">
      <w:bodyDiv w:val="1"/>
      <w:marLeft w:val="0"/>
      <w:marRight w:val="0"/>
      <w:marTop w:val="0"/>
      <w:marBottom w:val="0"/>
      <w:divBdr>
        <w:top w:val="none" w:sz="0" w:space="0" w:color="auto"/>
        <w:left w:val="none" w:sz="0" w:space="0" w:color="auto"/>
        <w:bottom w:val="none" w:sz="0" w:space="0" w:color="auto"/>
        <w:right w:val="none" w:sz="0" w:space="0" w:color="auto"/>
      </w:divBdr>
    </w:div>
    <w:div w:id="385883002">
      <w:bodyDiv w:val="1"/>
      <w:marLeft w:val="0"/>
      <w:marRight w:val="0"/>
      <w:marTop w:val="0"/>
      <w:marBottom w:val="0"/>
      <w:divBdr>
        <w:top w:val="none" w:sz="0" w:space="0" w:color="auto"/>
        <w:left w:val="none" w:sz="0" w:space="0" w:color="auto"/>
        <w:bottom w:val="none" w:sz="0" w:space="0" w:color="auto"/>
        <w:right w:val="none" w:sz="0" w:space="0" w:color="auto"/>
      </w:divBdr>
    </w:div>
    <w:div w:id="392047795">
      <w:bodyDiv w:val="1"/>
      <w:marLeft w:val="0"/>
      <w:marRight w:val="0"/>
      <w:marTop w:val="0"/>
      <w:marBottom w:val="0"/>
      <w:divBdr>
        <w:top w:val="none" w:sz="0" w:space="0" w:color="auto"/>
        <w:left w:val="none" w:sz="0" w:space="0" w:color="auto"/>
        <w:bottom w:val="none" w:sz="0" w:space="0" w:color="auto"/>
        <w:right w:val="none" w:sz="0" w:space="0" w:color="auto"/>
      </w:divBdr>
    </w:div>
    <w:div w:id="464733923">
      <w:bodyDiv w:val="1"/>
      <w:marLeft w:val="0"/>
      <w:marRight w:val="0"/>
      <w:marTop w:val="0"/>
      <w:marBottom w:val="0"/>
      <w:divBdr>
        <w:top w:val="none" w:sz="0" w:space="0" w:color="auto"/>
        <w:left w:val="none" w:sz="0" w:space="0" w:color="auto"/>
        <w:bottom w:val="none" w:sz="0" w:space="0" w:color="auto"/>
        <w:right w:val="none" w:sz="0" w:space="0" w:color="auto"/>
      </w:divBdr>
    </w:div>
    <w:div w:id="493374850">
      <w:bodyDiv w:val="1"/>
      <w:marLeft w:val="0"/>
      <w:marRight w:val="0"/>
      <w:marTop w:val="0"/>
      <w:marBottom w:val="0"/>
      <w:divBdr>
        <w:top w:val="none" w:sz="0" w:space="0" w:color="auto"/>
        <w:left w:val="none" w:sz="0" w:space="0" w:color="auto"/>
        <w:bottom w:val="none" w:sz="0" w:space="0" w:color="auto"/>
        <w:right w:val="none" w:sz="0" w:space="0" w:color="auto"/>
      </w:divBdr>
    </w:div>
    <w:div w:id="506142273">
      <w:bodyDiv w:val="1"/>
      <w:marLeft w:val="0"/>
      <w:marRight w:val="0"/>
      <w:marTop w:val="0"/>
      <w:marBottom w:val="0"/>
      <w:divBdr>
        <w:top w:val="none" w:sz="0" w:space="0" w:color="auto"/>
        <w:left w:val="none" w:sz="0" w:space="0" w:color="auto"/>
        <w:bottom w:val="none" w:sz="0" w:space="0" w:color="auto"/>
        <w:right w:val="none" w:sz="0" w:space="0" w:color="auto"/>
      </w:divBdr>
    </w:div>
    <w:div w:id="510529286">
      <w:bodyDiv w:val="1"/>
      <w:marLeft w:val="0"/>
      <w:marRight w:val="0"/>
      <w:marTop w:val="0"/>
      <w:marBottom w:val="0"/>
      <w:divBdr>
        <w:top w:val="none" w:sz="0" w:space="0" w:color="auto"/>
        <w:left w:val="none" w:sz="0" w:space="0" w:color="auto"/>
        <w:bottom w:val="none" w:sz="0" w:space="0" w:color="auto"/>
        <w:right w:val="none" w:sz="0" w:space="0" w:color="auto"/>
      </w:divBdr>
    </w:div>
    <w:div w:id="527260589">
      <w:bodyDiv w:val="1"/>
      <w:marLeft w:val="0"/>
      <w:marRight w:val="0"/>
      <w:marTop w:val="0"/>
      <w:marBottom w:val="0"/>
      <w:divBdr>
        <w:top w:val="none" w:sz="0" w:space="0" w:color="auto"/>
        <w:left w:val="none" w:sz="0" w:space="0" w:color="auto"/>
        <w:bottom w:val="none" w:sz="0" w:space="0" w:color="auto"/>
        <w:right w:val="none" w:sz="0" w:space="0" w:color="auto"/>
      </w:divBdr>
    </w:div>
    <w:div w:id="539898816">
      <w:bodyDiv w:val="1"/>
      <w:marLeft w:val="0"/>
      <w:marRight w:val="0"/>
      <w:marTop w:val="0"/>
      <w:marBottom w:val="0"/>
      <w:divBdr>
        <w:top w:val="none" w:sz="0" w:space="0" w:color="auto"/>
        <w:left w:val="none" w:sz="0" w:space="0" w:color="auto"/>
        <w:bottom w:val="none" w:sz="0" w:space="0" w:color="auto"/>
        <w:right w:val="none" w:sz="0" w:space="0" w:color="auto"/>
      </w:divBdr>
    </w:div>
    <w:div w:id="545220431">
      <w:bodyDiv w:val="1"/>
      <w:marLeft w:val="0"/>
      <w:marRight w:val="0"/>
      <w:marTop w:val="0"/>
      <w:marBottom w:val="0"/>
      <w:divBdr>
        <w:top w:val="none" w:sz="0" w:space="0" w:color="auto"/>
        <w:left w:val="none" w:sz="0" w:space="0" w:color="auto"/>
        <w:bottom w:val="none" w:sz="0" w:space="0" w:color="auto"/>
        <w:right w:val="none" w:sz="0" w:space="0" w:color="auto"/>
      </w:divBdr>
    </w:div>
    <w:div w:id="559557328">
      <w:bodyDiv w:val="1"/>
      <w:marLeft w:val="0"/>
      <w:marRight w:val="0"/>
      <w:marTop w:val="0"/>
      <w:marBottom w:val="0"/>
      <w:divBdr>
        <w:top w:val="none" w:sz="0" w:space="0" w:color="auto"/>
        <w:left w:val="none" w:sz="0" w:space="0" w:color="auto"/>
        <w:bottom w:val="none" w:sz="0" w:space="0" w:color="auto"/>
        <w:right w:val="none" w:sz="0" w:space="0" w:color="auto"/>
      </w:divBdr>
    </w:div>
    <w:div w:id="570046255">
      <w:bodyDiv w:val="1"/>
      <w:marLeft w:val="0"/>
      <w:marRight w:val="0"/>
      <w:marTop w:val="0"/>
      <w:marBottom w:val="0"/>
      <w:divBdr>
        <w:top w:val="none" w:sz="0" w:space="0" w:color="auto"/>
        <w:left w:val="none" w:sz="0" w:space="0" w:color="auto"/>
        <w:bottom w:val="none" w:sz="0" w:space="0" w:color="auto"/>
        <w:right w:val="none" w:sz="0" w:space="0" w:color="auto"/>
      </w:divBdr>
    </w:div>
    <w:div w:id="573394685">
      <w:bodyDiv w:val="1"/>
      <w:marLeft w:val="0"/>
      <w:marRight w:val="0"/>
      <w:marTop w:val="0"/>
      <w:marBottom w:val="0"/>
      <w:divBdr>
        <w:top w:val="none" w:sz="0" w:space="0" w:color="auto"/>
        <w:left w:val="none" w:sz="0" w:space="0" w:color="auto"/>
        <w:bottom w:val="none" w:sz="0" w:space="0" w:color="auto"/>
        <w:right w:val="none" w:sz="0" w:space="0" w:color="auto"/>
      </w:divBdr>
    </w:div>
    <w:div w:id="590436605">
      <w:bodyDiv w:val="1"/>
      <w:marLeft w:val="0"/>
      <w:marRight w:val="0"/>
      <w:marTop w:val="0"/>
      <w:marBottom w:val="0"/>
      <w:divBdr>
        <w:top w:val="none" w:sz="0" w:space="0" w:color="auto"/>
        <w:left w:val="none" w:sz="0" w:space="0" w:color="auto"/>
        <w:bottom w:val="none" w:sz="0" w:space="0" w:color="auto"/>
        <w:right w:val="none" w:sz="0" w:space="0" w:color="auto"/>
      </w:divBdr>
    </w:div>
    <w:div w:id="625308268">
      <w:bodyDiv w:val="1"/>
      <w:marLeft w:val="0"/>
      <w:marRight w:val="0"/>
      <w:marTop w:val="0"/>
      <w:marBottom w:val="0"/>
      <w:divBdr>
        <w:top w:val="none" w:sz="0" w:space="0" w:color="auto"/>
        <w:left w:val="none" w:sz="0" w:space="0" w:color="auto"/>
        <w:bottom w:val="none" w:sz="0" w:space="0" w:color="auto"/>
        <w:right w:val="none" w:sz="0" w:space="0" w:color="auto"/>
      </w:divBdr>
    </w:div>
    <w:div w:id="626471418">
      <w:bodyDiv w:val="1"/>
      <w:marLeft w:val="0"/>
      <w:marRight w:val="0"/>
      <w:marTop w:val="0"/>
      <w:marBottom w:val="0"/>
      <w:divBdr>
        <w:top w:val="none" w:sz="0" w:space="0" w:color="auto"/>
        <w:left w:val="none" w:sz="0" w:space="0" w:color="auto"/>
        <w:bottom w:val="none" w:sz="0" w:space="0" w:color="auto"/>
        <w:right w:val="none" w:sz="0" w:space="0" w:color="auto"/>
      </w:divBdr>
    </w:div>
    <w:div w:id="639575264">
      <w:bodyDiv w:val="1"/>
      <w:marLeft w:val="0"/>
      <w:marRight w:val="0"/>
      <w:marTop w:val="0"/>
      <w:marBottom w:val="0"/>
      <w:divBdr>
        <w:top w:val="none" w:sz="0" w:space="0" w:color="auto"/>
        <w:left w:val="none" w:sz="0" w:space="0" w:color="auto"/>
        <w:bottom w:val="none" w:sz="0" w:space="0" w:color="auto"/>
        <w:right w:val="none" w:sz="0" w:space="0" w:color="auto"/>
      </w:divBdr>
    </w:div>
    <w:div w:id="677773929">
      <w:bodyDiv w:val="1"/>
      <w:marLeft w:val="0"/>
      <w:marRight w:val="0"/>
      <w:marTop w:val="0"/>
      <w:marBottom w:val="0"/>
      <w:divBdr>
        <w:top w:val="none" w:sz="0" w:space="0" w:color="auto"/>
        <w:left w:val="none" w:sz="0" w:space="0" w:color="auto"/>
        <w:bottom w:val="none" w:sz="0" w:space="0" w:color="auto"/>
        <w:right w:val="none" w:sz="0" w:space="0" w:color="auto"/>
      </w:divBdr>
    </w:div>
    <w:div w:id="679307990">
      <w:bodyDiv w:val="1"/>
      <w:marLeft w:val="0"/>
      <w:marRight w:val="0"/>
      <w:marTop w:val="0"/>
      <w:marBottom w:val="0"/>
      <w:divBdr>
        <w:top w:val="none" w:sz="0" w:space="0" w:color="auto"/>
        <w:left w:val="none" w:sz="0" w:space="0" w:color="auto"/>
        <w:bottom w:val="none" w:sz="0" w:space="0" w:color="auto"/>
        <w:right w:val="none" w:sz="0" w:space="0" w:color="auto"/>
      </w:divBdr>
    </w:div>
    <w:div w:id="731582637">
      <w:bodyDiv w:val="1"/>
      <w:marLeft w:val="0"/>
      <w:marRight w:val="0"/>
      <w:marTop w:val="0"/>
      <w:marBottom w:val="0"/>
      <w:divBdr>
        <w:top w:val="none" w:sz="0" w:space="0" w:color="auto"/>
        <w:left w:val="none" w:sz="0" w:space="0" w:color="auto"/>
        <w:bottom w:val="none" w:sz="0" w:space="0" w:color="auto"/>
        <w:right w:val="none" w:sz="0" w:space="0" w:color="auto"/>
      </w:divBdr>
    </w:div>
    <w:div w:id="762602457">
      <w:bodyDiv w:val="1"/>
      <w:marLeft w:val="0"/>
      <w:marRight w:val="0"/>
      <w:marTop w:val="0"/>
      <w:marBottom w:val="0"/>
      <w:divBdr>
        <w:top w:val="none" w:sz="0" w:space="0" w:color="auto"/>
        <w:left w:val="none" w:sz="0" w:space="0" w:color="auto"/>
        <w:bottom w:val="none" w:sz="0" w:space="0" w:color="auto"/>
        <w:right w:val="none" w:sz="0" w:space="0" w:color="auto"/>
      </w:divBdr>
    </w:div>
    <w:div w:id="792480455">
      <w:bodyDiv w:val="1"/>
      <w:marLeft w:val="0"/>
      <w:marRight w:val="0"/>
      <w:marTop w:val="0"/>
      <w:marBottom w:val="0"/>
      <w:divBdr>
        <w:top w:val="none" w:sz="0" w:space="0" w:color="auto"/>
        <w:left w:val="none" w:sz="0" w:space="0" w:color="auto"/>
        <w:bottom w:val="none" w:sz="0" w:space="0" w:color="auto"/>
        <w:right w:val="none" w:sz="0" w:space="0" w:color="auto"/>
      </w:divBdr>
    </w:div>
    <w:div w:id="825049522">
      <w:bodyDiv w:val="1"/>
      <w:marLeft w:val="0"/>
      <w:marRight w:val="0"/>
      <w:marTop w:val="0"/>
      <w:marBottom w:val="0"/>
      <w:divBdr>
        <w:top w:val="none" w:sz="0" w:space="0" w:color="auto"/>
        <w:left w:val="none" w:sz="0" w:space="0" w:color="auto"/>
        <w:bottom w:val="none" w:sz="0" w:space="0" w:color="auto"/>
        <w:right w:val="none" w:sz="0" w:space="0" w:color="auto"/>
      </w:divBdr>
    </w:div>
    <w:div w:id="869142869">
      <w:bodyDiv w:val="1"/>
      <w:marLeft w:val="0"/>
      <w:marRight w:val="0"/>
      <w:marTop w:val="0"/>
      <w:marBottom w:val="0"/>
      <w:divBdr>
        <w:top w:val="none" w:sz="0" w:space="0" w:color="auto"/>
        <w:left w:val="none" w:sz="0" w:space="0" w:color="auto"/>
        <w:bottom w:val="none" w:sz="0" w:space="0" w:color="auto"/>
        <w:right w:val="none" w:sz="0" w:space="0" w:color="auto"/>
      </w:divBdr>
    </w:div>
    <w:div w:id="892620120">
      <w:bodyDiv w:val="1"/>
      <w:marLeft w:val="0"/>
      <w:marRight w:val="0"/>
      <w:marTop w:val="0"/>
      <w:marBottom w:val="0"/>
      <w:divBdr>
        <w:top w:val="none" w:sz="0" w:space="0" w:color="auto"/>
        <w:left w:val="none" w:sz="0" w:space="0" w:color="auto"/>
        <w:bottom w:val="none" w:sz="0" w:space="0" w:color="auto"/>
        <w:right w:val="none" w:sz="0" w:space="0" w:color="auto"/>
      </w:divBdr>
    </w:div>
    <w:div w:id="900024609">
      <w:bodyDiv w:val="1"/>
      <w:marLeft w:val="0"/>
      <w:marRight w:val="0"/>
      <w:marTop w:val="0"/>
      <w:marBottom w:val="0"/>
      <w:divBdr>
        <w:top w:val="none" w:sz="0" w:space="0" w:color="auto"/>
        <w:left w:val="none" w:sz="0" w:space="0" w:color="auto"/>
        <w:bottom w:val="none" w:sz="0" w:space="0" w:color="auto"/>
        <w:right w:val="none" w:sz="0" w:space="0" w:color="auto"/>
      </w:divBdr>
    </w:div>
    <w:div w:id="974068294">
      <w:bodyDiv w:val="1"/>
      <w:marLeft w:val="0"/>
      <w:marRight w:val="0"/>
      <w:marTop w:val="0"/>
      <w:marBottom w:val="0"/>
      <w:divBdr>
        <w:top w:val="none" w:sz="0" w:space="0" w:color="auto"/>
        <w:left w:val="none" w:sz="0" w:space="0" w:color="auto"/>
        <w:bottom w:val="none" w:sz="0" w:space="0" w:color="auto"/>
        <w:right w:val="none" w:sz="0" w:space="0" w:color="auto"/>
      </w:divBdr>
    </w:div>
    <w:div w:id="987443807">
      <w:bodyDiv w:val="1"/>
      <w:marLeft w:val="0"/>
      <w:marRight w:val="0"/>
      <w:marTop w:val="0"/>
      <w:marBottom w:val="0"/>
      <w:divBdr>
        <w:top w:val="none" w:sz="0" w:space="0" w:color="auto"/>
        <w:left w:val="none" w:sz="0" w:space="0" w:color="auto"/>
        <w:bottom w:val="none" w:sz="0" w:space="0" w:color="auto"/>
        <w:right w:val="none" w:sz="0" w:space="0" w:color="auto"/>
      </w:divBdr>
    </w:div>
    <w:div w:id="988048602">
      <w:bodyDiv w:val="1"/>
      <w:marLeft w:val="0"/>
      <w:marRight w:val="0"/>
      <w:marTop w:val="0"/>
      <w:marBottom w:val="0"/>
      <w:divBdr>
        <w:top w:val="none" w:sz="0" w:space="0" w:color="auto"/>
        <w:left w:val="none" w:sz="0" w:space="0" w:color="auto"/>
        <w:bottom w:val="none" w:sz="0" w:space="0" w:color="auto"/>
        <w:right w:val="none" w:sz="0" w:space="0" w:color="auto"/>
      </w:divBdr>
    </w:div>
    <w:div w:id="1000963031">
      <w:bodyDiv w:val="1"/>
      <w:marLeft w:val="0"/>
      <w:marRight w:val="0"/>
      <w:marTop w:val="0"/>
      <w:marBottom w:val="0"/>
      <w:divBdr>
        <w:top w:val="none" w:sz="0" w:space="0" w:color="auto"/>
        <w:left w:val="none" w:sz="0" w:space="0" w:color="auto"/>
        <w:bottom w:val="none" w:sz="0" w:space="0" w:color="auto"/>
        <w:right w:val="none" w:sz="0" w:space="0" w:color="auto"/>
      </w:divBdr>
    </w:div>
    <w:div w:id="1016034656">
      <w:bodyDiv w:val="1"/>
      <w:marLeft w:val="0"/>
      <w:marRight w:val="0"/>
      <w:marTop w:val="0"/>
      <w:marBottom w:val="0"/>
      <w:divBdr>
        <w:top w:val="none" w:sz="0" w:space="0" w:color="auto"/>
        <w:left w:val="none" w:sz="0" w:space="0" w:color="auto"/>
        <w:bottom w:val="none" w:sz="0" w:space="0" w:color="auto"/>
        <w:right w:val="none" w:sz="0" w:space="0" w:color="auto"/>
      </w:divBdr>
    </w:div>
    <w:div w:id="1021052494">
      <w:bodyDiv w:val="1"/>
      <w:marLeft w:val="0"/>
      <w:marRight w:val="0"/>
      <w:marTop w:val="0"/>
      <w:marBottom w:val="0"/>
      <w:divBdr>
        <w:top w:val="none" w:sz="0" w:space="0" w:color="auto"/>
        <w:left w:val="none" w:sz="0" w:space="0" w:color="auto"/>
        <w:bottom w:val="none" w:sz="0" w:space="0" w:color="auto"/>
        <w:right w:val="none" w:sz="0" w:space="0" w:color="auto"/>
      </w:divBdr>
    </w:div>
    <w:div w:id="1031229868">
      <w:bodyDiv w:val="1"/>
      <w:marLeft w:val="0"/>
      <w:marRight w:val="0"/>
      <w:marTop w:val="0"/>
      <w:marBottom w:val="0"/>
      <w:divBdr>
        <w:top w:val="none" w:sz="0" w:space="0" w:color="auto"/>
        <w:left w:val="none" w:sz="0" w:space="0" w:color="auto"/>
        <w:bottom w:val="none" w:sz="0" w:space="0" w:color="auto"/>
        <w:right w:val="none" w:sz="0" w:space="0" w:color="auto"/>
      </w:divBdr>
    </w:div>
    <w:div w:id="1059480545">
      <w:bodyDiv w:val="1"/>
      <w:marLeft w:val="0"/>
      <w:marRight w:val="0"/>
      <w:marTop w:val="0"/>
      <w:marBottom w:val="0"/>
      <w:divBdr>
        <w:top w:val="none" w:sz="0" w:space="0" w:color="auto"/>
        <w:left w:val="none" w:sz="0" w:space="0" w:color="auto"/>
        <w:bottom w:val="none" w:sz="0" w:space="0" w:color="auto"/>
        <w:right w:val="none" w:sz="0" w:space="0" w:color="auto"/>
      </w:divBdr>
    </w:div>
    <w:div w:id="1074816880">
      <w:bodyDiv w:val="1"/>
      <w:marLeft w:val="0"/>
      <w:marRight w:val="0"/>
      <w:marTop w:val="0"/>
      <w:marBottom w:val="0"/>
      <w:divBdr>
        <w:top w:val="none" w:sz="0" w:space="0" w:color="auto"/>
        <w:left w:val="none" w:sz="0" w:space="0" w:color="auto"/>
        <w:bottom w:val="none" w:sz="0" w:space="0" w:color="auto"/>
        <w:right w:val="none" w:sz="0" w:space="0" w:color="auto"/>
      </w:divBdr>
    </w:div>
    <w:div w:id="1144587861">
      <w:bodyDiv w:val="1"/>
      <w:marLeft w:val="0"/>
      <w:marRight w:val="0"/>
      <w:marTop w:val="0"/>
      <w:marBottom w:val="0"/>
      <w:divBdr>
        <w:top w:val="none" w:sz="0" w:space="0" w:color="auto"/>
        <w:left w:val="none" w:sz="0" w:space="0" w:color="auto"/>
        <w:bottom w:val="none" w:sz="0" w:space="0" w:color="auto"/>
        <w:right w:val="none" w:sz="0" w:space="0" w:color="auto"/>
      </w:divBdr>
    </w:div>
    <w:div w:id="1156989836">
      <w:bodyDiv w:val="1"/>
      <w:marLeft w:val="0"/>
      <w:marRight w:val="0"/>
      <w:marTop w:val="0"/>
      <w:marBottom w:val="0"/>
      <w:divBdr>
        <w:top w:val="none" w:sz="0" w:space="0" w:color="auto"/>
        <w:left w:val="none" w:sz="0" w:space="0" w:color="auto"/>
        <w:bottom w:val="none" w:sz="0" w:space="0" w:color="auto"/>
        <w:right w:val="none" w:sz="0" w:space="0" w:color="auto"/>
      </w:divBdr>
    </w:div>
    <w:div w:id="1183668255">
      <w:bodyDiv w:val="1"/>
      <w:marLeft w:val="0"/>
      <w:marRight w:val="0"/>
      <w:marTop w:val="0"/>
      <w:marBottom w:val="0"/>
      <w:divBdr>
        <w:top w:val="none" w:sz="0" w:space="0" w:color="auto"/>
        <w:left w:val="none" w:sz="0" w:space="0" w:color="auto"/>
        <w:bottom w:val="none" w:sz="0" w:space="0" w:color="auto"/>
        <w:right w:val="none" w:sz="0" w:space="0" w:color="auto"/>
      </w:divBdr>
    </w:div>
    <w:div w:id="1219241870">
      <w:bodyDiv w:val="1"/>
      <w:marLeft w:val="0"/>
      <w:marRight w:val="0"/>
      <w:marTop w:val="0"/>
      <w:marBottom w:val="0"/>
      <w:divBdr>
        <w:top w:val="none" w:sz="0" w:space="0" w:color="auto"/>
        <w:left w:val="none" w:sz="0" w:space="0" w:color="auto"/>
        <w:bottom w:val="none" w:sz="0" w:space="0" w:color="auto"/>
        <w:right w:val="none" w:sz="0" w:space="0" w:color="auto"/>
      </w:divBdr>
    </w:div>
    <w:div w:id="1227493966">
      <w:bodyDiv w:val="1"/>
      <w:marLeft w:val="0"/>
      <w:marRight w:val="0"/>
      <w:marTop w:val="0"/>
      <w:marBottom w:val="0"/>
      <w:divBdr>
        <w:top w:val="none" w:sz="0" w:space="0" w:color="auto"/>
        <w:left w:val="none" w:sz="0" w:space="0" w:color="auto"/>
        <w:bottom w:val="none" w:sz="0" w:space="0" w:color="auto"/>
        <w:right w:val="none" w:sz="0" w:space="0" w:color="auto"/>
      </w:divBdr>
    </w:div>
    <w:div w:id="1237790396">
      <w:bodyDiv w:val="1"/>
      <w:marLeft w:val="0"/>
      <w:marRight w:val="0"/>
      <w:marTop w:val="0"/>
      <w:marBottom w:val="0"/>
      <w:divBdr>
        <w:top w:val="none" w:sz="0" w:space="0" w:color="auto"/>
        <w:left w:val="none" w:sz="0" w:space="0" w:color="auto"/>
        <w:bottom w:val="none" w:sz="0" w:space="0" w:color="auto"/>
        <w:right w:val="none" w:sz="0" w:space="0" w:color="auto"/>
      </w:divBdr>
    </w:div>
    <w:div w:id="1261334567">
      <w:bodyDiv w:val="1"/>
      <w:marLeft w:val="0"/>
      <w:marRight w:val="0"/>
      <w:marTop w:val="0"/>
      <w:marBottom w:val="0"/>
      <w:divBdr>
        <w:top w:val="none" w:sz="0" w:space="0" w:color="auto"/>
        <w:left w:val="none" w:sz="0" w:space="0" w:color="auto"/>
        <w:bottom w:val="none" w:sz="0" w:space="0" w:color="auto"/>
        <w:right w:val="none" w:sz="0" w:space="0" w:color="auto"/>
      </w:divBdr>
    </w:div>
    <w:div w:id="1280181156">
      <w:bodyDiv w:val="1"/>
      <w:marLeft w:val="0"/>
      <w:marRight w:val="0"/>
      <w:marTop w:val="0"/>
      <w:marBottom w:val="0"/>
      <w:divBdr>
        <w:top w:val="none" w:sz="0" w:space="0" w:color="auto"/>
        <w:left w:val="none" w:sz="0" w:space="0" w:color="auto"/>
        <w:bottom w:val="none" w:sz="0" w:space="0" w:color="auto"/>
        <w:right w:val="none" w:sz="0" w:space="0" w:color="auto"/>
      </w:divBdr>
    </w:div>
    <w:div w:id="1344237127">
      <w:bodyDiv w:val="1"/>
      <w:marLeft w:val="0"/>
      <w:marRight w:val="0"/>
      <w:marTop w:val="0"/>
      <w:marBottom w:val="0"/>
      <w:divBdr>
        <w:top w:val="none" w:sz="0" w:space="0" w:color="auto"/>
        <w:left w:val="none" w:sz="0" w:space="0" w:color="auto"/>
        <w:bottom w:val="none" w:sz="0" w:space="0" w:color="auto"/>
        <w:right w:val="none" w:sz="0" w:space="0" w:color="auto"/>
      </w:divBdr>
    </w:div>
    <w:div w:id="1445492969">
      <w:bodyDiv w:val="1"/>
      <w:marLeft w:val="0"/>
      <w:marRight w:val="0"/>
      <w:marTop w:val="0"/>
      <w:marBottom w:val="0"/>
      <w:divBdr>
        <w:top w:val="none" w:sz="0" w:space="0" w:color="auto"/>
        <w:left w:val="none" w:sz="0" w:space="0" w:color="auto"/>
        <w:bottom w:val="none" w:sz="0" w:space="0" w:color="auto"/>
        <w:right w:val="none" w:sz="0" w:space="0" w:color="auto"/>
      </w:divBdr>
    </w:div>
    <w:div w:id="1471248445">
      <w:bodyDiv w:val="1"/>
      <w:marLeft w:val="0"/>
      <w:marRight w:val="0"/>
      <w:marTop w:val="0"/>
      <w:marBottom w:val="0"/>
      <w:divBdr>
        <w:top w:val="none" w:sz="0" w:space="0" w:color="auto"/>
        <w:left w:val="none" w:sz="0" w:space="0" w:color="auto"/>
        <w:bottom w:val="none" w:sz="0" w:space="0" w:color="auto"/>
        <w:right w:val="none" w:sz="0" w:space="0" w:color="auto"/>
      </w:divBdr>
    </w:div>
    <w:div w:id="1512260119">
      <w:bodyDiv w:val="1"/>
      <w:marLeft w:val="0"/>
      <w:marRight w:val="0"/>
      <w:marTop w:val="0"/>
      <w:marBottom w:val="0"/>
      <w:divBdr>
        <w:top w:val="none" w:sz="0" w:space="0" w:color="auto"/>
        <w:left w:val="none" w:sz="0" w:space="0" w:color="auto"/>
        <w:bottom w:val="none" w:sz="0" w:space="0" w:color="auto"/>
        <w:right w:val="none" w:sz="0" w:space="0" w:color="auto"/>
      </w:divBdr>
    </w:div>
    <w:div w:id="1546870161">
      <w:bodyDiv w:val="1"/>
      <w:marLeft w:val="0"/>
      <w:marRight w:val="0"/>
      <w:marTop w:val="0"/>
      <w:marBottom w:val="0"/>
      <w:divBdr>
        <w:top w:val="none" w:sz="0" w:space="0" w:color="auto"/>
        <w:left w:val="none" w:sz="0" w:space="0" w:color="auto"/>
        <w:bottom w:val="none" w:sz="0" w:space="0" w:color="auto"/>
        <w:right w:val="none" w:sz="0" w:space="0" w:color="auto"/>
      </w:divBdr>
    </w:div>
    <w:div w:id="1554655176">
      <w:bodyDiv w:val="1"/>
      <w:marLeft w:val="0"/>
      <w:marRight w:val="0"/>
      <w:marTop w:val="0"/>
      <w:marBottom w:val="0"/>
      <w:divBdr>
        <w:top w:val="none" w:sz="0" w:space="0" w:color="auto"/>
        <w:left w:val="none" w:sz="0" w:space="0" w:color="auto"/>
        <w:bottom w:val="none" w:sz="0" w:space="0" w:color="auto"/>
        <w:right w:val="none" w:sz="0" w:space="0" w:color="auto"/>
      </w:divBdr>
    </w:div>
    <w:div w:id="1600872641">
      <w:bodyDiv w:val="1"/>
      <w:marLeft w:val="0"/>
      <w:marRight w:val="0"/>
      <w:marTop w:val="0"/>
      <w:marBottom w:val="0"/>
      <w:divBdr>
        <w:top w:val="none" w:sz="0" w:space="0" w:color="auto"/>
        <w:left w:val="none" w:sz="0" w:space="0" w:color="auto"/>
        <w:bottom w:val="none" w:sz="0" w:space="0" w:color="auto"/>
        <w:right w:val="none" w:sz="0" w:space="0" w:color="auto"/>
      </w:divBdr>
    </w:div>
    <w:div w:id="1607997817">
      <w:bodyDiv w:val="1"/>
      <w:marLeft w:val="0"/>
      <w:marRight w:val="0"/>
      <w:marTop w:val="0"/>
      <w:marBottom w:val="0"/>
      <w:divBdr>
        <w:top w:val="none" w:sz="0" w:space="0" w:color="auto"/>
        <w:left w:val="none" w:sz="0" w:space="0" w:color="auto"/>
        <w:bottom w:val="none" w:sz="0" w:space="0" w:color="auto"/>
        <w:right w:val="none" w:sz="0" w:space="0" w:color="auto"/>
      </w:divBdr>
    </w:div>
    <w:div w:id="1647590813">
      <w:bodyDiv w:val="1"/>
      <w:marLeft w:val="0"/>
      <w:marRight w:val="0"/>
      <w:marTop w:val="0"/>
      <w:marBottom w:val="0"/>
      <w:divBdr>
        <w:top w:val="none" w:sz="0" w:space="0" w:color="auto"/>
        <w:left w:val="none" w:sz="0" w:space="0" w:color="auto"/>
        <w:bottom w:val="none" w:sz="0" w:space="0" w:color="auto"/>
        <w:right w:val="none" w:sz="0" w:space="0" w:color="auto"/>
      </w:divBdr>
    </w:div>
    <w:div w:id="1686050715">
      <w:bodyDiv w:val="1"/>
      <w:marLeft w:val="0"/>
      <w:marRight w:val="0"/>
      <w:marTop w:val="0"/>
      <w:marBottom w:val="0"/>
      <w:divBdr>
        <w:top w:val="none" w:sz="0" w:space="0" w:color="auto"/>
        <w:left w:val="none" w:sz="0" w:space="0" w:color="auto"/>
        <w:bottom w:val="none" w:sz="0" w:space="0" w:color="auto"/>
        <w:right w:val="none" w:sz="0" w:space="0" w:color="auto"/>
      </w:divBdr>
    </w:div>
    <w:div w:id="1687828727">
      <w:bodyDiv w:val="1"/>
      <w:marLeft w:val="0"/>
      <w:marRight w:val="0"/>
      <w:marTop w:val="0"/>
      <w:marBottom w:val="0"/>
      <w:divBdr>
        <w:top w:val="none" w:sz="0" w:space="0" w:color="auto"/>
        <w:left w:val="none" w:sz="0" w:space="0" w:color="auto"/>
        <w:bottom w:val="none" w:sz="0" w:space="0" w:color="auto"/>
        <w:right w:val="none" w:sz="0" w:space="0" w:color="auto"/>
      </w:divBdr>
    </w:div>
    <w:div w:id="1708331026">
      <w:bodyDiv w:val="1"/>
      <w:marLeft w:val="0"/>
      <w:marRight w:val="0"/>
      <w:marTop w:val="0"/>
      <w:marBottom w:val="0"/>
      <w:divBdr>
        <w:top w:val="none" w:sz="0" w:space="0" w:color="auto"/>
        <w:left w:val="none" w:sz="0" w:space="0" w:color="auto"/>
        <w:bottom w:val="none" w:sz="0" w:space="0" w:color="auto"/>
        <w:right w:val="none" w:sz="0" w:space="0" w:color="auto"/>
      </w:divBdr>
    </w:div>
    <w:div w:id="1732458322">
      <w:bodyDiv w:val="1"/>
      <w:marLeft w:val="0"/>
      <w:marRight w:val="0"/>
      <w:marTop w:val="0"/>
      <w:marBottom w:val="0"/>
      <w:divBdr>
        <w:top w:val="none" w:sz="0" w:space="0" w:color="auto"/>
        <w:left w:val="none" w:sz="0" w:space="0" w:color="auto"/>
        <w:bottom w:val="none" w:sz="0" w:space="0" w:color="auto"/>
        <w:right w:val="none" w:sz="0" w:space="0" w:color="auto"/>
      </w:divBdr>
    </w:div>
    <w:div w:id="1800565223">
      <w:bodyDiv w:val="1"/>
      <w:marLeft w:val="0"/>
      <w:marRight w:val="0"/>
      <w:marTop w:val="0"/>
      <w:marBottom w:val="0"/>
      <w:divBdr>
        <w:top w:val="none" w:sz="0" w:space="0" w:color="auto"/>
        <w:left w:val="none" w:sz="0" w:space="0" w:color="auto"/>
        <w:bottom w:val="none" w:sz="0" w:space="0" w:color="auto"/>
        <w:right w:val="none" w:sz="0" w:space="0" w:color="auto"/>
      </w:divBdr>
    </w:div>
    <w:div w:id="1832528919">
      <w:bodyDiv w:val="1"/>
      <w:marLeft w:val="0"/>
      <w:marRight w:val="0"/>
      <w:marTop w:val="0"/>
      <w:marBottom w:val="0"/>
      <w:divBdr>
        <w:top w:val="none" w:sz="0" w:space="0" w:color="auto"/>
        <w:left w:val="none" w:sz="0" w:space="0" w:color="auto"/>
        <w:bottom w:val="none" w:sz="0" w:space="0" w:color="auto"/>
        <w:right w:val="none" w:sz="0" w:space="0" w:color="auto"/>
      </w:divBdr>
    </w:div>
    <w:div w:id="1835605560">
      <w:bodyDiv w:val="1"/>
      <w:marLeft w:val="0"/>
      <w:marRight w:val="0"/>
      <w:marTop w:val="0"/>
      <w:marBottom w:val="0"/>
      <w:divBdr>
        <w:top w:val="none" w:sz="0" w:space="0" w:color="auto"/>
        <w:left w:val="none" w:sz="0" w:space="0" w:color="auto"/>
        <w:bottom w:val="none" w:sz="0" w:space="0" w:color="auto"/>
        <w:right w:val="none" w:sz="0" w:space="0" w:color="auto"/>
      </w:divBdr>
    </w:div>
    <w:div w:id="1848209996">
      <w:bodyDiv w:val="1"/>
      <w:marLeft w:val="0"/>
      <w:marRight w:val="0"/>
      <w:marTop w:val="0"/>
      <w:marBottom w:val="0"/>
      <w:divBdr>
        <w:top w:val="none" w:sz="0" w:space="0" w:color="auto"/>
        <w:left w:val="none" w:sz="0" w:space="0" w:color="auto"/>
        <w:bottom w:val="none" w:sz="0" w:space="0" w:color="auto"/>
        <w:right w:val="none" w:sz="0" w:space="0" w:color="auto"/>
      </w:divBdr>
    </w:div>
    <w:div w:id="1892111952">
      <w:bodyDiv w:val="1"/>
      <w:marLeft w:val="0"/>
      <w:marRight w:val="0"/>
      <w:marTop w:val="0"/>
      <w:marBottom w:val="0"/>
      <w:divBdr>
        <w:top w:val="none" w:sz="0" w:space="0" w:color="auto"/>
        <w:left w:val="none" w:sz="0" w:space="0" w:color="auto"/>
        <w:bottom w:val="none" w:sz="0" w:space="0" w:color="auto"/>
        <w:right w:val="none" w:sz="0" w:space="0" w:color="auto"/>
      </w:divBdr>
    </w:div>
    <w:div w:id="1905025663">
      <w:bodyDiv w:val="1"/>
      <w:marLeft w:val="0"/>
      <w:marRight w:val="0"/>
      <w:marTop w:val="0"/>
      <w:marBottom w:val="0"/>
      <w:divBdr>
        <w:top w:val="none" w:sz="0" w:space="0" w:color="auto"/>
        <w:left w:val="none" w:sz="0" w:space="0" w:color="auto"/>
        <w:bottom w:val="none" w:sz="0" w:space="0" w:color="auto"/>
        <w:right w:val="none" w:sz="0" w:space="0" w:color="auto"/>
      </w:divBdr>
    </w:div>
    <w:div w:id="1940287282">
      <w:bodyDiv w:val="1"/>
      <w:marLeft w:val="0"/>
      <w:marRight w:val="0"/>
      <w:marTop w:val="0"/>
      <w:marBottom w:val="0"/>
      <w:divBdr>
        <w:top w:val="none" w:sz="0" w:space="0" w:color="auto"/>
        <w:left w:val="none" w:sz="0" w:space="0" w:color="auto"/>
        <w:bottom w:val="none" w:sz="0" w:space="0" w:color="auto"/>
        <w:right w:val="none" w:sz="0" w:space="0" w:color="auto"/>
      </w:divBdr>
    </w:div>
    <w:div w:id="2052341646">
      <w:bodyDiv w:val="1"/>
      <w:marLeft w:val="0"/>
      <w:marRight w:val="0"/>
      <w:marTop w:val="0"/>
      <w:marBottom w:val="0"/>
      <w:divBdr>
        <w:top w:val="none" w:sz="0" w:space="0" w:color="auto"/>
        <w:left w:val="none" w:sz="0" w:space="0" w:color="auto"/>
        <w:bottom w:val="none" w:sz="0" w:space="0" w:color="auto"/>
        <w:right w:val="none" w:sz="0" w:space="0" w:color="auto"/>
      </w:divBdr>
    </w:div>
    <w:div w:id="2084058489">
      <w:bodyDiv w:val="1"/>
      <w:marLeft w:val="0"/>
      <w:marRight w:val="0"/>
      <w:marTop w:val="0"/>
      <w:marBottom w:val="0"/>
      <w:divBdr>
        <w:top w:val="none" w:sz="0" w:space="0" w:color="auto"/>
        <w:left w:val="none" w:sz="0" w:space="0" w:color="auto"/>
        <w:bottom w:val="none" w:sz="0" w:space="0" w:color="auto"/>
        <w:right w:val="none" w:sz="0" w:space="0" w:color="auto"/>
      </w:divBdr>
    </w:div>
    <w:div w:id="2120447108">
      <w:bodyDiv w:val="1"/>
      <w:marLeft w:val="0"/>
      <w:marRight w:val="0"/>
      <w:marTop w:val="0"/>
      <w:marBottom w:val="0"/>
      <w:divBdr>
        <w:top w:val="none" w:sz="0" w:space="0" w:color="auto"/>
        <w:left w:val="none" w:sz="0" w:space="0" w:color="auto"/>
        <w:bottom w:val="none" w:sz="0" w:space="0" w:color="auto"/>
        <w:right w:val="none" w:sz="0" w:space="0" w:color="auto"/>
      </w:divBdr>
    </w:div>
    <w:div w:id="2130510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who.int/publications/i/item/antigen-detection-in-the-diagnosis-of-sars-cov-2infection-using-rapid-immunoassays" TargetMode="External"/><Relationship Id="rId18" Type="http://schemas.openxmlformats.org/officeDocument/2006/relationships/hyperlink" Target="https://www.who.int/diagnostics_laboratory/EUL/en/"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cdc.gov/coronavirus/2019-ncov/communication/guidance-list.html?Sort=Date%3A%3Adesc" TargetMode="External"/><Relationship Id="rId7" Type="http://schemas.openxmlformats.org/officeDocument/2006/relationships/settings" Target="settings.xml"/><Relationship Id="rId12" Type="http://schemas.openxmlformats.org/officeDocument/2006/relationships/hyperlink" Target="https://www.finddx.org/covid-19/sarscov2-eval-antigen/" TargetMode="External"/><Relationship Id="rId17" Type="http://schemas.openxmlformats.org/officeDocument/2006/relationships/hyperlink" Target="https://www.who.int/publications/i/item/diagnostic-testing-for-sars-cov-2" TargetMode="External"/><Relationship Id="rId25" Type="http://schemas.openxmlformats.org/officeDocument/2006/relationships/hyperlink" Target="mailto:ihrhrt@who.int"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who.int/es/emergencies/diseases/novel-coronavirus-2019/technical-guidance" TargetMode="External"/><Relationship Id="rId20" Type="http://schemas.openxmlformats.org/officeDocument/2006/relationships/hyperlink" Target="https://www.who.int/medical_devices/priority/COVID_19_PPE/en/"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ochranelibrary.com/cdsr/doi/10.1002/14651858.CD013705/full" TargetMode="External"/><Relationship Id="rId24" Type="http://schemas.openxmlformats.org/officeDocument/2006/relationships/hyperlink" Target="https://extranet.who.int/hslp"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who.int/publications/i/item/antigen-detection-in-the-diagnosis-of-sars-cov-2infection-using-rapid-immunoassays" TargetMode="External"/><Relationship Id="rId23" Type="http://schemas.openxmlformats.org/officeDocument/2006/relationships/hyperlink" Target="https://extranet.who.int/hslp/?q=content/terms-use"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who.int/diagnostics_laboratory/postmarket/en/"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ho.int/medical_devices/priority/COVID_19_PPE/en/" TargetMode="External"/><Relationship Id="rId22" Type="http://schemas.openxmlformats.org/officeDocument/2006/relationships/hyperlink" Target="https://africacdc.org/download/covid-19-guidance-on-use-of-personal-protective-equipment-for-different-clinical-settings-and-activities/"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E3D374AC358D84BA6364FA28EECC454" ma:contentTypeVersion="13" ma:contentTypeDescription="Create a new document." ma:contentTypeScope="" ma:versionID="183add760b869b0c0ab930e4b95a9578">
  <xsd:schema xmlns:xsd="http://www.w3.org/2001/XMLSchema" xmlns:xs="http://www.w3.org/2001/XMLSchema" xmlns:p="http://schemas.microsoft.com/office/2006/metadata/properties" xmlns:ns3="c943fba8-a31a-47ee-b572-3ea37c614314" xmlns:ns4="ab68876f-4888-4f76-8953-366c36b33330" targetNamespace="http://schemas.microsoft.com/office/2006/metadata/properties" ma:root="true" ma:fieldsID="c61532b64061abf018f215a5de93731d" ns3:_="" ns4:_="">
    <xsd:import namespace="c943fba8-a31a-47ee-b572-3ea37c614314"/>
    <xsd:import namespace="ab68876f-4888-4f76-8953-366c36b3333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43fba8-a31a-47ee-b572-3ea37c6143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68876f-4888-4f76-8953-366c36b3333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93F03D-67E2-452D-9D22-A5F0C43AF483}">
  <ds:schemaRefs>
    <ds:schemaRef ds:uri="http://schemas.microsoft.com/sharepoint/v3/contenttype/forms"/>
  </ds:schemaRefs>
</ds:datastoreItem>
</file>

<file path=customXml/itemProps2.xml><?xml version="1.0" encoding="utf-8"?>
<ds:datastoreItem xmlns:ds="http://schemas.openxmlformats.org/officeDocument/2006/customXml" ds:itemID="{83C6DFB4-DA9A-4F1D-8F4C-4B29AD0ED0B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29DCB47-3B48-443A-B880-BDD1BCCCFF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43fba8-a31a-47ee-b572-3ea37c614314"/>
    <ds:schemaRef ds:uri="ab68876f-4888-4f76-8953-366c36b333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772351-3E7F-47CD-8F0B-D69EC2D01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8</Pages>
  <Words>3262</Words>
  <Characters>18597</Characters>
  <Application>Microsoft Office Word</Application>
  <DocSecurity>0</DocSecurity>
  <Lines>154</Lines>
  <Paragraphs>43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HP</Company>
  <LinksUpToDate>false</LinksUpToDate>
  <CharactersWithSpaces>21816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HANESH</dc:creator>
  <cp:lastModifiedBy>natacha milhano</cp:lastModifiedBy>
  <cp:revision>8</cp:revision>
  <dcterms:created xsi:type="dcterms:W3CDTF">2021-01-12T00:33:00Z</dcterms:created>
  <dcterms:modified xsi:type="dcterms:W3CDTF">2022-09-21T12:44:00Z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0x0101009E3D374AC358D84BA6364FA28EECC454</vt:lpwstr>
  </property>
</Properties>
</file>