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AF2" w:rsidRPr="00742F22" w:rsidRDefault="007954F9" w:rsidP="00742F22">
      <w:pPr>
        <w:spacing w:after="0" w:line="240" w:lineRule="auto"/>
        <w:jc w:val="center"/>
        <w:rPr>
          <w:b/>
          <w:sz w:val="24"/>
          <w:szCs w:val="24"/>
          <w:lang w:val="en-US"/>
        </w:rPr>
      </w:pPr>
      <w:r w:rsidRPr="00742F22">
        <w:rPr>
          <w:b/>
          <w:sz w:val="24"/>
          <w:szCs w:val="24"/>
          <w:lang w:val="en-US"/>
        </w:rPr>
        <w:t>B6</w:t>
      </w:r>
      <w:r w:rsidR="001404B5">
        <w:rPr>
          <w:b/>
          <w:sz w:val="24"/>
          <w:szCs w:val="24"/>
          <w:lang w:val="en-US"/>
        </w:rPr>
        <w:t>.5</w:t>
      </w:r>
      <w:r w:rsidR="007D34A5" w:rsidRPr="00742F22">
        <w:rPr>
          <w:b/>
          <w:sz w:val="24"/>
          <w:szCs w:val="24"/>
          <w:lang w:val="en-US"/>
        </w:rPr>
        <w:t xml:space="preserve"> </w:t>
      </w:r>
      <w:r w:rsidR="00742F22" w:rsidRPr="00742F22">
        <w:rPr>
          <w:b/>
          <w:sz w:val="24"/>
          <w:szCs w:val="24"/>
          <w:lang w:val="en-US"/>
        </w:rPr>
        <w:t xml:space="preserve">What PPT should I wear? </w:t>
      </w:r>
      <w:r w:rsidR="000C4A94" w:rsidRPr="00742F22">
        <w:rPr>
          <w:b/>
          <w:sz w:val="24"/>
          <w:szCs w:val="24"/>
          <w:lang w:val="en-US"/>
        </w:rPr>
        <w:t>Participant</w:t>
      </w:r>
      <w:r w:rsidR="007D34A5" w:rsidRPr="00742F22">
        <w:rPr>
          <w:b/>
          <w:sz w:val="24"/>
          <w:szCs w:val="24"/>
          <w:lang w:val="en-US"/>
        </w:rPr>
        <w:t xml:space="preserve"> version</w:t>
      </w:r>
    </w:p>
    <w:tbl>
      <w:tblPr>
        <w:tblStyle w:val="TableGrid"/>
        <w:tblpPr w:leftFromText="180" w:rightFromText="180" w:vertAnchor="page" w:horzAnchor="margin" w:tblpY="2731"/>
        <w:tblW w:w="0" w:type="auto"/>
        <w:tblLook w:val="04A0" w:firstRow="1" w:lastRow="0" w:firstColumn="1" w:lastColumn="0" w:noHBand="0" w:noVBand="1"/>
      </w:tblPr>
      <w:tblGrid>
        <w:gridCol w:w="1584"/>
        <w:gridCol w:w="1270"/>
        <w:gridCol w:w="1298"/>
        <w:gridCol w:w="1298"/>
        <w:gridCol w:w="1321"/>
        <w:gridCol w:w="1275"/>
        <w:gridCol w:w="1143"/>
      </w:tblGrid>
      <w:tr w:rsidR="007D34A5" w:rsidRPr="00742F22" w:rsidTr="007D34A5">
        <w:tc>
          <w:tcPr>
            <w:tcW w:w="9189" w:type="dxa"/>
            <w:gridSpan w:val="7"/>
            <w:tcBorders>
              <w:top w:val="nil"/>
              <w:left w:val="nil"/>
              <w:bottom w:val="single" w:sz="4" w:space="0" w:color="auto"/>
              <w:right w:val="nil"/>
            </w:tcBorders>
          </w:tcPr>
          <w:p w:rsidR="007D34A5" w:rsidRPr="00742F22" w:rsidRDefault="007D34A5" w:rsidP="00742F22">
            <w:pPr>
              <w:jc w:val="both"/>
              <w:rPr>
                <w:lang w:val="en-US"/>
              </w:rPr>
            </w:pPr>
            <w:r w:rsidRPr="00742F22">
              <w:rPr>
                <w:b/>
                <w:lang w:val="en-US"/>
              </w:rPr>
              <w:t xml:space="preserve">Instructions for participants: </w:t>
            </w:r>
            <w:r w:rsidR="00742F22" w:rsidRPr="00742F22">
              <w:rPr>
                <w:lang w:val="en-US"/>
              </w:rPr>
              <w:t xml:space="preserve">Based on the </w:t>
            </w:r>
            <w:r w:rsidRPr="00742F22">
              <w:rPr>
                <w:lang w:val="en-US"/>
              </w:rPr>
              <w:t>scenarios listed in the 1</w:t>
            </w:r>
            <w:r w:rsidRPr="00742F22">
              <w:rPr>
                <w:vertAlign w:val="superscript"/>
                <w:lang w:val="en-US"/>
              </w:rPr>
              <w:t>st</w:t>
            </w:r>
            <w:r w:rsidRPr="00742F22">
              <w:rPr>
                <w:lang w:val="en-US"/>
              </w:rPr>
              <w:t xml:space="preserve"> column “Scenario” you will: </w:t>
            </w:r>
          </w:p>
          <w:p w:rsidR="007D34A5" w:rsidRPr="00742F22" w:rsidRDefault="007D34A5" w:rsidP="00742F22">
            <w:pPr>
              <w:jc w:val="both"/>
              <w:rPr>
                <w:lang w:val="en-US"/>
              </w:rPr>
            </w:pPr>
            <w:r w:rsidRPr="00742F22">
              <w:rPr>
                <w:lang w:val="en-US"/>
              </w:rPr>
              <w:t>1/ Categorize the risk (</w:t>
            </w:r>
            <w:r w:rsidR="000C4A94" w:rsidRPr="00742F22">
              <w:rPr>
                <w:lang w:val="en-US"/>
              </w:rPr>
              <w:t xml:space="preserve">i.e. </w:t>
            </w:r>
            <w:r w:rsidRPr="00742F22">
              <w:rPr>
                <w:lang w:val="en-US"/>
              </w:rPr>
              <w:t xml:space="preserve">low/high to be indicated in </w:t>
            </w:r>
            <w:r w:rsidR="000C4A94" w:rsidRPr="00742F22">
              <w:rPr>
                <w:lang w:val="en-US"/>
              </w:rPr>
              <w:t>the column “RISK”</w:t>
            </w:r>
            <w:r w:rsidRPr="00742F22">
              <w:rPr>
                <w:lang w:val="en-US"/>
              </w:rPr>
              <w:t>)</w:t>
            </w:r>
          </w:p>
          <w:p w:rsidR="007D34A5" w:rsidRPr="00742F22" w:rsidRDefault="000C4A94" w:rsidP="00742F22">
            <w:pPr>
              <w:jc w:val="both"/>
              <w:rPr>
                <w:lang w:val="en-US"/>
              </w:rPr>
            </w:pPr>
            <w:r w:rsidRPr="00742F22">
              <w:rPr>
                <w:lang w:val="en-US"/>
              </w:rPr>
              <w:t>2/ F</w:t>
            </w:r>
            <w:r w:rsidR="007D34A5" w:rsidRPr="00742F22">
              <w:rPr>
                <w:lang w:val="en-US"/>
              </w:rPr>
              <w:t>or each scenario</w:t>
            </w:r>
            <w:r w:rsidRPr="00742F22">
              <w:rPr>
                <w:lang w:val="en-US"/>
              </w:rPr>
              <w:t>, indicate</w:t>
            </w:r>
            <w:r w:rsidR="007D34A5" w:rsidRPr="00742F22">
              <w:rPr>
                <w:lang w:val="en-US"/>
              </w:rPr>
              <w:t xml:space="preserve"> the equipment needed by the RRT for appropriate Infection Prevention and Control in the context of a potential EVD</w:t>
            </w:r>
            <w:r w:rsidR="007D34A5" w:rsidRPr="00742F22">
              <w:rPr>
                <w:b/>
                <w:lang w:val="en-US"/>
              </w:rPr>
              <w:t xml:space="preserve"> </w:t>
            </w:r>
            <w:r w:rsidR="007D34A5" w:rsidRPr="00742F22">
              <w:rPr>
                <w:lang w:val="en-US"/>
              </w:rPr>
              <w:t>outbreak, indicating “Yes” or “No” on the   corresponding columns. Feel free to add any specifications as needed.</w:t>
            </w:r>
          </w:p>
          <w:p w:rsidR="007D34A5" w:rsidRPr="00742F22" w:rsidRDefault="007D34A5" w:rsidP="00742F22">
            <w:pPr>
              <w:rPr>
                <w:lang w:val="en-US"/>
              </w:rPr>
            </w:pPr>
          </w:p>
        </w:tc>
      </w:tr>
      <w:tr w:rsidR="007D34A5" w:rsidRPr="00742F22" w:rsidTr="007D34A5">
        <w:tc>
          <w:tcPr>
            <w:tcW w:w="9189" w:type="dxa"/>
            <w:gridSpan w:val="7"/>
            <w:tcBorders>
              <w:top w:val="single" w:sz="4" w:space="0" w:color="auto"/>
            </w:tcBorders>
          </w:tcPr>
          <w:p w:rsidR="007D34A5" w:rsidRPr="00742F22" w:rsidRDefault="007D34A5" w:rsidP="00742F22">
            <w:pPr>
              <w:jc w:val="both"/>
              <w:rPr>
                <w:b/>
                <w:lang w:val="en-US"/>
              </w:rPr>
            </w:pPr>
            <w:r w:rsidRPr="00742F22">
              <w:rPr>
                <w:lang w:val="en-US"/>
              </w:rPr>
              <w:t xml:space="preserve">HAND HYGIENE FOR ALL </w:t>
            </w:r>
            <w:r w:rsidR="00742F22" w:rsidRPr="00742F22">
              <w:rPr>
                <w:lang w:val="en-US"/>
              </w:rPr>
              <w:t>SITUATIONS IS</w:t>
            </w:r>
            <w:r w:rsidRPr="00742F22">
              <w:rPr>
                <w:lang w:val="en-US"/>
              </w:rPr>
              <w:t xml:space="preserve"> ESSENTIAL AND ALWAYS CARRIED OUT</w:t>
            </w:r>
          </w:p>
        </w:tc>
      </w:tr>
      <w:tr w:rsidR="007D34A5" w:rsidRPr="00742F22" w:rsidTr="007D34A5">
        <w:tc>
          <w:tcPr>
            <w:tcW w:w="1584" w:type="dxa"/>
            <w:shd w:val="clear" w:color="auto" w:fill="0070C0"/>
          </w:tcPr>
          <w:p w:rsidR="007D34A5" w:rsidRPr="00742F22" w:rsidRDefault="007D34A5" w:rsidP="00742F22">
            <w:pPr>
              <w:rPr>
                <w:b/>
                <w:color w:val="FFFFFF" w:themeColor="background1"/>
                <w:lang w:val="en-US"/>
              </w:rPr>
            </w:pPr>
            <w:r w:rsidRPr="00742F22">
              <w:rPr>
                <w:b/>
                <w:color w:val="FFFFFF" w:themeColor="background1"/>
                <w:lang w:val="en-US"/>
              </w:rPr>
              <w:t>SCENARIO</w:t>
            </w:r>
          </w:p>
        </w:tc>
        <w:tc>
          <w:tcPr>
            <w:tcW w:w="1270" w:type="dxa"/>
            <w:shd w:val="clear" w:color="auto" w:fill="0070C0"/>
          </w:tcPr>
          <w:p w:rsidR="007D34A5" w:rsidRPr="00742F22" w:rsidRDefault="007D34A5" w:rsidP="00742F22">
            <w:pPr>
              <w:rPr>
                <w:b/>
                <w:color w:val="FFFFFF" w:themeColor="background1"/>
                <w:lang w:val="en-US"/>
              </w:rPr>
            </w:pPr>
            <w:r w:rsidRPr="00742F22">
              <w:rPr>
                <w:b/>
                <w:color w:val="FFFFFF" w:themeColor="background1"/>
                <w:lang w:val="en-US"/>
              </w:rPr>
              <w:t>RISK</w:t>
            </w:r>
          </w:p>
        </w:tc>
        <w:tc>
          <w:tcPr>
            <w:tcW w:w="1298" w:type="dxa"/>
            <w:shd w:val="clear" w:color="auto" w:fill="0070C0"/>
          </w:tcPr>
          <w:p w:rsidR="007D34A5" w:rsidRPr="00742F22" w:rsidRDefault="007D34A5" w:rsidP="00742F22">
            <w:pPr>
              <w:rPr>
                <w:b/>
                <w:color w:val="FFFFFF" w:themeColor="background1"/>
                <w:lang w:val="en-US"/>
              </w:rPr>
            </w:pPr>
            <w:r w:rsidRPr="00742F22">
              <w:rPr>
                <w:b/>
                <w:color w:val="FFFFFF" w:themeColor="background1"/>
                <w:lang w:val="en-US"/>
              </w:rPr>
              <w:t>GLOVES</w:t>
            </w:r>
          </w:p>
        </w:tc>
        <w:tc>
          <w:tcPr>
            <w:tcW w:w="1298" w:type="dxa"/>
            <w:shd w:val="clear" w:color="auto" w:fill="0070C0"/>
          </w:tcPr>
          <w:p w:rsidR="007D34A5" w:rsidRPr="00742F22" w:rsidRDefault="007D34A5" w:rsidP="00742F22">
            <w:pPr>
              <w:rPr>
                <w:b/>
                <w:color w:val="FFFFFF" w:themeColor="background1"/>
                <w:lang w:val="en-US"/>
              </w:rPr>
            </w:pPr>
            <w:r w:rsidRPr="00742F22">
              <w:rPr>
                <w:b/>
                <w:color w:val="FFFFFF" w:themeColor="background1"/>
                <w:lang w:val="en-US"/>
              </w:rPr>
              <w:t>APRONS</w:t>
            </w:r>
          </w:p>
        </w:tc>
        <w:tc>
          <w:tcPr>
            <w:tcW w:w="1321" w:type="dxa"/>
            <w:shd w:val="clear" w:color="auto" w:fill="0070C0"/>
          </w:tcPr>
          <w:p w:rsidR="007D34A5" w:rsidRPr="00742F22" w:rsidRDefault="007D34A5" w:rsidP="00742F22">
            <w:pPr>
              <w:rPr>
                <w:b/>
                <w:color w:val="FFFFFF" w:themeColor="background1"/>
                <w:lang w:val="en-US"/>
              </w:rPr>
            </w:pPr>
            <w:r w:rsidRPr="00742F22">
              <w:rPr>
                <w:b/>
                <w:color w:val="FFFFFF" w:themeColor="background1"/>
                <w:lang w:val="en-US"/>
              </w:rPr>
              <w:t>FACE COVER</w:t>
            </w:r>
          </w:p>
        </w:tc>
        <w:tc>
          <w:tcPr>
            <w:tcW w:w="1275" w:type="dxa"/>
            <w:shd w:val="clear" w:color="auto" w:fill="0070C0"/>
          </w:tcPr>
          <w:p w:rsidR="007D34A5" w:rsidRPr="00742F22" w:rsidRDefault="007D34A5" w:rsidP="00742F22">
            <w:pPr>
              <w:rPr>
                <w:b/>
                <w:color w:val="FFFFFF" w:themeColor="background1"/>
                <w:lang w:val="en-US"/>
              </w:rPr>
            </w:pPr>
            <w:r w:rsidRPr="00742F22">
              <w:rPr>
                <w:b/>
                <w:color w:val="FFFFFF" w:themeColor="background1"/>
                <w:lang w:val="en-US"/>
              </w:rPr>
              <w:t>GOWN/ overalls</w:t>
            </w:r>
          </w:p>
        </w:tc>
        <w:tc>
          <w:tcPr>
            <w:tcW w:w="1143" w:type="dxa"/>
            <w:shd w:val="clear" w:color="auto" w:fill="0070C0"/>
          </w:tcPr>
          <w:p w:rsidR="007D34A5" w:rsidRPr="00742F22" w:rsidRDefault="007D34A5" w:rsidP="00742F22">
            <w:pPr>
              <w:rPr>
                <w:b/>
                <w:color w:val="FFFFFF" w:themeColor="background1"/>
                <w:lang w:val="en-US"/>
              </w:rPr>
            </w:pPr>
            <w:r w:rsidRPr="00742F22">
              <w:rPr>
                <w:b/>
                <w:color w:val="FFFFFF" w:themeColor="background1"/>
                <w:lang w:val="en-US"/>
              </w:rPr>
              <w:t>BOOTS</w:t>
            </w:r>
          </w:p>
        </w:tc>
      </w:tr>
      <w:tr w:rsidR="007D34A5" w:rsidRPr="00742F22" w:rsidTr="007D34A5">
        <w:tc>
          <w:tcPr>
            <w:tcW w:w="1584" w:type="dxa"/>
          </w:tcPr>
          <w:p w:rsidR="007D34A5" w:rsidRPr="00742F22" w:rsidRDefault="007D34A5" w:rsidP="00742F22">
            <w:pPr>
              <w:rPr>
                <w:b/>
                <w:lang w:val="en-US"/>
              </w:rPr>
            </w:pPr>
            <w:r w:rsidRPr="00742F22">
              <w:rPr>
                <w:b/>
                <w:lang w:val="en-US"/>
              </w:rPr>
              <w:t>Airport entry site: taking temperature</w:t>
            </w:r>
          </w:p>
        </w:tc>
        <w:tc>
          <w:tcPr>
            <w:tcW w:w="1270" w:type="dxa"/>
          </w:tcPr>
          <w:p w:rsidR="007D34A5" w:rsidRPr="00742F22" w:rsidRDefault="007D34A5" w:rsidP="00742F22">
            <w:pPr>
              <w:rPr>
                <w:lang w:val="en-US"/>
              </w:rPr>
            </w:pPr>
          </w:p>
        </w:tc>
        <w:tc>
          <w:tcPr>
            <w:tcW w:w="1298" w:type="dxa"/>
          </w:tcPr>
          <w:p w:rsidR="007D34A5" w:rsidRPr="00742F22" w:rsidRDefault="007D34A5" w:rsidP="00742F22">
            <w:pPr>
              <w:rPr>
                <w:lang w:val="en-US"/>
              </w:rPr>
            </w:pPr>
          </w:p>
        </w:tc>
        <w:tc>
          <w:tcPr>
            <w:tcW w:w="1298" w:type="dxa"/>
          </w:tcPr>
          <w:p w:rsidR="007D34A5" w:rsidRPr="00742F22" w:rsidRDefault="007D34A5" w:rsidP="00742F22">
            <w:pPr>
              <w:rPr>
                <w:lang w:val="en-US"/>
              </w:rPr>
            </w:pPr>
          </w:p>
        </w:tc>
        <w:tc>
          <w:tcPr>
            <w:tcW w:w="1321" w:type="dxa"/>
          </w:tcPr>
          <w:p w:rsidR="007D34A5" w:rsidRPr="00742F22" w:rsidRDefault="007D34A5" w:rsidP="00742F22">
            <w:pPr>
              <w:rPr>
                <w:lang w:val="en-US"/>
              </w:rPr>
            </w:pPr>
          </w:p>
        </w:tc>
        <w:tc>
          <w:tcPr>
            <w:tcW w:w="1275" w:type="dxa"/>
          </w:tcPr>
          <w:p w:rsidR="007D34A5" w:rsidRPr="00742F22" w:rsidRDefault="007D34A5" w:rsidP="00742F22">
            <w:pPr>
              <w:rPr>
                <w:lang w:val="en-US"/>
              </w:rPr>
            </w:pPr>
          </w:p>
        </w:tc>
        <w:tc>
          <w:tcPr>
            <w:tcW w:w="1143" w:type="dxa"/>
          </w:tcPr>
          <w:p w:rsidR="007D34A5" w:rsidRPr="00742F22" w:rsidRDefault="007D34A5" w:rsidP="00742F22">
            <w:pPr>
              <w:rPr>
                <w:lang w:val="en-US"/>
              </w:rPr>
            </w:pPr>
          </w:p>
        </w:tc>
      </w:tr>
      <w:tr w:rsidR="007D34A5" w:rsidRPr="00742F22" w:rsidTr="007D34A5">
        <w:tc>
          <w:tcPr>
            <w:tcW w:w="1584" w:type="dxa"/>
          </w:tcPr>
          <w:p w:rsidR="007D34A5" w:rsidRPr="00742F22" w:rsidRDefault="007D34A5" w:rsidP="00742F22">
            <w:pPr>
              <w:rPr>
                <w:b/>
                <w:lang w:val="en-US"/>
              </w:rPr>
            </w:pPr>
            <w:r w:rsidRPr="00742F22">
              <w:rPr>
                <w:b/>
                <w:lang w:val="en-US"/>
              </w:rPr>
              <w:t xml:space="preserve">Asymptomatic carrier </w:t>
            </w:r>
          </w:p>
          <w:p w:rsidR="007D34A5" w:rsidRPr="00742F22" w:rsidRDefault="007D34A5" w:rsidP="00742F22">
            <w:pPr>
              <w:rPr>
                <w:b/>
                <w:lang w:val="en-US"/>
              </w:rPr>
            </w:pPr>
          </w:p>
        </w:tc>
        <w:tc>
          <w:tcPr>
            <w:tcW w:w="1270" w:type="dxa"/>
          </w:tcPr>
          <w:p w:rsidR="007D34A5" w:rsidRPr="00742F22" w:rsidRDefault="007D34A5" w:rsidP="00742F22">
            <w:pPr>
              <w:rPr>
                <w:lang w:val="en-US"/>
              </w:rPr>
            </w:pPr>
          </w:p>
        </w:tc>
        <w:tc>
          <w:tcPr>
            <w:tcW w:w="1298" w:type="dxa"/>
          </w:tcPr>
          <w:p w:rsidR="007D34A5" w:rsidRPr="00742F22" w:rsidRDefault="007D34A5" w:rsidP="00742F22">
            <w:pPr>
              <w:rPr>
                <w:lang w:val="en-US"/>
              </w:rPr>
            </w:pPr>
          </w:p>
        </w:tc>
        <w:tc>
          <w:tcPr>
            <w:tcW w:w="1298" w:type="dxa"/>
          </w:tcPr>
          <w:p w:rsidR="007D34A5" w:rsidRPr="00742F22" w:rsidRDefault="007D34A5" w:rsidP="00742F22">
            <w:pPr>
              <w:rPr>
                <w:lang w:val="en-US"/>
              </w:rPr>
            </w:pPr>
          </w:p>
        </w:tc>
        <w:tc>
          <w:tcPr>
            <w:tcW w:w="1321" w:type="dxa"/>
          </w:tcPr>
          <w:p w:rsidR="007D34A5" w:rsidRPr="00742F22" w:rsidRDefault="007D34A5" w:rsidP="00742F22">
            <w:pPr>
              <w:rPr>
                <w:lang w:val="en-US"/>
              </w:rPr>
            </w:pPr>
          </w:p>
        </w:tc>
        <w:tc>
          <w:tcPr>
            <w:tcW w:w="1275" w:type="dxa"/>
          </w:tcPr>
          <w:p w:rsidR="007D34A5" w:rsidRPr="00742F22" w:rsidRDefault="007D34A5" w:rsidP="00742F22">
            <w:pPr>
              <w:rPr>
                <w:lang w:val="en-US"/>
              </w:rPr>
            </w:pPr>
          </w:p>
        </w:tc>
        <w:tc>
          <w:tcPr>
            <w:tcW w:w="1143" w:type="dxa"/>
          </w:tcPr>
          <w:p w:rsidR="007D34A5" w:rsidRPr="00742F22" w:rsidRDefault="007D34A5" w:rsidP="00742F22">
            <w:pPr>
              <w:rPr>
                <w:lang w:val="en-US"/>
              </w:rPr>
            </w:pPr>
          </w:p>
        </w:tc>
      </w:tr>
      <w:tr w:rsidR="007D34A5" w:rsidRPr="00742F22" w:rsidTr="007D34A5">
        <w:tc>
          <w:tcPr>
            <w:tcW w:w="1584" w:type="dxa"/>
          </w:tcPr>
          <w:p w:rsidR="007D34A5" w:rsidRPr="00742F22" w:rsidRDefault="007D34A5" w:rsidP="00742F22">
            <w:pPr>
              <w:rPr>
                <w:b/>
                <w:lang w:val="en-US"/>
              </w:rPr>
            </w:pPr>
            <w:r w:rsidRPr="00742F22">
              <w:rPr>
                <w:b/>
                <w:lang w:val="en-US"/>
              </w:rPr>
              <w:t>Contact tracing/ interviewing contacts</w:t>
            </w:r>
          </w:p>
        </w:tc>
        <w:tc>
          <w:tcPr>
            <w:tcW w:w="1270" w:type="dxa"/>
          </w:tcPr>
          <w:p w:rsidR="007D34A5" w:rsidRPr="00742F22" w:rsidRDefault="007D34A5" w:rsidP="00742F22">
            <w:pPr>
              <w:rPr>
                <w:lang w:val="en-US"/>
              </w:rPr>
            </w:pPr>
          </w:p>
        </w:tc>
        <w:tc>
          <w:tcPr>
            <w:tcW w:w="1298" w:type="dxa"/>
          </w:tcPr>
          <w:p w:rsidR="007D34A5" w:rsidRPr="00742F22" w:rsidRDefault="007D34A5" w:rsidP="00742F22">
            <w:pPr>
              <w:rPr>
                <w:lang w:val="en-US"/>
              </w:rPr>
            </w:pPr>
          </w:p>
        </w:tc>
        <w:tc>
          <w:tcPr>
            <w:tcW w:w="1298" w:type="dxa"/>
          </w:tcPr>
          <w:p w:rsidR="007D34A5" w:rsidRPr="00742F22" w:rsidRDefault="007D34A5" w:rsidP="00742F22">
            <w:pPr>
              <w:rPr>
                <w:lang w:val="en-US"/>
              </w:rPr>
            </w:pPr>
          </w:p>
        </w:tc>
        <w:tc>
          <w:tcPr>
            <w:tcW w:w="1321" w:type="dxa"/>
          </w:tcPr>
          <w:p w:rsidR="007D34A5" w:rsidRPr="00742F22" w:rsidRDefault="007D34A5" w:rsidP="00742F22">
            <w:pPr>
              <w:rPr>
                <w:lang w:val="en-US"/>
              </w:rPr>
            </w:pPr>
          </w:p>
        </w:tc>
        <w:tc>
          <w:tcPr>
            <w:tcW w:w="1275" w:type="dxa"/>
          </w:tcPr>
          <w:p w:rsidR="007D34A5" w:rsidRPr="00742F22" w:rsidRDefault="007D34A5" w:rsidP="00742F22">
            <w:pPr>
              <w:rPr>
                <w:lang w:val="en-US"/>
              </w:rPr>
            </w:pPr>
          </w:p>
        </w:tc>
        <w:tc>
          <w:tcPr>
            <w:tcW w:w="1143" w:type="dxa"/>
          </w:tcPr>
          <w:p w:rsidR="007D34A5" w:rsidRPr="00742F22" w:rsidRDefault="007D34A5" w:rsidP="00742F22">
            <w:pPr>
              <w:rPr>
                <w:lang w:val="en-US"/>
              </w:rPr>
            </w:pPr>
          </w:p>
        </w:tc>
      </w:tr>
      <w:tr w:rsidR="007D34A5" w:rsidRPr="00742F22" w:rsidTr="007D34A5">
        <w:tc>
          <w:tcPr>
            <w:tcW w:w="1584" w:type="dxa"/>
          </w:tcPr>
          <w:p w:rsidR="007D34A5" w:rsidRPr="00742F22" w:rsidRDefault="007D34A5" w:rsidP="00742F22">
            <w:pPr>
              <w:rPr>
                <w:b/>
                <w:lang w:val="en-US"/>
              </w:rPr>
            </w:pPr>
            <w:r w:rsidRPr="00742F22">
              <w:rPr>
                <w:b/>
                <w:lang w:val="en-US"/>
              </w:rPr>
              <w:t>Sick person who fits 2 points of the case definition</w:t>
            </w:r>
          </w:p>
        </w:tc>
        <w:tc>
          <w:tcPr>
            <w:tcW w:w="1270" w:type="dxa"/>
          </w:tcPr>
          <w:p w:rsidR="007D34A5" w:rsidRPr="00742F22" w:rsidRDefault="007D34A5" w:rsidP="00742F22">
            <w:pPr>
              <w:rPr>
                <w:lang w:val="en-US"/>
              </w:rPr>
            </w:pPr>
          </w:p>
        </w:tc>
        <w:tc>
          <w:tcPr>
            <w:tcW w:w="1298" w:type="dxa"/>
          </w:tcPr>
          <w:p w:rsidR="007D34A5" w:rsidRPr="00742F22" w:rsidRDefault="007D34A5" w:rsidP="00742F22">
            <w:pPr>
              <w:rPr>
                <w:lang w:val="en-US"/>
              </w:rPr>
            </w:pPr>
          </w:p>
        </w:tc>
        <w:tc>
          <w:tcPr>
            <w:tcW w:w="1298" w:type="dxa"/>
          </w:tcPr>
          <w:p w:rsidR="007D34A5" w:rsidRPr="00742F22" w:rsidRDefault="007D34A5" w:rsidP="00742F22">
            <w:pPr>
              <w:rPr>
                <w:lang w:val="en-US"/>
              </w:rPr>
            </w:pPr>
          </w:p>
        </w:tc>
        <w:tc>
          <w:tcPr>
            <w:tcW w:w="1321" w:type="dxa"/>
          </w:tcPr>
          <w:p w:rsidR="007D34A5" w:rsidRPr="00742F22" w:rsidRDefault="007D34A5" w:rsidP="00742F22">
            <w:pPr>
              <w:rPr>
                <w:lang w:val="en-US"/>
              </w:rPr>
            </w:pPr>
          </w:p>
        </w:tc>
        <w:tc>
          <w:tcPr>
            <w:tcW w:w="1275" w:type="dxa"/>
          </w:tcPr>
          <w:p w:rsidR="007D34A5" w:rsidRPr="00742F22" w:rsidRDefault="007D34A5" w:rsidP="00742F22">
            <w:pPr>
              <w:rPr>
                <w:lang w:val="en-US"/>
              </w:rPr>
            </w:pPr>
          </w:p>
        </w:tc>
        <w:tc>
          <w:tcPr>
            <w:tcW w:w="1143" w:type="dxa"/>
          </w:tcPr>
          <w:p w:rsidR="007D34A5" w:rsidRPr="00742F22" w:rsidRDefault="007D34A5" w:rsidP="00742F22">
            <w:pPr>
              <w:rPr>
                <w:lang w:val="en-US"/>
              </w:rPr>
            </w:pPr>
          </w:p>
        </w:tc>
      </w:tr>
      <w:tr w:rsidR="007D34A5" w:rsidRPr="00742F22" w:rsidTr="007D34A5">
        <w:tc>
          <w:tcPr>
            <w:tcW w:w="1584" w:type="dxa"/>
          </w:tcPr>
          <w:p w:rsidR="007D34A5" w:rsidRPr="00742F22" w:rsidRDefault="007D34A5" w:rsidP="00742F22">
            <w:pPr>
              <w:rPr>
                <w:b/>
                <w:lang w:val="en-US"/>
              </w:rPr>
            </w:pPr>
            <w:r w:rsidRPr="00742F22">
              <w:rPr>
                <w:b/>
                <w:lang w:val="en-US"/>
              </w:rPr>
              <w:t>Managing a case of full blown EVD</w:t>
            </w:r>
          </w:p>
        </w:tc>
        <w:tc>
          <w:tcPr>
            <w:tcW w:w="1270" w:type="dxa"/>
          </w:tcPr>
          <w:p w:rsidR="007D34A5" w:rsidRPr="00742F22" w:rsidRDefault="007D34A5" w:rsidP="00742F22">
            <w:pPr>
              <w:rPr>
                <w:lang w:val="en-US"/>
              </w:rPr>
            </w:pPr>
          </w:p>
        </w:tc>
        <w:tc>
          <w:tcPr>
            <w:tcW w:w="1298" w:type="dxa"/>
          </w:tcPr>
          <w:p w:rsidR="007D34A5" w:rsidRPr="00742F22" w:rsidRDefault="007D34A5" w:rsidP="00742F22">
            <w:pPr>
              <w:rPr>
                <w:lang w:val="en-US"/>
              </w:rPr>
            </w:pPr>
          </w:p>
        </w:tc>
        <w:tc>
          <w:tcPr>
            <w:tcW w:w="1298" w:type="dxa"/>
          </w:tcPr>
          <w:p w:rsidR="007D34A5" w:rsidRPr="00742F22" w:rsidRDefault="007D34A5" w:rsidP="00742F22">
            <w:pPr>
              <w:rPr>
                <w:lang w:val="en-US"/>
              </w:rPr>
            </w:pPr>
          </w:p>
        </w:tc>
        <w:tc>
          <w:tcPr>
            <w:tcW w:w="1321" w:type="dxa"/>
          </w:tcPr>
          <w:p w:rsidR="007D34A5" w:rsidRPr="00742F22" w:rsidRDefault="007D34A5" w:rsidP="00742F22">
            <w:pPr>
              <w:rPr>
                <w:lang w:val="en-US"/>
              </w:rPr>
            </w:pPr>
          </w:p>
        </w:tc>
        <w:tc>
          <w:tcPr>
            <w:tcW w:w="1275" w:type="dxa"/>
          </w:tcPr>
          <w:p w:rsidR="007D34A5" w:rsidRPr="00742F22" w:rsidRDefault="007D34A5" w:rsidP="00742F22">
            <w:pPr>
              <w:rPr>
                <w:lang w:val="en-US"/>
              </w:rPr>
            </w:pPr>
          </w:p>
        </w:tc>
        <w:tc>
          <w:tcPr>
            <w:tcW w:w="1143" w:type="dxa"/>
          </w:tcPr>
          <w:p w:rsidR="007D34A5" w:rsidRPr="00742F22" w:rsidRDefault="007D34A5" w:rsidP="00742F22">
            <w:pPr>
              <w:rPr>
                <w:lang w:val="en-US"/>
              </w:rPr>
            </w:pPr>
          </w:p>
        </w:tc>
      </w:tr>
      <w:tr w:rsidR="007D34A5" w:rsidRPr="00742F22" w:rsidTr="007D34A5">
        <w:tc>
          <w:tcPr>
            <w:tcW w:w="1584" w:type="dxa"/>
          </w:tcPr>
          <w:p w:rsidR="007D34A5" w:rsidRPr="00742F22" w:rsidRDefault="007D34A5" w:rsidP="00742F22">
            <w:pPr>
              <w:rPr>
                <w:b/>
                <w:lang w:val="en-US"/>
              </w:rPr>
            </w:pPr>
            <w:r w:rsidRPr="00742F22">
              <w:rPr>
                <w:b/>
                <w:lang w:val="en-US"/>
              </w:rPr>
              <w:t>Transportation of a case of EVD</w:t>
            </w:r>
          </w:p>
        </w:tc>
        <w:tc>
          <w:tcPr>
            <w:tcW w:w="1270" w:type="dxa"/>
          </w:tcPr>
          <w:p w:rsidR="007D34A5" w:rsidRPr="00742F22" w:rsidRDefault="007D34A5" w:rsidP="00742F22">
            <w:pPr>
              <w:rPr>
                <w:lang w:val="en-US"/>
              </w:rPr>
            </w:pPr>
          </w:p>
        </w:tc>
        <w:tc>
          <w:tcPr>
            <w:tcW w:w="1298" w:type="dxa"/>
          </w:tcPr>
          <w:p w:rsidR="007D34A5" w:rsidRPr="00742F22" w:rsidRDefault="007D34A5" w:rsidP="00742F22">
            <w:pPr>
              <w:rPr>
                <w:lang w:val="en-US"/>
              </w:rPr>
            </w:pPr>
          </w:p>
        </w:tc>
        <w:tc>
          <w:tcPr>
            <w:tcW w:w="1298" w:type="dxa"/>
          </w:tcPr>
          <w:p w:rsidR="007D34A5" w:rsidRPr="00742F22" w:rsidRDefault="007D34A5" w:rsidP="00742F22">
            <w:pPr>
              <w:rPr>
                <w:lang w:val="en-US"/>
              </w:rPr>
            </w:pPr>
          </w:p>
        </w:tc>
        <w:tc>
          <w:tcPr>
            <w:tcW w:w="1321" w:type="dxa"/>
          </w:tcPr>
          <w:p w:rsidR="007D34A5" w:rsidRPr="00742F22" w:rsidRDefault="007D34A5" w:rsidP="00742F22">
            <w:pPr>
              <w:rPr>
                <w:lang w:val="en-US"/>
              </w:rPr>
            </w:pPr>
          </w:p>
        </w:tc>
        <w:tc>
          <w:tcPr>
            <w:tcW w:w="1275" w:type="dxa"/>
          </w:tcPr>
          <w:p w:rsidR="007D34A5" w:rsidRPr="00742F22" w:rsidRDefault="007D34A5" w:rsidP="00742F22">
            <w:pPr>
              <w:rPr>
                <w:lang w:val="en-US"/>
              </w:rPr>
            </w:pPr>
          </w:p>
        </w:tc>
        <w:tc>
          <w:tcPr>
            <w:tcW w:w="1143" w:type="dxa"/>
          </w:tcPr>
          <w:p w:rsidR="007D34A5" w:rsidRPr="00742F22" w:rsidRDefault="007D34A5" w:rsidP="00742F22">
            <w:pPr>
              <w:rPr>
                <w:lang w:val="en-US"/>
              </w:rPr>
            </w:pPr>
          </w:p>
        </w:tc>
      </w:tr>
      <w:tr w:rsidR="007D34A5" w:rsidRPr="00742F22" w:rsidTr="007D34A5">
        <w:tc>
          <w:tcPr>
            <w:tcW w:w="1584" w:type="dxa"/>
          </w:tcPr>
          <w:p w:rsidR="007D34A5" w:rsidRPr="00742F22" w:rsidRDefault="007D34A5" w:rsidP="00742F22">
            <w:pPr>
              <w:rPr>
                <w:b/>
                <w:lang w:val="en-US"/>
              </w:rPr>
            </w:pPr>
            <w:r w:rsidRPr="00742F22">
              <w:rPr>
                <w:b/>
                <w:lang w:val="en-US"/>
              </w:rPr>
              <w:t>BURIAL</w:t>
            </w:r>
          </w:p>
          <w:p w:rsidR="000C4A94" w:rsidRDefault="000C4A94" w:rsidP="00742F22">
            <w:pPr>
              <w:rPr>
                <w:b/>
                <w:lang w:val="en-US"/>
              </w:rPr>
            </w:pPr>
          </w:p>
          <w:p w:rsidR="00742F22" w:rsidRPr="00742F22" w:rsidRDefault="00742F22" w:rsidP="00742F22">
            <w:pPr>
              <w:rPr>
                <w:b/>
                <w:lang w:val="en-US"/>
              </w:rPr>
            </w:pPr>
          </w:p>
        </w:tc>
        <w:tc>
          <w:tcPr>
            <w:tcW w:w="1270" w:type="dxa"/>
          </w:tcPr>
          <w:p w:rsidR="007D34A5" w:rsidRPr="00742F22" w:rsidRDefault="007D34A5" w:rsidP="00742F22">
            <w:pPr>
              <w:rPr>
                <w:lang w:val="en-US"/>
              </w:rPr>
            </w:pPr>
          </w:p>
        </w:tc>
        <w:tc>
          <w:tcPr>
            <w:tcW w:w="1298" w:type="dxa"/>
          </w:tcPr>
          <w:p w:rsidR="007D34A5" w:rsidRPr="00742F22" w:rsidRDefault="007D34A5" w:rsidP="00742F22">
            <w:pPr>
              <w:rPr>
                <w:lang w:val="en-US"/>
              </w:rPr>
            </w:pPr>
          </w:p>
        </w:tc>
        <w:tc>
          <w:tcPr>
            <w:tcW w:w="1298" w:type="dxa"/>
          </w:tcPr>
          <w:p w:rsidR="007D34A5" w:rsidRPr="00742F22" w:rsidRDefault="007D34A5" w:rsidP="00742F22">
            <w:pPr>
              <w:rPr>
                <w:lang w:val="en-US"/>
              </w:rPr>
            </w:pPr>
          </w:p>
        </w:tc>
        <w:tc>
          <w:tcPr>
            <w:tcW w:w="1321" w:type="dxa"/>
          </w:tcPr>
          <w:p w:rsidR="007D34A5" w:rsidRPr="00742F22" w:rsidRDefault="007D34A5" w:rsidP="00742F22">
            <w:pPr>
              <w:rPr>
                <w:lang w:val="en-US"/>
              </w:rPr>
            </w:pPr>
          </w:p>
        </w:tc>
        <w:tc>
          <w:tcPr>
            <w:tcW w:w="1275" w:type="dxa"/>
          </w:tcPr>
          <w:p w:rsidR="007D34A5" w:rsidRPr="00742F22" w:rsidRDefault="007D34A5" w:rsidP="00742F22">
            <w:pPr>
              <w:rPr>
                <w:lang w:val="en-US"/>
              </w:rPr>
            </w:pPr>
          </w:p>
        </w:tc>
        <w:tc>
          <w:tcPr>
            <w:tcW w:w="1143" w:type="dxa"/>
          </w:tcPr>
          <w:p w:rsidR="007D34A5" w:rsidRPr="00742F22" w:rsidRDefault="007D34A5" w:rsidP="00742F22">
            <w:pPr>
              <w:rPr>
                <w:lang w:val="en-US"/>
              </w:rPr>
            </w:pPr>
          </w:p>
        </w:tc>
      </w:tr>
      <w:tr w:rsidR="00742F22" w:rsidRPr="00742F22" w:rsidTr="00BC43CF">
        <w:tc>
          <w:tcPr>
            <w:tcW w:w="9189" w:type="dxa"/>
            <w:gridSpan w:val="7"/>
          </w:tcPr>
          <w:p w:rsidR="00742F22" w:rsidRPr="00742F22" w:rsidRDefault="00742F22" w:rsidP="00742F22">
            <w:pPr>
              <w:pStyle w:val="NormalWeb"/>
              <w:kinsoku w:val="0"/>
              <w:overflowPunct w:val="0"/>
              <w:spacing w:before="77" w:beforeAutospacing="0" w:after="0" w:afterAutospacing="0"/>
              <w:textAlignment w:val="baseline"/>
              <w:rPr>
                <w:rFonts w:ascii="Arial" w:eastAsia="+mn-ea" w:hAnsi="Arial" w:cs="Arial"/>
                <w:b/>
                <w:bCs/>
                <w:color w:val="10253F"/>
                <w:kern w:val="24"/>
                <w:sz w:val="22"/>
                <w:szCs w:val="22"/>
              </w:rPr>
            </w:pPr>
            <w:r w:rsidRPr="00742F22">
              <w:rPr>
                <w:rFonts w:ascii="Arial" w:eastAsia="+mn-ea" w:hAnsi="Arial" w:cs="Arial"/>
                <w:b/>
                <w:bCs/>
                <w:color w:val="10253F"/>
                <w:kern w:val="24"/>
                <w:sz w:val="22"/>
                <w:szCs w:val="22"/>
              </w:rPr>
              <w:t>WHO Health Security Learning Platform - Training Materials</w:t>
            </w:r>
          </w:p>
          <w:p w:rsidR="00742F22" w:rsidRPr="00742F22" w:rsidRDefault="00742F22" w:rsidP="00742F22">
            <w:pPr>
              <w:pStyle w:val="NormalWeb"/>
              <w:kinsoku w:val="0"/>
              <w:overflowPunct w:val="0"/>
              <w:spacing w:before="77" w:beforeAutospacing="0" w:after="0" w:afterAutospacing="0"/>
              <w:textAlignment w:val="baseline"/>
              <w:rPr>
                <w:sz w:val="22"/>
                <w:szCs w:val="22"/>
              </w:rPr>
            </w:pPr>
          </w:p>
          <w:p w:rsidR="00742F22" w:rsidRPr="00742F22" w:rsidRDefault="00742F22" w:rsidP="00742F22">
            <w:pPr>
              <w:pStyle w:val="NormalWeb"/>
              <w:kinsoku w:val="0"/>
              <w:overflowPunct w:val="0"/>
              <w:spacing w:before="77" w:beforeAutospacing="0" w:after="0" w:afterAutospacing="0"/>
              <w:textAlignment w:val="baseline"/>
              <w:rPr>
                <w:sz w:val="22"/>
                <w:szCs w:val="22"/>
              </w:rPr>
            </w:pPr>
            <w:r w:rsidRPr="00742F22">
              <w:rPr>
                <w:rFonts w:ascii="Arial" w:eastAsia="+mn-ea" w:hAnsi="Arial" w:cs="Arial"/>
                <w:color w:val="10253F"/>
                <w:kern w:val="24"/>
                <w:sz w:val="22"/>
                <w:szCs w:val="22"/>
              </w:rPr>
              <w:t>These WHO Training Materials are © World Health Organization (WHO) 2018. All rights reserved.</w:t>
            </w:r>
          </w:p>
          <w:p w:rsidR="00742F22" w:rsidRPr="00742F22" w:rsidRDefault="00742F22" w:rsidP="00742F22">
            <w:pPr>
              <w:pStyle w:val="NormalWeb"/>
              <w:kinsoku w:val="0"/>
              <w:overflowPunct w:val="0"/>
              <w:spacing w:before="77" w:beforeAutospacing="0" w:after="0" w:afterAutospacing="0"/>
              <w:textAlignment w:val="baseline"/>
              <w:rPr>
                <w:sz w:val="22"/>
                <w:szCs w:val="22"/>
              </w:rPr>
            </w:pPr>
            <w:r w:rsidRPr="00742F22">
              <w:rPr>
                <w:rFonts w:ascii="Arial" w:eastAsia="+mn-ea" w:hAnsi="Arial" w:cs="Arial"/>
                <w:color w:val="10253F"/>
                <w:kern w:val="24"/>
                <w:sz w:val="22"/>
                <w:szCs w:val="22"/>
              </w:rPr>
              <w:t>Your use of these materials is subject to the “</w:t>
            </w:r>
            <w:hyperlink r:id="rId6" w:history="1">
              <w:r w:rsidRPr="00742F22">
                <w:rPr>
                  <w:rStyle w:val="Hyperlink"/>
                  <w:rFonts w:ascii="Arial" w:eastAsia="+mn-ea" w:hAnsi="Arial" w:cs="Arial"/>
                  <w:color w:val="10253F"/>
                  <w:kern w:val="24"/>
                  <w:sz w:val="22"/>
                  <w:szCs w:val="22"/>
                </w:rPr>
                <w:t>WHO Health Security Learning Platform, Training Materials – Terms of Use</w:t>
              </w:r>
            </w:hyperlink>
            <w:r w:rsidRPr="00742F22">
              <w:rPr>
                <w:rFonts w:ascii="Arial" w:eastAsia="+mn-ea" w:hAnsi="Arial" w:cs="Arial"/>
                <w:color w:val="10253F"/>
                <w:kern w:val="24"/>
                <w:sz w:val="22"/>
                <w:szCs w:val="22"/>
              </w:rPr>
              <w:t xml:space="preserve">”, which you accepted when downloading them and which are available on the Health Security Learning Platform at: </w:t>
            </w:r>
            <w:hyperlink r:id="rId7" w:history="1">
              <w:r w:rsidRPr="00742F22">
                <w:rPr>
                  <w:rStyle w:val="Hyperlink"/>
                  <w:rFonts w:ascii="Arial" w:eastAsia="+mn-ea" w:hAnsi="Arial" w:cs="Arial"/>
                  <w:color w:val="10253F"/>
                  <w:kern w:val="24"/>
                  <w:sz w:val="22"/>
                  <w:szCs w:val="22"/>
                </w:rPr>
                <w:t>https://extranet.who.int/hslp</w:t>
              </w:r>
            </w:hyperlink>
            <w:r w:rsidRPr="00742F22">
              <w:rPr>
                <w:rFonts w:ascii="Arial" w:eastAsia="+mn-ea" w:hAnsi="Arial" w:cs="Arial"/>
                <w:color w:val="10253F"/>
                <w:kern w:val="24"/>
                <w:sz w:val="22"/>
                <w:szCs w:val="22"/>
              </w:rPr>
              <w:t xml:space="preserve"> .  </w:t>
            </w:r>
          </w:p>
          <w:p w:rsidR="00742F22" w:rsidRPr="00742F22" w:rsidRDefault="00742F22" w:rsidP="00742F22">
            <w:pPr>
              <w:pStyle w:val="NormalWeb"/>
              <w:kinsoku w:val="0"/>
              <w:overflowPunct w:val="0"/>
              <w:spacing w:before="77" w:beforeAutospacing="0" w:after="0" w:afterAutospacing="0"/>
              <w:textAlignment w:val="baseline"/>
              <w:rPr>
                <w:sz w:val="22"/>
                <w:szCs w:val="22"/>
              </w:rPr>
            </w:pPr>
            <w:r w:rsidRPr="00742F22">
              <w:rPr>
                <w:rFonts w:ascii="Arial" w:eastAsia="+mn-ea" w:hAnsi="Arial" w:cs="Arial"/>
                <w:color w:val="10253F"/>
                <w:kern w:val="24"/>
                <w:sz w:val="22"/>
                <w:szCs w:val="22"/>
              </w:rPr>
              <w:t> </w:t>
            </w:r>
          </w:p>
          <w:p w:rsidR="00742F22" w:rsidRPr="00742F22" w:rsidRDefault="00742F22" w:rsidP="00742F22">
            <w:pPr>
              <w:pStyle w:val="NormalWeb"/>
              <w:kinsoku w:val="0"/>
              <w:overflowPunct w:val="0"/>
              <w:spacing w:before="77" w:beforeAutospacing="0" w:after="0" w:afterAutospacing="0"/>
              <w:textAlignment w:val="baseline"/>
              <w:rPr>
                <w:sz w:val="22"/>
                <w:szCs w:val="22"/>
              </w:rPr>
            </w:pPr>
            <w:r w:rsidRPr="00742F22">
              <w:rPr>
                <w:rFonts w:ascii="Arial" w:eastAsia="+mn-ea" w:hAnsi="Arial" w:cs="Arial"/>
                <w:color w:val="10253F"/>
                <w:kern w:val="24"/>
                <w:sz w:val="22"/>
                <w:szCs w:val="22"/>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742F22" w:rsidRPr="00742F22" w:rsidRDefault="00742F22" w:rsidP="00742F22">
            <w:pPr>
              <w:rPr>
                <w:lang w:val="en-US"/>
              </w:rPr>
            </w:pPr>
            <w:r w:rsidRPr="00742F22">
              <w:rPr>
                <w:rFonts w:ascii="Arial" w:eastAsia="+mn-ea" w:hAnsi="Arial" w:cs="Arial"/>
                <w:color w:val="10253F"/>
                <w:kern w:val="24"/>
                <w:lang w:val="en-US"/>
              </w:rPr>
              <w:t>Further, please inform WHO of any modifications of these m</w:t>
            </w:r>
            <w:bookmarkStart w:id="0" w:name="_GoBack"/>
            <w:bookmarkEnd w:id="0"/>
            <w:r w:rsidRPr="00742F22">
              <w:rPr>
                <w:rFonts w:ascii="Arial" w:eastAsia="+mn-ea" w:hAnsi="Arial" w:cs="Arial"/>
                <w:color w:val="10253F"/>
                <w:kern w:val="24"/>
                <w:lang w:val="en-US"/>
              </w:rPr>
              <w:t xml:space="preserve">aterials that you use publicly, for record-keeping purposes and continued development, by emailing </w:t>
            </w:r>
            <w:hyperlink r:id="rId8" w:history="1">
              <w:r w:rsidRPr="00742F22">
                <w:rPr>
                  <w:rStyle w:val="Hyperlink"/>
                  <w:rFonts w:ascii="Arial" w:eastAsia="+mn-ea" w:hAnsi="Arial" w:cs="Arial"/>
                  <w:color w:val="10253F"/>
                  <w:kern w:val="24"/>
                  <w:lang w:val="en-US"/>
                </w:rPr>
                <w:t>ihrhrt@who.int</w:t>
              </w:r>
            </w:hyperlink>
            <w:r w:rsidRPr="00742F22">
              <w:rPr>
                <w:rFonts w:ascii="Arial" w:eastAsia="+mn-ea" w:hAnsi="Arial" w:cs="Arial"/>
                <w:color w:val="10253F"/>
                <w:kern w:val="24"/>
                <w:lang w:val="en-US"/>
              </w:rPr>
              <w:t>.</w:t>
            </w:r>
          </w:p>
        </w:tc>
      </w:tr>
    </w:tbl>
    <w:p w:rsidR="00026551" w:rsidRPr="00742F22" w:rsidRDefault="00026551" w:rsidP="00742F22">
      <w:pPr>
        <w:spacing w:after="0" w:line="240" w:lineRule="auto"/>
        <w:rPr>
          <w:lang w:val="en-US"/>
        </w:rPr>
      </w:pPr>
    </w:p>
    <w:sectPr w:rsidR="00026551" w:rsidRPr="00742F22">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F22" w:rsidRDefault="00742F22" w:rsidP="00742F22">
      <w:pPr>
        <w:spacing w:after="0" w:line="240" w:lineRule="auto"/>
      </w:pPr>
      <w:r>
        <w:separator/>
      </w:r>
    </w:p>
  </w:endnote>
  <w:endnote w:type="continuationSeparator" w:id="0">
    <w:p w:rsidR="00742F22" w:rsidRDefault="00742F22" w:rsidP="00742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F22" w:rsidRPr="00742F22" w:rsidRDefault="00742F22">
    <w:pPr>
      <w:pBdr>
        <w:left w:val="single" w:sz="12" w:space="11" w:color="4F81BD" w:themeColor="accent1"/>
      </w:pBdr>
      <w:tabs>
        <w:tab w:val="left" w:pos="622"/>
      </w:tabs>
      <w:spacing w:after="0"/>
      <w:rPr>
        <w:rFonts w:asciiTheme="majorHAnsi" w:eastAsiaTheme="majorEastAsia" w:hAnsiTheme="majorHAnsi" w:cstheme="majorBidi"/>
        <w:color w:val="365F91" w:themeColor="accent1" w:themeShade="BF"/>
        <w:sz w:val="20"/>
        <w:szCs w:val="20"/>
      </w:rPr>
    </w:pPr>
    <w:r w:rsidRPr="00742F22">
      <w:rPr>
        <w:rFonts w:asciiTheme="majorHAnsi" w:eastAsiaTheme="majorEastAsia" w:hAnsiTheme="majorHAnsi" w:cstheme="majorBidi"/>
        <w:color w:val="365F91" w:themeColor="accent1" w:themeShade="BF"/>
        <w:sz w:val="20"/>
        <w:szCs w:val="20"/>
      </w:rPr>
      <w:fldChar w:fldCharType="begin"/>
    </w:r>
    <w:r w:rsidRPr="00742F22">
      <w:rPr>
        <w:rFonts w:asciiTheme="majorHAnsi" w:eastAsiaTheme="majorEastAsia" w:hAnsiTheme="majorHAnsi" w:cstheme="majorBidi"/>
        <w:color w:val="365F91" w:themeColor="accent1" w:themeShade="BF"/>
        <w:sz w:val="20"/>
        <w:szCs w:val="20"/>
      </w:rPr>
      <w:instrText xml:space="preserve"> PAGE   \* MERGEFORMAT </w:instrText>
    </w:r>
    <w:r w:rsidRPr="00742F22">
      <w:rPr>
        <w:rFonts w:asciiTheme="majorHAnsi" w:eastAsiaTheme="majorEastAsia" w:hAnsiTheme="majorHAnsi" w:cstheme="majorBidi"/>
        <w:color w:val="365F91" w:themeColor="accent1" w:themeShade="BF"/>
        <w:sz w:val="20"/>
        <w:szCs w:val="20"/>
      </w:rPr>
      <w:fldChar w:fldCharType="separate"/>
    </w:r>
    <w:r w:rsidR="001404B5">
      <w:rPr>
        <w:rFonts w:asciiTheme="majorHAnsi" w:eastAsiaTheme="majorEastAsia" w:hAnsiTheme="majorHAnsi" w:cstheme="majorBidi"/>
        <w:noProof/>
        <w:color w:val="365F91" w:themeColor="accent1" w:themeShade="BF"/>
        <w:sz w:val="20"/>
        <w:szCs w:val="20"/>
      </w:rPr>
      <w:t>1</w:t>
    </w:r>
    <w:r w:rsidRPr="00742F22">
      <w:rPr>
        <w:rFonts w:asciiTheme="majorHAnsi" w:eastAsiaTheme="majorEastAsia" w:hAnsiTheme="majorHAnsi" w:cstheme="majorBidi"/>
        <w:noProof/>
        <w:color w:val="365F91" w:themeColor="accent1" w:themeShade="BF"/>
        <w:sz w:val="20"/>
        <w:szCs w:val="20"/>
      </w:rPr>
      <w:fldChar w:fldCharType="end"/>
    </w:r>
    <w:r w:rsidRPr="00742F22">
      <w:rPr>
        <w:rFonts w:asciiTheme="majorHAnsi" w:eastAsiaTheme="majorEastAsia" w:hAnsiTheme="majorHAnsi" w:cstheme="majorBidi"/>
        <w:noProof/>
        <w:color w:val="365F91" w:themeColor="accent1" w:themeShade="BF"/>
        <w:sz w:val="20"/>
        <w:szCs w:val="20"/>
      </w:rPr>
      <w:t xml:space="preserve"> WHO </w:t>
    </w:r>
    <w:r w:rsidR="001404B5">
      <w:rPr>
        <w:rFonts w:asciiTheme="majorHAnsi" w:eastAsiaTheme="majorEastAsia" w:hAnsiTheme="majorHAnsi" w:cstheme="majorBidi"/>
        <w:noProof/>
        <w:color w:val="365F91" w:themeColor="accent1" w:themeShade="BF"/>
        <w:sz w:val="20"/>
        <w:szCs w:val="20"/>
      </w:rPr>
      <w:t xml:space="preserve">EVD </w:t>
    </w:r>
    <w:r w:rsidRPr="00742F22">
      <w:rPr>
        <w:rFonts w:asciiTheme="majorHAnsi" w:eastAsiaTheme="majorEastAsia" w:hAnsiTheme="majorHAnsi" w:cstheme="majorBidi"/>
        <w:noProof/>
        <w:color w:val="365F91" w:themeColor="accent1" w:themeShade="BF"/>
        <w:sz w:val="20"/>
        <w:szCs w:val="20"/>
      </w:rPr>
      <w:t>RRT Training package –</w:t>
    </w:r>
    <w:r w:rsidR="001404B5">
      <w:rPr>
        <w:rFonts w:asciiTheme="majorHAnsi" w:eastAsiaTheme="majorEastAsia" w:hAnsiTheme="majorHAnsi" w:cstheme="majorBidi"/>
        <w:noProof/>
        <w:color w:val="365F91" w:themeColor="accent1" w:themeShade="BF"/>
        <w:sz w:val="20"/>
        <w:szCs w:val="20"/>
      </w:rPr>
      <w:t>B6 IPC – V3 22/05</w:t>
    </w:r>
    <w:r w:rsidRPr="00742F22">
      <w:rPr>
        <w:rFonts w:asciiTheme="majorHAnsi" w:eastAsiaTheme="majorEastAsia" w:hAnsiTheme="majorHAnsi" w:cstheme="majorBidi"/>
        <w:noProof/>
        <w:color w:val="365F91" w:themeColor="accent1" w:themeShade="BF"/>
        <w:sz w:val="20"/>
        <w:szCs w:val="20"/>
      </w:rPr>
      <w:t>/2018</w:t>
    </w:r>
  </w:p>
  <w:p w:rsidR="00742F22" w:rsidRDefault="00742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F22" w:rsidRDefault="00742F22" w:rsidP="00742F22">
      <w:pPr>
        <w:spacing w:after="0" w:line="240" w:lineRule="auto"/>
      </w:pPr>
      <w:r>
        <w:separator/>
      </w:r>
    </w:p>
  </w:footnote>
  <w:footnote w:type="continuationSeparator" w:id="0">
    <w:p w:rsidR="00742F22" w:rsidRDefault="00742F22" w:rsidP="00742F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734"/>
    <w:rsid w:val="00026551"/>
    <w:rsid w:val="00095CD5"/>
    <w:rsid w:val="000C4A94"/>
    <w:rsid w:val="001404B5"/>
    <w:rsid w:val="002324D3"/>
    <w:rsid w:val="00372AF2"/>
    <w:rsid w:val="0053271D"/>
    <w:rsid w:val="00742F22"/>
    <w:rsid w:val="007954F9"/>
    <w:rsid w:val="007D34A5"/>
    <w:rsid w:val="00891881"/>
    <w:rsid w:val="00943A9C"/>
    <w:rsid w:val="00A42AD5"/>
    <w:rsid w:val="00C76488"/>
    <w:rsid w:val="00D824DC"/>
    <w:rsid w:val="00E21734"/>
    <w:rsid w:val="00E87DE5"/>
    <w:rsid w:val="00F46869"/>
  </w:rsids>
  <m:mathPr>
    <m:mathFont m:val="Cambria Math"/>
    <m:brkBin m:val="before"/>
    <m:brkBinSub m:val="--"/>
    <m:smallFrac m:val="0"/>
    <m:dispDef/>
    <m:lMargin m:val="0"/>
    <m:rMargin m:val="0"/>
    <m:defJc m:val="centerGroup"/>
    <m:wrapIndent m:val="1440"/>
    <m:intLim m:val="subSup"/>
    <m:naryLim m:val="undOvr"/>
  </m:mathPr>
  <w:themeFontLang w:val="en-Z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1C922"/>
  <w15:docId w15:val="{72A313FD-ABBC-4411-B5BA-F3F7F400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1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1881"/>
    <w:rPr>
      <w:sz w:val="16"/>
      <w:szCs w:val="16"/>
    </w:rPr>
  </w:style>
  <w:style w:type="paragraph" w:styleId="CommentText">
    <w:name w:val="annotation text"/>
    <w:basedOn w:val="Normal"/>
    <w:link w:val="CommentTextChar"/>
    <w:uiPriority w:val="99"/>
    <w:semiHidden/>
    <w:unhideWhenUsed/>
    <w:rsid w:val="00891881"/>
    <w:pPr>
      <w:spacing w:line="240" w:lineRule="auto"/>
    </w:pPr>
    <w:rPr>
      <w:sz w:val="20"/>
      <w:szCs w:val="20"/>
    </w:rPr>
  </w:style>
  <w:style w:type="character" w:customStyle="1" w:styleId="CommentTextChar">
    <w:name w:val="Comment Text Char"/>
    <w:basedOn w:val="DefaultParagraphFont"/>
    <w:link w:val="CommentText"/>
    <w:uiPriority w:val="99"/>
    <w:semiHidden/>
    <w:rsid w:val="00891881"/>
    <w:rPr>
      <w:sz w:val="20"/>
      <w:szCs w:val="20"/>
    </w:rPr>
  </w:style>
  <w:style w:type="paragraph" w:styleId="CommentSubject">
    <w:name w:val="annotation subject"/>
    <w:basedOn w:val="CommentText"/>
    <w:next w:val="CommentText"/>
    <w:link w:val="CommentSubjectChar"/>
    <w:uiPriority w:val="99"/>
    <w:semiHidden/>
    <w:unhideWhenUsed/>
    <w:rsid w:val="00891881"/>
    <w:rPr>
      <w:b/>
      <w:bCs/>
    </w:rPr>
  </w:style>
  <w:style w:type="character" w:customStyle="1" w:styleId="CommentSubjectChar">
    <w:name w:val="Comment Subject Char"/>
    <w:basedOn w:val="CommentTextChar"/>
    <w:link w:val="CommentSubject"/>
    <w:uiPriority w:val="99"/>
    <w:semiHidden/>
    <w:rsid w:val="00891881"/>
    <w:rPr>
      <w:b/>
      <w:bCs/>
      <w:sz w:val="20"/>
      <w:szCs w:val="20"/>
    </w:rPr>
  </w:style>
  <w:style w:type="paragraph" w:styleId="BalloonText">
    <w:name w:val="Balloon Text"/>
    <w:basedOn w:val="Normal"/>
    <w:link w:val="BalloonTextChar"/>
    <w:uiPriority w:val="99"/>
    <w:semiHidden/>
    <w:unhideWhenUsed/>
    <w:rsid w:val="008918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881"/>
    <w:rPr>
      <w:rFonts w:ascii="Tahoma" w:hAnsi="Tahoma" w:cs="Tahoma"/>
      <w:sz w:val="16"/>
      <w:szCs w:val="16"/>
    </w:rPr>
  </w:style>
  <w:style w:type="paragraph" w:styleId="Header">
    <w:name w:val="header"/>
    <w:basedOn w:val="Normal"/>
    <w:link w:val="HeaderChar"/>
    <w:uiPriority w:val="99"/>
    <w:unhideWhenUsed/>
    <w:rsid w:val="00742F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2F22"/>
  </w:style>
  <w:style w:type="paragraph" w:styleId="Footer">
    <w:name w:val="footer"/>
    <w:basedOn w:val="Normal"/>
    <w:link w:val="FooterChar"/>
    <w:uiPriority w:val="99"/>
    <w:unhideWhenUsed/>
    <w:rsid w:val="00742F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2F22"/>
  </w:style>
  <w:style w:type="paragraph" w:styleId="NormalWeb">
    <w:name w:val="Normal (Web)"/>
    <w:basedOn w:val="Normal"/>
    <w:uiPriority w:val="99"/>
    <w:unhideWhenUsed/>
    <w:rsid w:val="00742F2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742F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7646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hrhrt@who.int" TargetMode="External"/><Relationship Id="rId3" Type="http://schemas.openxmlformats.org/officeDocument/2006/relationships/webSettings" Target="webSettings.xml"/><Relationship Id="rId7" Type="http://schemas.openxmlformats.org/officeDocument/2006/relationships/hyperlink" Target="https://extranet.who.int/hsl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xtranet.who.int/hslp/?q=content/terms-us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Shaheen Mehtar</dc:creator>
  <cp:lastModifiedBy>GOMEZ, Paula</cp:lastModifiedBy>
  <cp:revision>11</cp:revision>
  <dcterms:created xsi:type="dcterms:W3CDTF">2015-07-21T13:13:00Z</dcterms:created>
  <dcterms:modified xsi:type="dcterms:W3CDTF">2018-05-22T15:22:00Z</dcterms:modified>
</cp:coreProperties>
</file>