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6C" w:rsidRPr="00532AB1" w:rsidRDefault="00532AB1" w:rsidP="00532AB1">
      <w:pPr>
        <w:rPr>
          <w:lang w:val="es-CL"/>
        </w:rPr>
      </w:pPr>
      <w:r w:rsidRPr="00532AB1">
        <w:rPr>
          <w:lang w:val="es-CL"/>
        </w:rPr>
        <w:t>13,4% de la Población comunal corresponde a personas mayores de 65 años. Por otra parte, existen 14 Organizaciones Comunitarias activas: “Clubes de Adulto Mayor”, emplazadas en todo el territorio comunal: Ruralidad, Zona urbana y balneario.   Información que nos está permitiendo desarrollar políticas comunales en beneficio de las Personas Mayores.</w:t>
      </w:r>
      <w:bookmarkStart w:id="0" w:name="_GoBack"/>
      <w:bookmarkEnd w:id="0"/>
    </w:p>
    <w:sectPr w:rsidR="00B30D6C" w:rsidRPr="00532A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B1"/>
    <w:rsid w:val="00532AB1"/>
    <w:rsid w:val="00B3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17BE2-FDC6-484B-ADE5-2687C38E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2019-07-10T16:39:00Z</dcterms:created>
  <dcterms:modified xsi:type="dcterms:W3CDTF">2019-07-10T16:40:00Z</dcterms:modified>
</cp:coreProperties>
</file>