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BF" w:rsidRPr="00CC23BF" w:rsidRDefault="00CC23BF" w:rsidP="00CC2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8"/>
        <w:gridCol w:w="6190"/>
      </w:tblGrid>
      <w:tr w:rsidR="00CC23BF" w:rsidRPr="00CC23BF" w:rsidTr="00CC23B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3BF" w:rsidRPr="00CC23BF" w:rsidRDefault="00CC23BF" w:rsidP="00CC23BF">
            <w:pPr>
              <w:spacing w:after="16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C23BF">
              <w:rPr>
                <w:rFonts w:ascii="Calibri" w:eastAsia="Times New Roman" w:hAnsi="Calibri" w:cs="Calibri"/>
                <w:color w:val="000000"/>
                <w:lang w:eastAsia="es-CL"/>
              </w:rPr>
              <w:t>Adjunte resultados  si ha realizado alguna evaluación o investigación  en su comuna vinculados a las personas mayores.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23BF" w:rsidRPr="00CC23BF" w:rsidRDefault="00CC23BF" w:rsidP="00C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 xml:space="preserve">La Comuna ha desarrollo de diagnósticos comunales de personas mayores siendo La población de personas mayores (de 60 años de edad y más) que viven en la comuna alcanza al 22.6% del total de la población. Predominando las personas del sexo femenino. En tanto la población adulta clasificada entre los 40 a 59 años de edad, alcanza al 27% del total de la comuna.  </w:t>
            </w:r>
            <w:proofErr w:type="gramStart"/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>lo</w:t>
            </w:r>
            <w:proofErr w:type="gramEnd"/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 xml:space="preserve"> que permite visualizar que la población de la comuna va envejeciendo, un reflejo de ello es que el porcentaje de niños y adolescente alcanza solo el 13,3% del total de la población Acorde a la tendencia presentada, por grupos de edad, las proyecciones de población (años 2005 y 2020) para la comuna de Cartagena indican que el quinquenio de 55-59 años sería el que presentase un crecimiento positivo mayor. (PLADECO, 2015-2020) Por su parte, se proyecta que en los tramos </w:t>
            </w:r>
            <w:proofErr w:type="spellStart"/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>etáreos</w:t>
            </w:r>
            <w:proofErr w:type="spellEnd"/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 xml:space="preserve"> de niños entre 0-4 años existirá un aumento hacia el año 2020, mientras que los quinquenios 5-9; 10-14; 15-19 y 20-24 presentan un crecimiento negativo, coherente a la tendencia decreciente de la población infantil y juvenil del país. Se destaca también una variación </w:t>
            </w:r>
            <w:proofErr w:type="spellStart"/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>intercensal</w:t>
            </w:r>
            <w:proofErr w:type="spellEnd"/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 xml:space="preserve"> negativa en los tramos 40 y 44 años.</w:t>
            </w:r>
          </w:p>
          <w:p w:rsidR="00CC23BF" w:rsidRPr="00CC23BF" w:rsidRDefault="00CC23BF" w:rsidP="00CC23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CC23BF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</w:tbl>
    <w:p w:rsidR="00515E8D" w:rsidRDefault="00515E8D"/>
    <w:sectPr w:rsidR="00515E8D" w:rsidSect="00515E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0BC"/>
    <w:rsid w:val="001F40BC"/>
    <w:rsid w:val="00515E8D"/>
    <w:rsid w:val="00BD6EF2"/>
    <w:rsid w:val="00CC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E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5778">
          <w:marLeft w:val="-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Censo 1</dc:creator>
  <cp:lastModifiedBy>Censo 1</cp:lastModifiedBy>
  <cp:revision>2</cp:revision>
  <dcterms:created xsi:type="dcterms:W3CDTF">2019-07-10T16:24:00Z</dcterms:created>
  <dcterms:modified xsi:type="dcterms:W3CDTF">2019-07-10T16:24:00Z</dcterms:modified>
</cp:coreProperties>
</file>