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D52" w:rsidRPr="00660278" w:rsidRDefault="00D81D52" w:rsidP="00D81D52">
      <w:pPr>
        <w:spacing w:after="0" w:line="240" w:lineRule="auto"/>
        <w:jc w:val="center"/>
        <w:rPr>
          <w:rFonts w:cs="Calibri"/>
          <w:b/>
          <w:sz w:val="28"/>
          <w:szCs w:val="28"/>
          <w:u w:val="single"/>
        </w:rPr>
      </w:pPr>
      <w:r w:rsidRPr="00660278">
        <w:rPr>
          <w:rFonts w:cs="Calibri"/>
          <w:b/>
          <w:sz w:val="28"/>
          <w:szCs w:val="28"/>
          <w:u w:val="single"/>
        </w:rPr>
        <w:t>DIAGNÓSTICO COMUNAL DE YUMBEL</w:t>
      </w:r>
    </w:p>
    <w:p w:rsidR="00D81D52" w:rsidRPr="00D452CF" w:rsidRDefault="00D81D52" w:rsidP="00D452CF">
      <w:pPr>
        <w:spacing w:after="0" w:line="240" w:lineRule="auto"/>
        <w:jc w:val="both"/>
        <w:rPr>
          <w:rFonts w:cs="Calibri"/>
        </w:rPr>
      </w:pPr>
    </w:p>
    <w:p w:rsidR="00D70A3C" w:rsidRDefault="00D70A3C" w:rsidP="00D452CF">
      <w:pPr>
        <w:pStyle w:val="Ttulo2"/>
        <w:spacing w:before="0" w:after="0" w:line="240" w:lineRule="auto"/>
        <w:rPr>
          <w:rFonts w:asciiTheme="minorHAnsi" w:hAnsiTheme="minorHAnsi" w:cs="Arial"/>
          <w:b w:val="0"/>
          <w:i w:val="0"/>
          <w:sz w:val="22"/>
          <w:szCs w:val="22"/>
        </w:rPr>
      </w:pPr>
      <w:r w:rsidRPr="00D452CF">
        <w:rPr>
          <w:rFonts w:asciiTheme="minorHAnsi" w:hAnsiTheme="minorHAnsi" w:cs="Arial"/>
          <w:b w:val="0"/>
          <w:i w:val="0"/>
          <w:sz w:val="22"/>
          <w:szCs w:val="22"/>
        </w:rPr>
        <w:t>Este Diagnóstico fue realizado durante el año 2019 por el CESFAM Francisco Vidal Muñoz</w:t>
      </w:r>
      <w:r w:rsidR="00D452CF">
        <w:rPr>
          <w:rFonts w:asciiTheme="minorHAnsi" w:hAnsiTheme="minorHAnsi" w:cs="Arial"/>
          <w:b w:val="0"/>
          <w:i w:val="0"/>
          <w:sz w:val="22"/>
          <w:szCs w:val="22"/>
        </w:rPr>
        <w:t xml:space="preserve">, </w:t>
      </w:r>
      <w:r w:rsidRPr="00D452CF">
        <w:rPr>
          <w:rFonts w:asciiTheme="minorHAnsi" w:hAnsiTheme="minorHAnsi" w:cs="Arial"/>
          <w:b w:val="0"/>
          <w:i w:val="0"/>
          <w:sz w:val="22"/>
          <w:szCs w:val="22"/>
        </w:rPr>
        <w:t xml:space="preserve"> además </w:t>
      </w:r>
      <w:r w:rsidR="008F264D">
        <w:rPr>
          <w:rFonts w:asciiTheme="minorHAnsi" w:hAnsiTheme="minorHAnsi" w:cs="Arial"/>
          <w:b w:val="0"/>
          <w:i w:val="0"/>
          <w:sz w:val="22"/>
          <w:szCs w:val="22"/>
        </w:rPr>
        <w:t xml:space="preserve">se incorpora información proporcionada </w:t>
      </w:r>
      <w:r w:rsidRPr="00D452CF">
        <w:rPr>
          <w:rFonts w:asciiTheme="minorHAnsi" w:hAnsiTheme="minorHAnsi" w:cs="Arial"/>
          <w:b w:val="0"/>
          <w:i w:val="0"/>
          <w:sz w:val="22"/>
          <w:szCs w:val="22"/>
        </w:rPr>
        <w:t xml:space="preserve">por el </w:t>
      </w:r>
      <w:proofErr w:type="spellStart"/>
      <w:r w:rsidRPr="00D452CF">
        <w:rPr>
          <w:rFonts w:asciiTheme="minorHAnsi" w:hAnsiTheme="minorHAnsi" w:cs="Arial"/>
          <w:b w:val="0"/>
          <w:i w:val="0"/>
          <w:sz w:val="22"/>
          <w:szCs w:val="22"/>
        </w:rPr>
        <w:t>Depto</w:t>
      </w:r>
      <w:proofErr w:type="spellEnd"/>
      <w:r w:rsidRPr="00D452CF">
        <w:rPr>
          <w:rFonts w:asciiTheme="minorHAnsi" w:hAnsiTheme="minorHAnsi" w:cs="Arial"/>
          <w:b w:val="0"/>
          <w:i w:val="0"/>
          <w:sz w:val="22"/>
          <w:szCs w:val="22"/>
        </w:rPr>
        <w:t xml:space="preserve"> de Salud Municipal</w:t>
      </w:r>
      <w:r w:rsidR="00D452CF">
        <w:rPr>
          <w:rFonts w:asciiTheme="minorHAnsi" w:hAnsiTheme="minorHAnsi" w:cs="Arial"/>
          <w:b w:val="0"/>
          <w:i w:val="0"/>
          <w:sz w:val="22"/>
          <w:szCs w:val="22"/>
        </w:rPr>
        <w:t xml:space="preserve"> y el H</w:t>
      </w:r>
      <w:r w:rsidR="00D452CF" w:rsidRPr="00D452CF">
        <w:rPr>
          <w:rFonts w:asciiTheme="minorHAnsi" w:hAnsiTheme="minorHAnsi" w:cs="Arial"/>
          <w:b w:val="0"/>
          <w:i w:val="0"/>
          <w:sz w:val="22"/>
          <w:szCs w:val="22"/>
        </w:rPr>
        <w:t>ospital de Yumbel.</w:t>
      </w:r>
    </w:p>
    <w:p w:rsidR="00D452CF" w:rsidRPr="00D452CF" w:rsidRDefault="00D452CF" w:rsidP="00D452CF">
      <w:pPr>
        <w:spacing w:after="0" w:line="240" w:lineRule="auto"/>
        <w:rPr>
          <w:sz w:val="16"/>
          <w:szCs w:val="16"/>
        </w:rPr>
      </w:pPr>
    </w:p>
    <w:p w:rsidR="00D70A3C" w:rsidRPr="00D452CF" w:rsidRDefault="00D452CF" w:rsidP="00D452CF">
      <w:pPr>
        <w:shd w:val="clear" w:color="auto" w:fill="FFFFFF"/>
        <w:spacing w:after="0" w:line="240" w:lineRule="auto"/>
        <w:ind w:hanging="284"/>
        <w:jc w:val="both"/>
        <w:rPr>
          <w:rFonts w:asciiTheme="minorHAnsi" w:eastAsia="Times New Roman" w:hAnsiTheme="minorHAnsi" w:cs="Arial"/>
          <w:color w:val="222222"/>
          <w:lang w:val="es-MX" w:eastAsia="es-MX"/>
        </w:rPr>
      </w:pPr>
      <w:r>
        <w:rPr>
          <w:rFonts w:asciiTheme="minorHAnsi" w:eastAsia="Times New Roman" w:hAnsiTheme="minorHAnsi" w:cs="Arial"/>
          <w:color w:val="222222"/>
          <w:lang w:val="es-MX" w:eastAsia="es-MX"/>
        </w:rPr>
        <w:t xml:space="preserve">      L</w:t>
      </w:r>
      <w:r w:rsidRPr="00D452CF">
        <w:rPr>
          <w:rFonts w:asciiTheme="minorHAnsi" w:eastAsia="Times New Roman" w:hAnsiTheme="minorHAnsi" w:cs="Arial"/>
          <w:color w:val="222222"/>
          <w:lang w:val="es-MX" w:eastAsia="es-MX"/>
        </w:rPr>
        <w:t xml:space="preserve">a información sobre población adulto mayor es por establecimiento de salud validada por </w:t>
      </w:r>
      <w:proofErr w:type="spellStart"/>
      <w:r w:rsidRPr="00D452CF">
        <w:rPr>
          <w:rFonts w:asciiTheme="minorHAnsi" w:eastAsia="Times New Roman" w:hAnsiTheme="minorHAnsi" w:cs="Arial"/>
          <w:color w:val="222222"/>
          <w:lang w:val="es-MX" w:eastAsia="es-MX"/>
        </w:rPr>
        <w:t>FONASA</w:t>
      </w:r>
      <w:proofErr w:type="spellEnd"/>
      <w:r w:rsidRPr="00D452CF">
        <w:rPr>
          <w:rFonts w:asciiTheme="minorHAnsi" w:eastAsia="Times New Roman" w:hAnsiTheme="minorHAnsi" w:cs="Arial"/>
          <w:color w:val="222222"/>
          <w:lang w:val="es-MX" w:eastAsia="es-MX"/>
        </w:rPr>
        <w:t xml:space="preserve"> a febrero 2019, el numero de adultos mayores con dependencia severa por establecimiento de salud según REM y diagnostico comunal que solicitó </w:t>
      </w:r>
      <w:r>
        <w:rPr>
          <w:rFonts w:asciiTheme="minorHAnsi" w:eastAsia="Times New Roman" w:hAnsiTheme="minorHAnsi" w:cs="Arial"/>
          <w:color w:val="222222"/>
          <w:lang w:val="es-MX" w:eastAsia="es-MX"/>
        </w:rPr>
        <w:t xml:space="preserve">EL Servicio de Salud </w:t>
      </w:r>
      <w:proofErr w:type="spellStart"/>
      <w:r>
        <w:rPr>
          <w:rFonts w:asciiTheme="minorHAnsi" w:eastAsia="Times New Roman" w:hAnsiTheme="minorHAnsi" w:cs="Arial"/>
          <w:color w:val="222222"/>
          <w:lang w:val="es-MX" w:eastAsia="es-MX"/>
        </w:rPr>
        <w:t>Bío</w:t>
      </w:r>
      <w:proofErr w:type="spellEnd"/>
      <w:r>
        <w:rPr>
          <w:rFonts w:asciiTheme="minorHAnsi" w:eastAsia="Times New Roman" w:hAnsiTheme="minorHAnsi" w:cs="Arial"/>
          <w:color w:val="222222"/>
          <w:lang w:val="es-MX" w:eastAsia="es-MX"/>
        </w:rPr>
        <w:t xml:space="preserve"> </w:t>
      </w:r>
      <w:proofErr w:type="spellStart"/>
      <w:r>
        <w:rPr>
          <w:rFonts w:asciiTheme="minorHAnsi" w:eastAsia="Times New Roman" w:hAnsiTheme="minorHAnsi" w:cs="Arial"/>
          <w:color w:val="222222"/>
          <w:lang w:val="es-MX" w:eastAsia="es-MX"/>
        </w:rPr>
        <w:t>Bio</w:t>
      </w:r>
      <w:proofErr w:type="spellEnd"/>
      <w:r w:rsidRPr="00D452CF">
        <w:rPr>
          <w:rFonts w:asciiTheme="minorHAnsi" w:eastAsia="Times New Roman" w:hAnsiTheme="minorHAnsi" w:cs="Arial"/>
          <w:color w:val="222222"/>
          <w:lang w:val="es-MX" w:eastAsia="es-MX"/>
        </w:rPr>
        <w:t xml:space="preserve"> en el mes de abril del presente.</w:t>
      </w:r>
    </w:p>
    <w:p w:rsidR="00D452CF" w:rsidRPr="00D70A3C" w:rsidRDefault="00D452CF" w:rsidP="00D452CF">
      <w:pPr>
        <w:shd w:val="clear" w:color="auto" w:fill="FFFFFF"/>
        <w:spacing w:after="0" w:line="190" w:lineRule="atLeast"/>
        <w:jc w:val="both"/>
        <w:rPr>
          <w:rFonts w:ascii="Arial" w:eastAsia="Times New Roman" w:hAnsi="Arial" w:cs="Arial"/>
          <w:color w:val="222222"/>
          <w:sz w:val="16"/>
          <w:szCs w:val="16"/>
          <w:lang w:val="es-MX" w:eastAsia="es-MX"/>
        </w:rPr>
      </w:pPr>
    </w:p>
    <w:p w:rsidR="00D81D52" w:rsidRDefault="00D81D52" w:rsidP="00D452CF">
      <w:pPr>
        <w:pStyle w:val="Ttulo2"/>
        <w:numPr>
          <w:ilvl w:val="0"/>
          <w:numId w:val="4"/>
        </w:numPr>
        <w:spacing w:after="0" w:line="240" w:lineRule="auto"/>
        <w:ind w:left="284" w:hanging="284"/>
        <w:jc w:val="both"/>
        <w:rPr>
          <w:rFonts w:ascii="Calibri" w:hAnsi="Calibri" w:cs="Calibri"/>
          <w:i w:val="0"/>
          <w:sz w:val="22"/>
          <w:szCs w:val="22"/>
        </w:rPr>
      </w:pPr>
      <w:r w:rsidRPr="00D81D52">
        <w:rPr>
          <w:rFonts w:ascii="Calibri" w:hAnsi="Calibri" w:cs="Calibri"/>
          <w:i w:val="0"/>
          <w:sz w:val="22"/>
          <w:szCs w:val="22"/>
        </w:rPr>
        <w:t>Aspectos Económicos</w:t>
      </w:r>
    </w:p>
    <w:p w:rsidR="00D81D52" w:rsidRPr="00D81D52" w:rsidRDefault="00D81D52" w:rsidP="00D81D52">
      <w:pPr>
        <w:pStyle w:val="Ttulo2"/>
        <w:spacing w:before="0" w:after="0" w:line="240" w:lineRule="auto"/>
        <w:jc w:val="both"/>
        <w:rPr>
          <w:rFonts w:ascii="Calibri" w:hAnsi="Calibri" w:cs="Calibri"/>
          <w:b w:val="0"/>
          <w:i w:val="0"/>
          <w:sz w:val="22"/>
          <w:szCs w:val="22"/>
        </w:rPr>
      </w:pPr>
      <w:r w:rsidRPr="00D81D52">
        <w:rPr>
          <w:rFonts w:ascii="Calibri" w:hAnsi="Calibri" w:cs="Calibri"/>
          <w:b w:val="0"/>
          <w:i w:val="0"/>
          <w:sz w:val="22"/>
          <w:szCs w:val="22"/>
        </w:rPr>
        <w:t>La actividad económica más importante en la comuna de Yumbel es la agricultura, puesto</w:t>
      </w:r>
      <w:r>
        <w:rPr>
          <w:rFonts w:ascii="Calibri" w:hAnsi="Calibri" w:cs="Calibri"/>
          <w:b w:val="0"/>
          <w:i w:val="0"/>
          <w:sz w:val="22"/>
          <w:szCs w:val="22"/>
        </w:rPr>
        <w:t xml:space="preserve"> </w:t>
      </w:r>
      <w:r w:rsidRPr="00D81D52">
        <w:rPr>
          <w:rFonts w:ascii="Calibri" w:hAnsi="Calibri" w:cs="Calibri"/>
          <w:b w:val="0"/>
          <w:i w:val="0"/>
          <w:sz w:val="22"/>
          <w:szCs w:val="22"/>
        </w:rPr>
        <w:t>que emplea al 52% de los ocupados, en un 2 lugar se encuentra el sector servicios con un</w:t>
      </w:r>
      <w:r>
        <w:rPr>
          <w:rFonts w:ascii="Calibri" w:hAnsi="Calibri" w:cs="Calibri"/>
          <w:b w:val="0"/>
          <w:i w:val="0"/>
          <w:sz w:val="22"/>
          <w:szCs w:val="22"/>
        </w:rPr>
        <w:t xml:space="preserve"> </w:t>
      </w:r>
      <w:r w:rsidRPr="00D81D52">
        <w:rPr>
          <w:rFonts w:ascii="Calibri" w:hAnsi="Calibri" w:cs="Calibri"/>
          <w:b w:val="0"/>
          <w:i w:val="0"/>
          <w:sz w:val="22"/>
          <w:szCs w:val="22"/>
        </w:rPr>
        <w:t>13% (administración pública, carabineros, enseñanza y actividades de servicios sociales y</w:t>
      </w:r>
      <w:r>
        <w:rPr>
          <w:rFonts w:ascii="Calibri" w:hAnsi="Calibri" w:cs="Calibri"/>
          <w:b w:val="0"/>
          <w:i w:val="0"/>
          <w:sz w:val="22"/>
          <w:szCs w:val="22"/>
        </w:rPr>
        <w:t xml:space="preserve"> </w:t>
      </w:r>
      <w:r w:rsidRPr="00D81D52">
        <w:rPr>
          <w:rFonts w:ascii="Calibri" w:hAnsi="Calibri" w:cs="Calibri"/>
          <w:b w:val="0"/>
          <w:i w:val="0"/>
          <w:sz w:val="22"/>
          <w:szCs w:val="22"/>
        </w:rPr>
        <w:t>salud), distribuyendo en porcentajes muy bajos la ocupación en las otras ramas de</w:t>
      </w:r>
      <w:r>
        <w:rPr>
          <w:rFonts w:ascii="Calibri" w:hAnsi="Calibri" w:cs="Calibri"/>
          <w:b w:val="0"/>
          <w:i w:val="0"/>
          <w:sz w:val="22"/>
          <w:szCs w:val="22"/>
        </w:rPr>
        <w:t xml:space="preserve"> </w:t>
      </w:r>
      <w:r w:rsidRPr="00D81D52">
        <w:rPr>
          <w:rFonts w:ascii="Calibri" w:hAnsi="Calibri" w:cs="Calibri"/>
          <w:b w:val="0"/>
          <w:i w:val="0"/>
          <w:sz w:val="22"/>
          <w:szCs w:val="22"/>
        </w:rPr>
        <w:t>actividades económicas.</w:t>
      </w:r>
    </w:p>
    <w:p w:rsidR="00D81D52" w:rsidRDefault="00D81D52" w:rsidP="00D81D52">
      <w:pPr>
        <w:pStyle w:val="Ttulo2"/>
        <w:spacing w:before="0" w:after="0" w:line="240" w:lineRule="auto"/>
        <w:ind w:left="284"/>
        <w:jc w:val="both"/>
        <w:rPr>
          <w:rFonts w:ascii="Calibri" w:hAnsi="Calibri" w:cs="Calibri"/>
          <w:i w:val="0"/>
          <w:sz w:val="22"/>
          <w:szCs w:val="22"/>
        </w:rPr>
      </w:pPr>
    </w:p>
    <w:p w:rsidR="00BC71AB" w:rsidRPr="00D81D52" w:rsidRDefault="00BC71AB" w:rsidP="00D452CF">
      <w:pPr>
        <w:pStyle w:val="Ttulo2"/>
        <w:numPr>
          <w:ilvl w:val="0"/>
          <w:numId w:val="4"/>
        </w:numPr>
        <w:spacing w:before="0" w:after="0" w:line="240" w:lineRule="auto"/>
        <w:ind w:left="284" w:hanging="284"/>
        <w:jc w:val="both"/>
        <w:rPr>
          <w:rFonts w:ascii="Calibri" w:hAnsi="Calibri" w:cs="Calibri"/>
          <w:i w:val="0"/>
          <w:sz w:val="22"/>
          <w:szCs w:val="22"/>
        </w:rPr>
      </w:pPr>
      <w:r w:rsidRPr="00D81D52">
        <w:rPr>
          <w:rFonts w:ascii="Calibri" w:hAnsi="Calibri" w:cs="Calibri"/>
          <w:i w:val="0"/>
          <w:sz w:val="22"/>
          <w:szCs w:val="22"/>
        </w:rPr>
        <w:t>Población</w:t>
      </w:r>
    </w:p>
    <w:p w:rsidR="00BC71AB" w:rsidRPr="000E4A15" w:rsidRDefault="00BC71AB" w:rsidP="00BC71AB">
      <w:pPr>
        <w:spacing w:after="0" w:line="240" w:lineRule="auto"/>
        <w:jc w:val="both"/>
        <w:rPr>
          <w:rFonts w:cs="Calibri"/>
        </w:rPr>
      </w:pPr>
      <w:r w:rsidRPr="000E4A15">
        <w:rPr>
          <w:rFonts w:cs="Calibri"/>
        </w:rPr>
        <w:t>La comuna de Yumbel cuenta con una población total según datos del último CENSO de 21198 personas. De estos la población mayor de 65 años y más en la comuna es de 3.591 personas, siendo este valor el 16,94% de la población total, con un índice de envejecimiento mayor a la región (12,19%) y al país (11,40%).</w:t>
      </w:r>
    </w:p>
    <w:p w:rsidR="00BC71AB" w:rsidRPr="00C505DB" w:rsidRDefault="00BC71AB" w:rsidP="00BC71AB">
      <w:pPr>
        <w:pStyle w:val="Ttulo2"/>
        <w:spacing w:before="0" w:after="0" w:line="240" w:lineRule="auto"/>
        <w:jc w:val="both"/>
        <w:rPr>
          <w:rFonts w:ascii="Calibri" w:hAnsi="Calibri" w:cs="Calibri"/>
          <w:b w:val="0"/>
          <w:sz w:val="22"/>
          <w:szCs w:val="22"/>
        </w:rPr>
      </w:pPr>
    </w:p>
    <w:p w:rsidR="00BC71AB" w:rsidRPr="00D81D52" w:rsidRDefault="00BC71AB" w:rsidP="00D452CF">
      <w:pPr>
        <w:pStyle w:val="Ttulo2"/>
        <w:numPr>
          <w:ilvl w:val="0"/>
          <w:numId w:val="4"/>
        </w:numPr>
        <w:spacing w:before="0" w:after="0" w:line="240" w:lineRule="auto"/>
        <w:ind w:left="284" w:hanging="284"/>
        <w:jc w:val="both"/>
        <w:rPr>
          <w:rFonts w:ascii="Calibri" w:hAnsi="Calibri" w:cs="Calibri"/>
          <w:b w:val="0"/>
          <w:i w:val="0"/>
          <w:sz w:val="22"/>
          <w:szCs w:val="22"/>
        </w:rPr>
      </w:pPr>
      <w:r w:rsidRPr="00D81D52">
        <w:rPr>
          <w:rFonts w:ascii="Calibri" w:hAnsi="Calibri" w:cs="Calibri"/>
          <w:i w:val="0"/>
          <w:sz w:val="22"/>
          <w:szCs w:val="22"/>
        </w:rPr>
        <w:t>Situación socioeconómica</w:t>
      </w:r>
    </w:p>
    <w:p w:rsidR="00BC71AB" w:rsidRDefault="00BC71AB" w:rsidP="00BC71AB">
      <w:pPr>
        <w:spacing w:after="0" w:line="240" w:lineRule="auto"/>
        <w:jc w:val="both"/>
      </w:pPr>
      <w:r w:rsidRPr="000E4A15">
        <w:t xml:space="preserve">La comuna de Yumbel cuenta con 7.454 hogares con </w:t>
      </w:r>
      <w:proofErr w:type="spellStart"/>
      <w:r w:rsidRPr="000E4A15">
        <w:t>RSH</w:t>
      </w:r>
      <w:proofErr w:type="spellEnd"/>
      <w:r w:rsidRPr="000E4A15">
        <w:t xml:space="preserve">, representando una población de 19.603 habitantes estratificados, de ellos 10.389 son mujeres y 9.214 varones, además indica que en la comuna residen 4.309 menores de 17 años y 4.401 adultos mayores. </w:t>
      </w:r>
    </w:p>
    <w:p w:rsidR="00D81D52" w:rsidRPr="000E4A15" w:rsidRDefault="00D81D52" w:rsidP="00BC71AB">
      <w:pPr>
        <w:spacing w:after="0" w:line="240" w:lineRule="auto"/>
        <w:jc w:val="both"/>
      </w:pPr>
    </w:p>
    <w:p w:rsidR="00BC71AB" w:rsidRDefault="00BC71AB" w:rsidP="00BC71AB">
      <w:pPr>
        <w:spacing w:after="0" w:line="240" w:lineRule="auto"/>
        <w:jc w:val="both"/>
      </w:pPr>
      <w:r w:rsidRPr="000E4A15">
        <w:t xml:space="preserve">La totalidad de la población encuestada se estratifica de la siguiente manera: </w:t>
      </w:r>
    </w:p>
    <w:p w:rsidR="00BC71AB" w:rsidRPr="000E4A15" w:rsidRDefault="00BC71AB" w:rsidP="00BC71AB">
      <w:pPr>
        <w:spacing w:after="0" w:line="240" w:lineRule="auto"/>
        <w:jc w:val="both"/>
      </w:pPr>
      <w:r w:rsidRPr="000E4A15">
        <w:sym w:font="Symbol" w:char="F0B7"/>
      </w:r>
      <w:r w:rsidRPr="000E4A15">
        <w:t xml:space="preserve"> 13.330 usuarios califican en el 1° tramo, es decir, dentro del 40% de menores ingresos y mayor vulnerabilidad, equivalente al 68% de la población encuestada.</w:t>
      </w:r>
    </w:p>
    <w:p w:rsidR="00BC71AB" w:rsidRPr="000E4A15" w:rsidRDefault="00BC71AB" w:rsidP="00BC71AB">
      <w:pPr>
        <w:spacing w:after="0" w:line="240" w:lineRule="auto"/>
        <w:jc w:val="both"/>
      </w:pPr>
      <w:r w:rsidRPr="000E4A15">
        <w:t xml:space="preserve"> </w:t>
      </w:r>
      <w:r w:rsidRPr="000E4A15">
        <w:sym w:font="Symbol" w:char="F0B7"/>
      </w:r>
      <w:r w:rsidRPr="000E4A15">
        <w:t xml:space="preserve"> 1.675 usuarios, califican en el 2° tramo, es decir, entre el 41% y 50%, correspondiente al 8,5 % de la población encuestada. </w:t>
      </w:r>
    </w:p>
    <w:p w:rsidR="00BC71AB" w:rsidRPr="000E4A15" w:rsidRDefault="00BC71AB" w:rsidP="00BC71AB">
      <w:pPr>
        <w:spacing w:after="0" w:line="240" w:lineRule="auto"/>
        <w:jc w:val="both"/>
      </w:pPr>
      <w:r w:rsidRPr="000E4A15">
        <w:sym w:font="Symbol" w:char="F0B7"/>
      </w:r>
      <w:r w:rsidRPr="000E4A15">
        <w:t xml:space="preserve"> 1.276 usuarios, califican en el 3° tramo, es decir, entre el 51% y 60%, correspondiente al 6.5% de la población encuestada.</w:t>
      </w:r>
    </w:p>
    <w:p w:rsidR="00BC71AB" w:rsidRPr="000E4A15" w:rsidRDefault="00BC71AB" w:rsidP="00BC71AB">
      <w:pPr>
        <w:spacing w:after="0" w:line="240" w:lineRule="auto"/>
        <w:jc w:val="both"/>
      </w:pPr>
      <w:r w:rsidRPr="000E4A15">
        <w:t xml:space="preserve"> </w:t>
      </w:r>
      <w:r w:rsidRPr="000E4A15">
        <w:sym w:font="Symbol" w:char="F0B7"/>
      </w:r>
      <w:r w:rsidRPr="000E4A15">
        <w:t xml:space="preserve"> 1.110 usuarios, califican en el 4° tramo, es decir, entre el 61% y 70%, correspondiente al 5,5% de la población encuestada. </w:t>
      </w:r>
    </w:p>
    <w:p w:rsidR="00BC71AB" w:rsidRPr="000E4A15" w:rsidRDefault="00BC71AB" w:rsidP="00BC71AB">
      <w:pPr>
        <w:spacing w:after="0" w:line="240" w:lineRule="auto"/>
        <w:jc w:val="both"/>
      </w:pPr>
      <w:r w:rsidRPr="000E4A15">
        <w:sym w:font="Symbol" w:char="F0B7"/>
      </w:r>
      <w:r w:rsidRPr="000E4A15">
        <w:t xml:space="preserve"> 962 usuarios, califican en el 5° tramo, es decir, entre el 71% y 80%, correspondiente al 5% de la población encuestada. </w:t>
      </w:r>
    </w:p>
    <w:p w:rsidR="00BC71AB" w:rsidRPr="000E4A15" w:rsidRDefault="00BC71AB" w:rsidP="00BC71AB">
      <w:pPr>
        <w:spacing w:after="0" w:line="240" w:lineRule="auto"/>
        <w:jc w:val="both"/>
      </w:pPr>
      <w:r w:rsidRPr="000E4A15">
        <w:sym w:font="Symbol" w:char="F0B7"/>
      </w:r>
      <w:r w:rsidRPr="000E4A15">
        <w:t xml:space="preserve"> 927 usuarios, califican en el 6° tramo, es decir, entre el 81% y 90%, correspondiente al 5% de la población encuestada.</w:t>
      </w:r>
    </w:p>
    <w:p w:rsidR="00BC71AB" w:rsidRDefault="00BC71AB" w:rsidP="00BC71AB">
      <w:pPr>
        <w:spacing w:after="0" w:line="240" w:lineRule="auto"/>
        <w:jc w:val="both"/>
      </w:pPr>
      <w:r w:rsidRPr="000E4A15">
        <w:t xml:space="preserve"> </w:t>
      </w:r>
      <w:r w:rsidRPr="000E4A15">
        <w:sym w:font="Symbol" w:char="F0B7"/>
      </w:r>
      <w:r w:rsidRPr="000E4A15">
        <w:t xml:space="preserve"> 323 usuarios, califican en el 7° y último tramo, entre el 91% y 100% de mayores ingresos y menor vulnerabilidad, correspo</w:t>
      </w:r>
      <w:r>
        <w:t>ndiente al 1,5% de la población.</w:t>
      </w:r>
    </w:p>
    <w:p w:rsidR="00BC71AB" w:rsidRDefault="00BC71AB" w:rsidP="00BC71AB">
      <w:pPr>
        <w:tabs>
          <w:tab w:val="left" w:pos="1070"/>
        </w:tabs>
        <w:spacing w:after="0" w:line="240" w:lineRule="auto"/>
        <w:jc w:val="both"/>
      </w:pPr>
      <w:r>
        <w:tab/>
      </w:r>
    </w:p>
    <w:p w:rsidR="00BC71AB" w:rsidRDefault="00BC71AB" w:rsidP="00BC71AB">
      <w:pPr>
        <w:spacing w:after="0" w:line="240" w:lineRule="auto"/>
        <w:jc w:val="both"/>
      </w:pPr>
    </w:p>
    <w:p w:rsidR="00BC71AB" w:rsidRDefault="00BC71AB" w:rsidP="00D452CF">
      <w:pPr>
        <w:pStyle w:val="Ttulo3"/>
        <w:numPr>
          <w:ilvl w:val="0"/>
          <w:numId w:val="4"/>
        </w:numPr>
        <w:spacing w:before="0" w:after="0" w:line="240" w:lineRule="auto"/>
        <w:ind w:left="284" w:hanging="284"/>
        <w:jc w:val="both"/>
        <w:rPr>
          <w:rFonts w:ascii="Calibri" w:hAnsi="Calibri" w:cs="Calibri"/>
          <w:sz w:val="22"/>
          <w:szCs w:val="22"/>
        </w:rPr>
      </w:pPr>
      <w:r w:rsidRPr="00D81D52">
        <w:rPr>
          <w:rFonts w:ascii="Calibri" w:hAnsi="Calibri" w:cs="Calibri"/>
          <w:sz w:val="22"/>
          <w:szCs w:val="22"/>
        </w:rPr>
        <w:t>Participación social</w:t>
      </w:r>
    </w:p>
    <w:p w:rsidR="00660278" w:rsidRPr="00660278" w:rsidRDefault="00660278" w:rsidP="00660278">
      <w:pPr>
        <w:spacing w:after="0" w:line="240" w:lineRule="auto"/>
        <w:rPr>
          <w:sz w:val="8"/>
          <w:szCs w:val="8"/>
        </w:rPr>
      </w:pPr>
    </w:p>
    <w:p w:rsidR="00BC71AB" w:rsidRPr="000E4A15" w:rsidRDefault="00BC71AB" w:rsidP="00BC71AB">
      <w:pPr>
        <w:spacing w:after="0" w:line="240" w:lineRule="auto"/>
        <w:jc w:val="both"/>
        <w:rPr>
          <w:rFonts w:cs="Calibri"/>
        </w:rPr>
      </w:pPr>
      <w:r w:rsidRPr="000E4A15">
        <w:t>En la comuna de Yumbel, los adultos mayores se encuentran organizados en clubes y éstos se encuentran asociados a la Unión Comunal del Adulto Mayor (</w:t>
      </w:r>
      <w:proofErr w:type="spellStart"/>
      <w:r w:rsidRPr="000E4A15">
        <w:t>U.C.A.M</w:t>
      </w:r>
      <w:proofErr w:type="spellEnd"/>
      <w:r w:rsidRPr="000E4A15">
        <w:t xml:space="preserve">), que cuenta con 25 clubes, que agrupan alrededor de 500 adultos Mayores. Esta organización fue fundada el 4 de Enero de 2002 y tiene </w:t>
      </w:r>
      <w:r w:rsidRPr="000E4A15">
        <w:lastRenderedPageBreak/>
        <w:t xml:space="preserve">Personalidad jurídica vigente N° 01 del año 2002 del Registro Público. La Municipalidad de Yumbel cuenta con una Oficina de atención para del Adulto Mayor, cuyo objetivo es desarrollar programas y acciones enfocados a los adultos mayores de diferentes estratos socioeconómicos, apoyándolos a través del desarrollo de actividades que favorecen el </w:t>
      </w:r>
      <w:proofErr w:type="spellStart"/>
      <w:r w:rsidRPr="000E4A15">
        <w:t>autocuidado</w:t>
      </w:r>
      <w:proofErr w:type="spellEnd"/>
      <w:r w:rsidRPr="000E4A15">
        <w:t xml:space="preserve"> y la autoestima; además de reconocer sus derechos, fomentando con ello la participación social, la autovalencia y el envejecimiento activo, a través del adecuado uso del tiempo libre. Además se asesora y apoya a los diferentes clubes en la postulación de fondos concursables, ya sean, de tipo cultural, social y/o comunitario.</w:t>
      </w:r>
    </w:p>
    <w:p w:rsidR="00BC71AB" w:rsidRPr="000E4A15" w:rsidRDefault="00BC71AB" w:rsidP="00BC71AB">
      <w:pPr>
        <w:spacing w:after="0" w:line="240" w:lineRule="auto"/>
        <w:rPr>
          <w:rFonts w:cs="Calibri"/>
        </w:rPr>
      </w:pPr>
    </w:p>
    <w:p w:rsidR="00BC71AB" w:rsidRDefault="00BC71AB" w:rsidP="00D452CF">
      <w:pPr>
        <w:pStyle w:val="Ttulo2"/>
        <w:numPr>
          <w:ilvl w:val="0"/>
          <w:numId w:val="4"/>
        </w:numPr>
        <w:spacing w:before="0" w:after="0" w:line="240" w:lineRule="auto"/>
        <w:ind w:left="284" w:hanging="284"/>
        <w:rPr>
          <w:rFonts w:ascii="Calibri" w:hAnsi="Calibri" w:cs="Calibri"/>
          <w:i w:val="0"/>
          <w:sz w:val="22"/>
          <w:szCs w:val="22"/>
        </w:rPr>
      </w:pPr>
      <w:bookmarkStart w:id="0" w:name="_GoBack"/>
      <w:bookmarkEnd w:id="0"/>
      <w:r w:rsidRPr="00D81D52">
        <w:rPr>
          <w:rFonts w:ascii="Calibri" w:hAnsi="Calibri" w:cs="Calibri"/>
          <w:i w:val="0"/>
          <w:sz w:val="22"/>
          <w:szCs w:val="22"/>
        </w:rPr>
        <w:t>Situación de Salud</w:t>
      </w:r>
    </w:p>
    <w:p w:rsidR="00660278" w:rsidRPr="00660278" w:rsidRDefault="00660278" w:rsidP="00660278">
      <w:pPr>
        <w:spacing w:after="0"/>
        <w:rPr>
          <w:sz w:val="4"/>
          <w:szCs w:val="4"/>
        </w:rPr>
      </w:pPr>
    </w:p>
    <w:p w:rsidR="00BC71AB" w:rsidRDefault="00BC71AB" w:rsidP="00660278">
      <w:pPr>
        <w:spacing w:after="0" w:line="240" w:lineRule="auto"/>
        <w:jc w:val="both"/>
        <w:rPr>
          <w:rFonts w:cs="Calibri"/>
        </w:rPr>
      </w:pPr>
      <w:r w:rsidRPr="000E4A15">
        <w:rPr>
          <w:rFonts w:cs="Calibri"/>
        </w:rPr>
        <w:t xml:space="preserve">Territorialmente depende del Servicio de Salud </w:t>
      </w:r>
      <w:proofErr w:type="spellStart"/>
      <w:r w:rsidRPr="000E4A15">
        <w:rPr>
          <w:rFonts w:cs="Calibri"/>
        </w:rPr>
        <w:t>Bio</w:t>
      </w:r>
      <w:proofErr w:type="spellEnd"/>
      <w:r w:rsidRPr="000E4A15">
        <w:rPr>
          <w:rFonts w:cs="Calibri"/>
        </w:rPr>
        <w:t xml:space="preserve"> </w:t>
      </w:r>
      <w:proofErr w:type="spellStart"/>
      <w:r w:rsidRPr="000E4A15">
        <w:rPr>
          <w:rFonts w:cs="Calibri"/>
        </w:rPr>
        <w:t>Bio</w:t>
      </w:r>
      <w:proofErr w:type="spellEnd"/>
      <w:r w:rsidRPr="000E4A15">
        <w:rPr>
          <w:rFonts w:cs="Calibri"/>
        </w:rPr>
        <w:t>, la comuna de Yumbel cuenta con un hospital de baja complejidad. A nivel primario existen un Cesfam Francisco Vidal Muñoz y cinco postas  de salud rural (</w:t>
      </w:r>
      <w:proofErr w:type="spellStart"/>
      <w:r w:rsidRPr="000E4A15">
        <w:rPr>
          <w:rFonts w:cs="Calibri"/>
        </w:rPr>
        <w:t>PSR</w:t>
      </w:r>
      <w:proofErr w:type="spellEnd"/>
      <w:r w:rsidRPr="000E4A15">
        <w:rPr>
          <w:rFonts w:cs="Calibri"/>
        </w:rPr>
        <w:t xml:space="preserve">)  La aguada, </w:t>
      </w:r>
      <w:proofErr w:type="spellStart"/>
      <w:r w:rsidRPr="000E4A15">
        <w:rPr>
          <w:rFonts w:cs="Calibri"/>
        </w:rPr>
        <w:t>Rere</w:t>
      </w:r>
      <w:proofErr w:type="spellEnd"/>
      <w:r w:rsidRPr="000E4A15">
        <w:rPr>
          <w:rFonts w:cs="Calibri"/>
        </w:rPr>
        <w:t xml:space="preserve">, Tomeco, Rio Claro y Canchilla dependientes administrativamente de la Dirección de salud municipal. A nivel terciario el centro de referencia comunal es el Hospital Víctor ríos Ruiz de Los Ángeles. </w:t>
      </w:r>
    </w:p>
    <w:p w:rsidR="00660278" w:rsidRDefault="00660278" w:rsidP="00BC71AB">
      <w:pPr>
        <w:spacing w:after="0" w:line="240" w:lineRule="auto"/>
        <w:jc w:val="both"/>
        <w:rPr>
          <w:rFonts w:cs="Calibri"/>
        </w:rPr>
      </w:pPr>
    </w:p>
    <w:p w:rsidR="00660278" w:rsidRPr="000E4A15" w:rsidRDefault="00660278" w:rsidP="00BC71AB">
      <w:pPr>
        <w:spacing w:after="0" w:line="240" w:lineRule="auto"/>
        <w:jc w:val="both"/>
        <w:rPr>
          <w:rFonts w:cs="Calibri"/>
        </w:rPr>
      </w:pPr>
    </w:p>
    <w:p w:rsidR="00BC71AB" w:rsidRDefault="00BC71AB" w:rsidP="00BC71AB">
      <w:pPr>
        <w:spacing w:after="0" w:line="240" w:lineRule="auto"/>
        <w:jc w:val="center"/>
        <w:rPr>
          <w:rFonts w:cs="Calibri"/>
          <w:b/>
          <w:u w:val="single"/>
        </w:rPr>
      </w:pPr>
      <w:r w:rsidRPr="00D81D52">
        <w:rPr>
          <w:rFonts w:cs="Calibri"/>
          <w:b/>
          <w:u w:val="single"/>
        </w:rPr>
        <w:t>NÚMERO DE ESTABLECIMIENTOS DE SALUD, SEGÚN TIPO DE ESTABLECIMIENTO O ESTRATEGIA IMPLEMENTADA, JUNIO 2018</w:t>
      </w:r>
    </w:p>
    <w:p w:rsidR="00D81D52" w:rsidRPr="00D81D52" w:rsidRDefault="00D81D52" w:rsidP="00BC71AB">
      <w:pPr>
        <w:spacing w:after="0" w:line="240" w:lineRule="auto"/>
        <w:jc w:val="center"/>
        <w:rPr>
          <w:rFonts w:cs="Calibri"/>
          <w:b/>
          <w:u w:val="single"/>
        </w:rPr>
      </w:pPr>
    </w:p>
    <w:tbl>
      <w:tblPr>
        <w:tblW w:w="6549" w:type="dxa"/>
        <w:tblInd w:w="1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00"/>
        <w:gridCol w:w="1134"/>
        <w:gridCol w:w="993"/>
        <w:gridCol w:w="1122"/>
      </w:tblGrid>
      <w:tr w:rsidR="00BC71AB" w:rsidRPr="000E4A15" w:rsidTr="00D81D52">
        <w:trPr>
          <w:trHeight w:val="298"/>
        </w:trPr>
        <w:tc>
          <w:tcPr>
            <w:tcW w:w="3300" w:type="dxa"/>
          </w:tcPr>
          <w:p w:rsidR="00BC71AB" w:rsidRPr="000E4A15" w:rsidRDefault="00BC71AB" w:rsidP="00B64063">
            <w:pPr>
              <w:spacing w:after="0" w:line="240" w:lineRule="auto"/>
              <w:rPr>
                <w:rFonts w:cs="Calibri"/>
              </w:rPr>
            </w:pPr>
            <w:r w:rsidRPr="000E4A15">
              <w:rPr>
                <w:rFonts w:cs="Calibri"/>
              </w:rPr>
              <w:t>Establecimiento/estrategia</w:t>
            </w:r>
          </w:p>
        </w:tc>
        <w:tc>
          <w:tcPr>
            <w:tcW w:w="1134" w:type="dxa"/>
          </w:tcPr>
          <w:p w:rsidR="00BC71AB" w:rsidRPr="000E4A15" w:rsidRDefault="00BC71AB" w:rsidP="00B64063">
            <w:pPr>
              <w:spacing w:after="0" w:line="240" w:lineRule="auto"/>
              <w:jc w:val="center"/>
              <w:rPr>
                <w:rFonts w:cs="Calibri"/>
              </w:rPr>
            </w:pPr>
            <w:r w:rsidRPr="000E4A15">
              <w:rPr>
                <w:rFonts w:cs="Calibri"/>
              </w:rPr>
              <w:t>Comuna</w:t>
            </w:r>
          </w:p>
        </w:tc>
        <w:tc>
          <w:tcPr>
            <w:tcW w:w="993" w:type="dxa"/>
          </w:tcPr>
          <w:p w:rsidR="00BC71AB" w:rsidRPr="000E4A15" w:rsidRDefault="00BC71AB" w:rsidP="00B64063">
            <w:pPr>
              <w:spacing w:after="0" w:line="240" w:lineRule="auto"/>
              <w:jc w:val="center"/>
              <w:rPr>
                <w:rFonts w:cs="Calibri"/>
              </w:rPr>
            </w:pPr>
            <w:r w:rsidRPr="000E4A15">
              <w:rPr>
                <w:rFonts w:cs="Calibri"/>
              </w:rPr>
              <w:t>Región</w:t>
            </w:r>
          </w:p>
        </w:tc>
        <w:tc>
          <w:tcPr>
            <w:tcW w:w="1122" w:type="dxa"/>
          </w:tcPr>
          <w:p w:rsidR="00BC71AB" w:rsidRPr="000E4A15" w:rsidRDefault="00BC71AB" w:rsidP="00B64063">
            <w:pPr>
              <w:spacing w:after="0" w:line="240" w:lineRule="auto"/>
              <w:jc w:val="center"/>
              <w:rPr>
                <w:rFonts w:cs="Calibri"/>
              </w:rPr>
            </w:pPr>
            <w:r w:rsidRPr="000E4A15">
              <w:rPr>
                <w:rFonts w:cs="Calibri"/>
              </w:rPr>
              <w:t>País</w:t>
            </w:r>
          </w:p>
        </w:tc>
      </w:tr>
      <w:tr w:rsidR="00BC71AB" w:rsidRPr="000E4A15" w:rsidTr="00D81D52">
        <w:trPr>
          <w:trHeight w:val="298"/>
        </w:trPr>
        <w:tc>
          <w:tcPr>
            <w:tcW w:w="3300" w:type="dxa"/>
          </w:tcPr>
          <w:p w:rsidR="00BC71AB" w:rsidRPr="000E4A15" w:rsidRDefault="00BC71AB" w:rsidP="00B64063">
            <w:pPr>
              <w:spacing w:after="0" w:line="240" w:lineRule="auto"/>
              <w:rPr>
                <w:rFonts w:cs="Calibri"/>
              </w:rPr>
            </w:pPr>
            <w:r w:rsidRPr="000E4A15">
              <w:rPr>
                <w:rFonts w:cs="Calibri"/>
              </w:rPr>
              <w:t>Consultorio general rural</w:t>
            </w:r>
          </w:p>
        </w:tc>
        <w:tc>
          <w:tcPr>
            <w:tcW w:w="1134" w:type="dxa"/>
          </w:tcPr>
          <w:p w:rsidR="00BC71AB" w:rsidRPr="000E4A15" w:rsidRDefault="00BC71AB" w:rsidP="00B64063">
            <w:pPr>
              <w:spacing w:after="0" w:line="240" w:lineRule="auto"/>
              <w:rPr>
                <w:rFonts w:cs="Calibri"/>
              </w:rPr>
            </w:pPr>
            <w:r w:rsidRPr="000E4A15">
              <w:rPr>
                <w:rFonts w:cs="Calibri"/>
              </w:rPr>
              <w:t>1</w:t>
            </w:r>
          </w:p>
        </w:tc>
        <w:tc>
          <w:tcPr>
            <w:tcW w:w="993" w:type="dxa"/>
          </w:tcPr>
          <w:p w:rsidR="00BC71AB" w:rsidRPr="000E4A15" w:rsidRDefault="00BC71AB" w:rsidP="00B64063">
            <w:pPr>
              <w:spacing w:after="0" w:line="240" w:lineRule="auto"/>
              <w:rPr>
                <w:rFonts w:cs="Calibri"/>
              </w:rPr>
            </w:pPr>
            <w:r w:rsidRPr="000E4A15">
              <w:rPr>
                <w:rFonts w:cs="Calibri"/>
              </w:rPr>
              <w:t>37</w:t>
            </w:r>
          </w:p>
        </w:tc>
        <w:tc>
          <w:tcPr>
            <w:tcW w:w="1122" w:type="dxa"/>
          </w:tcPr>
          <w:p w:rsidR="00BC71AB" w:rsidRPr="000E4A15" w:rsidRDefault="00BC71AB" w:rsidP="00B64063">
            <w:pPr>
              <w:spacing w:after="0" w:line="240" w:lineRule="auto"/>
              <w:rPr>
                <w:rFonts w:cs="Calibri"/>
              </w:rPr>
            </w:pPr>
            <w:r w:rsidRPr="000E4A15">
              <w:rPr>
                <w:rFonts w:cs="Calibri"/>
              </w:rPr>
              <w:t>207</w:t>
            </w:r>
          </w:p>
        </w:tc>
      </w:tr>
      <w:tr w:rsidR="00BC71AB" w:rsidRPr="000E4A15" w:rsidTr="00D81D52">
        <w:trPr>
          <w:trHeight w:val="302"/>
        </w:trPr>
        <w:tc>
          <w:tcPr>
            <w:tcW w:w="3300" w:type="dxa"/>
          </w:tcPr>
          <w:p w:rsidR="00BC71AB" w:rsidRPr="000E4A15" w:rsidRDefault="00BC71AB" w:rsidP="00B64063">
            <w:pPr>
              <w:spacing w:after="0" w:line="240" w:lineRule="auto"/>
              <w:rPr>
                <w:rFonts w:cs="Calibri"/>
              </w:rPr>
            </w:pPr>
            <w:r w:rsidRPr="000E4A15">
              <w:rPr>
                <w:rFonts w:cs="Calibri"/>
              </w:rPr>
              <w:t>Establecimiento baja complejidad</w:t>
            </w:r>
          </w:p>
        </w:tc>
        <w:tc>
          <w:tcPr>
            <w:tcW w:w="1134" w:type="dxa"/>
          </w:tcPr>
          <w:p w:rsidR="00BC71AB" w:rsidRPr="000E4A15" w:rsidRDefault="00BC71AB" w:rsidP="00B64063">
            <w:pPr>
              <w:spacing w:after="0" w:line="240" w:lineRule="auto"/>
              <w:rPr>
                <w:rFonts w:cs="Calibri"/>
              </w:rPr>
            </w:pPr>
            <w:r w:rsidRPr="000E4A15">
              <w:rPr>
                <w:rFonts w:cs="Calibri"/>
              </w:rPr>
              <w:t>1</w:t>
            </w:r>
          </w:p>
        </w:tc>
        <w:tc>
          <w:tcPr>
            <w:tcW w:w="993" w:type="dxa"/>
          </w:tcPr>
          <w:p w:rsidR="00BC71AB" w:rsidRPr="000E4A15" w:rsidRDefault="00BC71AB" w:rsidP="00B64063">
            <w:pPr>
              <w:spacing w:after="0" w:line="240" w:lineRule="auto"/>
              <w:rPr>
                <w:rFonts w:cs="Calibri"/>
              </w:rPr>
            </w:pPr>
            <w:r w:rsidRPr="000E4A15">
              <w:rPr>
                <w:rFonts w:cs="Calibri"/>
              </w:rPr>
              <w:t>17</w:t>
            </w:r>
          </w:p>
        </w:tc>
        <w:tc>
          <w:tcPr>
            <w:tcW w:w="1122" w:type="dxa"/>
          </w:tcPr>
          <w:p w:rsidR="00BC71AB" w:rsidRPr="000E4A15" w:rsidRDefault="00BC71AB" w:rsidP="00B64063">
            <w:pPr>
              <w:spacing w:after="0" w:line="240" w:lineRule="auto"/>
              <w:rPr>
                <w:rFonts w:cs="Calibri"/>
              </w:rPr>
            </w:pPr>
            <w:r w:rsidRPr="000E4A15">
              <w:rPr>
                <w:rFonts w:cs="Calibri"/>
              </w:rPr>
              <w:t>102</w:t>
            </w:r>
          </w:p>
        </w:tc>
      </w:tr>
      <w:tr w:rsidR="00BC71AB" w:rsidRPr="000E4A15" w:rsidTr="00D81D52">
        <w:trPr>
          <w:trHeight w:val="298"/>
        </w:trPr>
        <w:tc>
          <w:tcPr>
            <w:tcW w:w="3300" w:type="dxa"/>
          </w:tcPr>
          <w:p w:rsidR="00BC71AB" w:rsidRPr="000E4A15" w:rsidRDefault="00BC71AB" w:rsidP="00B64063">
            <w:pPr>
              <w:spacing w:after="0" w:line="240" w:lineRule="auto"/>
              <w:rPr>
                <w:rFonts w:cs="Calibri"/>
              </w:rPr>
            </w:pPr>
            <w:r w:rsidRPr="000E4A15">
              <w:rPr>
                <w:rFonts w:cs="Calibri"/>
              </w:rPr>
              <w:t>Posta de salud rural</w:t>
            </w:r>
          </w:p>
        </w:tc>
        <w:tc>
          <w:tcPr>
            <w:tcW w:w="1134" w:type="dxa"/>
          </w:tcPr>
          <w:p w:rsidR="00BC71AB" w:rsidRPr="000E4A15" w:rsidRDefault="00BC71AB" w:rsidP="00B64063">
            <w:pPr>
              <w:spacing w:after="0" w:line="240" w:lineRule="auto"/>
              <w:rPr>
                <w:rFonts w:cs="Calibri"/>
              </w:rPr>
            </w:pPr>
            <w:r w:rsidRPr="000E4A15">
              <w:rPr>
                <w:rFonts w:cs="Calibri"/>
              </w:rPr>
              <w:t>5</w:t>
            </w:r>
          </w:p>
        </w:tc>
        <w:tc>
          <w:tcPr>
            <w:tcW w:w="993" w:type="dxa"/>
          </w:tcPr>
          <w:p w:rsidR="00BC71AB" w:rsidRPr="000E4A15" w:rsidRDefault="00BC71AB" w:rsidP="00B64063">
            <w:pPr>
              <w:spacing w:after="0" w:line="240" w:lineRule="auto"/>
              <w:rPr>
                <w:rFonts w:cs="Calibri"/>
              </w:rPr>
            </w:pPr>
            <w:r w:rsidRPr="000E4A15">
              <w:rPr>
                <w:rFonts w:cs="Calibri"/>
              </w:rPr>
              <w:t>175</w:t>
            </w:r>
          </w:p>
        </w:tc>
        <w:tc>
          <w:tcPr>
            <w:tcW w:w="1122" w:type="dxa"/>
          </w:tcPr>
          <w:p w:rsidR="00BC71AB" w:rsidRPr="000E4A15" w:rsidRDefault="00BC71AB" w:rsidP="00B64063">
            <w:pPr>
              <w:spacing w:after="0" w:line="240" w:lineRule="auto"/>
              <w:rPr>
                <w:rFonts w:cs="Calibri"/>
              </w:rPr>
            </w:pPr>
            <w:r w:rsidRPr="000E4A15">
              <w:rPr>
                <w:rFonts w:cs="Calibri"/>
              </w:rPr>
              <w:t>1167</w:t>
            </w:r>
          </w:p>
        </w:tc>
      </w:tr>
      <w:tr w:rsidR="00BC71AB" w:rsidRPr="000E4A15" w:rsidTr="00D81D52">
        <w:trPr>
          <w:trHeight w:val="298"/>
        </w:trPr>
        <w:tc>
          <w:tcPr>
            <w:tcW w:w="3300" w:type="dxa"/>
          </w:tcPr>
          <w:p w:rsidR="00BC71AB" w:rsidRPr="000E4A15" w:rsidRDefault="00BC71AB" w:rsidP="00B64063">
            <w:pPr>
              <w:spacing w:after="0" w:line="240" w:lineRule="auto"/>
              <w:rPr>
                <w:rFonts w:cs="Calibri"/>
              </w:rPr>
            </w:pPr>
            <w:r w:rsidRPr="000E4A15">
              <w:rPr>
                <w:rFonts w:cs="Calibri"/>
              </w:rPr>
              <w:t>Unidad móvil</w:t>
            </w:r>
          </w:p>
        </w:tc>
        <w:tc>
          <w:tcPr>
            <w:tcW w:w="1134" w:type="dxa"/>
          </w:tcPr>
          <w:p w:rsidR="00BC71AB" w:rsidRPr="000E4A15" w:rsidRDefault="00BC71AB" w:rsidP="00B64063">
            <w:pPr>
              <w:spacing w:after="0" w:line="240" w:lineRule="auto"/>
              <w:rPr>
                <w:rFonts w:cs="Calibri"/>
              </w:rPr>
            </w:pPr>
            <w:r w:rsidRPr="000E4A15">
              <w:rPr>
                <w:rFonts w:cs="Calibri"/>
              </w:rPr>
              <w:t>1</w:t>
            </w:r>
          </w:p>
        </w:tc>
        <w:tc>
          <w:tcPr>
            <w:tcW w:w="993" w:type="dxa"/>
          </w:tcPr>
          <w:p w:rsidR="00BC71AB" w:rsidRPr="000E4A15" w:rsidRDefault="00BC71AB" w:rsidP="00B64063">
            <w:pPr>
              <w:spacing w:after="0" w:line="240" w:lineRule="auto"/>
              <w:rPr>
                <w:rFonts w:cs="Calibri"/>
              </w:rPr>
            </w:pPr>
            <w:r w:rsidRPr="000E4A15">
              <w:rPr>
                <w:rFonts w:cs="Calibri"/>
              </w:rPr>
              <w:t>7</w:t>
            </w:r>
          </w:p>
        </w:tc>
        <w:tc>
          <w:tcPr>
            <w:tcW w:w="1122" w:type="dxa"/>
          </w:tcPr>
          <w:p w:rsidR="00BC71AB" w:rsidRPr="000E4A15" w:rsidRDefault="00BC71AB" w:rsidP="00B64063">
            <w:pPr>
              <w:spacing w:after="0" w:line="240" w:lineRule="auto"/>
              <w:rPr>
                <w:rFonts w:cs="Calibri"/>
              </w:rPr>
            </w:pPr>
            <w:r w:rsidRPr="000E4A15">
              <w:rPr>
                <w:rFonts w:cs="Calibri"/>
              </w:rPr>
              <w:t>35</w:t>
            </w:r>
          </w:p>
        </w:tc>
      </w:tr>
      <w:tr w:rsidR="00BC71AB" w:rsidRPr="000E4A15" w:rsidTr="00D81D52">
        <w:trPr>
          <w:trHeight w:val="322"/>
        </w:trPr>
        <w:tc>
          <w:tcPr>
            <w:tcW w:w="3300" w:type="dxa"/>
          </w:tcPr>
          <w:p w:rsidR="00BC71AB" w:rsidRPr="000E4A15" w:rsidRDefault="00BC71AB" w:rsidP="00B64063">
            <w:pPr>
              <w:spacing w:after="0" w:line="240" w:lineRule="auto"/>
              <w:rPr>
                <w:rFonts w:cs="Calibri"/>
              </w:rPr>
            </w:pPr>
            <w:r w:rsidRPr="000E4A15">
              <w:rPr>
                <w:rFonts w:cs="Calibri"/>
              </w:rPr>
              <w:t>total</w:t>
            </w:r>
          </w:p>
        </w:tc>
        <w:tc>
          <w:tcPr>
            <w:tcW w:w="1134" w:type="dxa"/>
          </w:tcPr>
          <w:p w:rsidR="00BC71AB" w:rsidRPr="000E4A15" w:rsidRDefault="00BC71AB" w:rsidP="00B64063">
            <w:pPr>
              <w:spacing w:after="0" w:line="240" w:lineRule="auto"/>
              <w:rPr>
                <w:rFonts w:cs="Calibri"/>
              </w:rPr>
            </w:pPr>
            <w:r w:rsidRPr="000E4A15">
              <w:rPr>
                <w:rFonts w:cs="Calibri"/>
              </w:rPr>
              <w:t>8</w:t>
            </w:r>
          </w:p>
        </w:tc>
        <w:tc>
          <w:tcPr>
            <w:tcW w:w="993" w:type="dxa"/>
          </w:tcPr>
          <w:p w:rsidR="00BC71AB" w:rsidRPr="000E4A15" w:rsidRDefault="00BC71AB" w:rsidP="00B64063">
            <w:pPr>
              <w:spacing w:after="0" w:line="240" w:lineRule="auto"/>
              <w:rPr>
                <w:rFonts w:cs="Calibri"/>
              </w:rPr>
            </w:pPr>
            <w:r w:rsidRPr="000E4A15">
              <w:rPr>
                <w:rFonts w:cs="Calibri"/>
              </w:rPr>
              <w:t>517</w:t>
            </w:r>
          </w:p>
        </w:tc>
        <w:tc>
          <w:tcPr>
            <w:tcW w:w="1122" w:type="dxa"/>
          </w:tcPr>
          <w:p w:rsidR="00BC71AB" w:rsidRPr="000E4A15" w:rsidRDefault="00BC71AB" w:rsidP="00B64063">
            <w:pPr>
              <w:spacing w:after="0" w:line="240" w:lineRule="auto"/>
              <w:rPr>
                <w:rFonts w:cs="Calibri"/>
              </w:rPr>
            </w:pPr>
            <w:r w:rsidRPr="000E4A15">
              <w:rPr>
                <w:rFonts w:cs="Calibri"/>
              </w:rPr>
              <w:t>3794</w:t>
            </w:r>
          </w:p>
        </w:tc>
      </w:tr>
    </w:tbl>
    <w:p w:rsidR="00BC71AB" w:rsidRPr="000E4A15" w:rsidRDefault="00D81D52" w:rsidP="00BC71AB">
      <w:pPr>
        <w:spacing w:after="0" w:line="240" w:lineRule="auto"/>
        <w:rPr>
          <w:rFonts w:cs="Calibri"/>
          <w:sz w:val="16"/>
          <w:szCs w:val="16"/>
        </w:rPr>
      </w:pPr>
      <w:r>
        <w:rPr>
          <w:rFonts w:cs="Calibri"/>
          <w:sz w:val="16"/>
          <w:szCs w:val="16"/>
        </w:rPr>
        <w:t xml:space="preserve">                            </w:t>
      </w:r>
      <w:r w:rsidR="00BC71AB" w:rsidRPr="000E4A15">
        <w:rPr>
          <w:rFonts w:cs="Calibri"/>
          <w:sz w:val="16"/>
          <w:szCs w:val="16"/>
        </w:rPr>
        <w:t xml:space="preserve">Fuente: </w:t>
      </w:r>
      <w:r w:rsidR="00DB4F5F">
        <w:rPr>
          <w:rFonts w:cs="Calibri"/>
          <w:sz w:val="16"/>
          <w:szCs w:val="16"/>
        </w:rPr>
        <w:t>D</w:t>
      </w:r>
      <w:r w:rsidR="00BC71AB" w:rsidRPr="000E4A15">
        <w:rPr>
          <w:rFonts w:cs="Calibri"/>
          <w:sz w:val="16"/>
          <w:szCs w:val="16"/>
        </w:rPr>
        <w:t xml:space="preserve">epartamento de Estadísticas e información de Salud (DEIS), </w:t>
      </w:r>
      <w:proofErr w:type="spellStart"/>
      <w:r w:rsidR="00BC71AB" w:rsidRPr="000E4A15">
        <w:rPr>
          <w:rFonts w:cs="Calibri"/>
          <w:sz w:val="16"/>
          <w:szCs w:val="16"/>
        </w:rPr>
        <w:t>Minsal</w:t>
      </w:r>
      <w:proofErr w:type="spellEnd"/>
      <w:r w:rsidR="00BC71AB" w:rsidRPr="000E4A15">
        <w:rPr>
          <w:rFonts w:cs="Calibri"/>
          <w:sz w:val="16"/>
          <w:szCs w:val="16"/>
        </w:rPr>
        <w:t>.</w:t>
      </w:r>
    </w:p>
    <w:p w:rsidR="00BC71AB" w:rsidRPr="000E4A15" w:rsidRDefault="00BC71AB" w:rsidP="00BC71AB">
      <w:pPr>
        <w:spacing w:after="0" w:line="240" w:lineRule="auto"/>
        <w:rPr>
          <w:rFonts w:cs="Calibri"/>
        </w:rPr>
      </w:pPr>
    </w:p>
    <w:p w:rsidR="00BC71AB" w:rsidRDefault="00BC71AB" w:rsidP="00BC71AB">
      <w:pPr>
        <w:spacing w:after="0" w:line="240" w:lineRule="auto"/>
        <w:jc w:val="center"/>
        <w:rPr>
          <w:rFonts w:cs="Calibri"/>
          <w:b/>
        </w:rPr>
      </w:pPr>
    </w:p>
    <w:p w:rsidR="00BC71AB" w:rsidRPr="00D81D52" w:rsidRDefault="00BC71AB" w:rsidP="00BC71AB">
      <w:pPr>
        <w:spacing w:after="0" w:line="240" w:lineRule="auto"/>
        <w:jc w:val="center"/>
        <w:rPr>
          <w:rFonts w:cs="Calibri"/>
          <w:b/>
          <w:sz w:val="24"/>
          <w:szCs w:val="24"/>
          <w:u w:val="single"/>
        </w:rPr>
      </w:pPr>
      <w:r w:rsidRPr="00D81D52">
        <w:rPr>
          <w:rFonts w:cs="Calibri"/>
          <w:b/>
          <w:sz w:val="24"/>
          <w:szCs w:val="24"/>
          <w:u w:val="single"/>
        </w:rPr>
        <w:t xml:space="preserve">EVALUACIÓN PROGRAMA ADULTO MAYOR </w:t>
      </w:r>
    </w:p>
    <w:p w:rsidR="00BC71AB" w:rsidRPr="00D81D52" w:rsidRDefault="00BC71AB" w:rsidP="00BC71AB">
      <w:pPr>
        <w:spacing w:after="0" w:line="240" w:lineRule="auto"/>
        <w:jc w:val="center"/>
        <w:rPr>
          <w:rFonts w:cs="Calibri"/>
          <w:b/>
          <w:sz w:val="24"/>
          <w:szCs w:val="24"/>
          <w:u w:val="single"/>
        </w:rPr>
      </w:pPr>
      <w:proofErr w:type="spellStart"/>
      <w:r w:rsidRPr="00D81D52">
        <w:rPr>
          <w:rFonts w:cs="Calibri"/>
          <w:b/>
          <w:sz w:val="24"/>
          <w:szCs w:val="24"/>
          <w:u w:val="single"/>
        </w:rPr>
        <w:t>DEPTO</w:t>
      </w:r>
      <w:proofErr w:type="spellEnd"/>
      <w:r w:rsidRPr="00D81D52">
        <w:rPr>
          <w:rFonts w:cs="Calibri"/>
          <w:b/>
          <w:sz w:val="24"/>
          <w:szCs w:val="24"/>
          <w:u w:val="single"/>
        </w:rPr>
        <w:t xml:space="preserve"> SALUD MUNICIPAL 2017</w:t>
      </w:r>
    </w:p>
    <w:p w:rsidR="00BC71AB" w:rsidRPr="0058285F" w:rsidRDefault="00BC71AB" w:rsidP="00BC71AB">
      <w:pPr>
        <w:spacing w:after="0" w:line="240" w:lineRule="auto"/>
        <w:jc w:val="center"/>
        <w:rPr>
          <w:rFonts w:cs="Calibri"/>
          <w:b/>
          <w:sz w:val="16"/>
          <w:szCs w:val="16"/>
        </w:rPr>
      </w:pPr>
    </w:p>
    <w:p w:rsidR="00BC71AB" w:rsidRPr="000E4A15" w:rsidRDefault="00BC71AB" w:rsidP="00BC71AB">
      <w:pPr>
        <w:spacing w:after="0" w:line="240" w:lineRule="auto"/>
        <w:jc w:val="both"/>
        <w:rPr>
          <w:rFonts w:cs="Calibri"/>
          <w:b/>
        </w:rPr>
      </w:pPr>
      <w:r w:rsidRPr="000E4A15">
        <w:rPr>
          <w:rFonts w:cs="Calibri"/>
        </w:rPr>
        <w:t>El programa del adulto mayor entrega prestaciones a los adultos de 65 y más años</w:t>
      </w:r>
      <w:r w:rsidRPr="000E4A15">
        <w:rPr>
          <w:rFonts w:cs="Calibri"/>
          <w:shd w:val="clear" w:color="auto" w:fill="FFFFFF"/>
        </w:rPr>
        <w:t>, el irreversible fenómeno del envejecimiento poblacional y los avances de la geriatría, han llevado a la creación de un enfoque  anticipatorio y preventivo, basado en la mantención de la funcionalidad del adulto mayor,  dicho de otra manera, antes que se instale el daño. Es así como el Programa del Adulto Mayor tiene como visión que las personas mayores permanezcan autónomas y autovalentes por el mayor tiempo posible y que sus problemas de salud sean resueltos en forma oportuna con calidad en la atención, asegurando de este modo una buena calidad de vida.</w:t>
      </w:r>
      <w:r w:rsidRPr="000E4A15">
        <w:rPr>
          <w:rFonts w:cs="Calibri"/>
        </w:rPr>
        <w:t xml:space="preserve"> Analizaremos en el siguiente cuadro la población que se encuentra en control en este programa, del total de población inscrita </w:t>
      </w:r>
      <w:proofErr w:type="spellStart"/>
      <w:r w:rsidRPr="000E4A15">
        <w:rPr>
          <w:rFonts w:cs="Calibri"/>
        </w:rPr>
        <w:t>percapitada</w:t>
      </w:r>
      <w:proofErr w:type="spellEnd"/>
      <w:r w:rsidRPr="000E4A15">
        <w:rPr>
          <w:rFonts w:cs="Calibri"/>
        </w:rPr>
        <w:t xml:space="preserve"> para año 2017  de 1264 personas un 84.57%  se encuentra bajo control, lo que corresponde a un 9.26% de aumento en relación al año anterior. </w:t>
      </w:r>
    </w:p>
    <w:p w:rsidR="00BC71AB" w:rsidRDefault="00BC71AB" w:rsidP="00BC71AB">
      <w:pPr>
        <w:spacing w:after="0" w:line="240" w:lineRule="auto"/>
        <w:jc w:val="both"/>
        <w:rPr>
          <w:rFonts w:cs="Calibri"/>
        </w:rPr>
      </w:pPr>
    </w:p>
    <w:p w:rsidR="00DB4F5F" w:rsidRDefault="00DB4F5F" w:rsidP="00BC71AB">
      <w:pPr>
        <w:spacing w:after="0" w:line="240" w:lineRule="auto"/>
        <w:jc w:val="both"/>
        <w:rPr>
          <w:rFonts w:cs="Calibri"/>
        </w:rPr>
      </w:pPr>
    </w:p>
    <w:tbl>
      <w:tblPr>
        <w:tblW w:w="6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16"/>
        <w:gridCol w:w="1847"/>
      </w:tblGrid>
      <w:tr w:rsidR="00BC71AB" w:rsidRPr="000E4A15" w:rsidTr="00B64063">
        <w:trPr>
          <w:trHeight w:val="330"/>
          <w:jc w:val="center"/>
        </w:trPr>
        <w:tc>
          <w:tcPr>
            <w:tcW w:w="4916" w:type="dxa"/>
            <w:hideMark/>
          </w:tcPr>
          <w:p w:rsidR="00BC71AB" w:rsidRPr="001C7C03" w:rsidRDefault="00BC71AB" w:rsidP="00B64063">
            <w:pPr>
              <w:spacing w:after="0" w:line="240" w:lineRule="auto"/>
              <w:jc w:val="center"/>
              <w:rPr>
                <w:rFonts w:eastAsia="Times New Roman" w:cs="Calibri"/>
                <w:b/>
                <w:bCs/>
                <w:iCs/>
                <w:color w:val="000000"/>
                <w:lang w:eastAsia="es-CL"/>
              </w:rPr>
            </w:pPr>
            <w:r w:rsidRPr="001C7C03">
              <w:rPr>
                <w:rFonts w:eastAsia="Times New Roman" w:cs="Calibri"/>
                <w:b/>
                <w:iCs/>
                <w:color w:val="000000"/>
                <w:lang w:val="en-US" w:eastAsia="es-CL"/>
              </w:rPr>
              <w:t xml:space="preserve">POBLACION </w:t>
            </w:r>
          </w:p>
        </w:tc>
        <w:tc>
          <w:tcPr>
            <w:tcW w:w="1847" w:type="dxa"/>
            <w:hideMark/>
          </w:tcPr>
          <w:p w:rsidR="00BC71AB" w:rsidRPr="001C7C03" w:rsidRDefault="00BC71AB" w:rsidP="00B64063">
            <w:pPr>
              <w:spacing w:after="0" w:line="240" w:lineRule="auto"/>
              <w:jc w:val="center"/>
              <w:rPr>
                <w:rFonts w:eastAsia="Times New Roman" w:cs="Calibri"/>
                <w:b/>
                <w:bCs/>
                <w:iCs/>
                <w:color w:val="000000"/>
                <w:lang w:eastAsia="es-CL"/>
              </w:rPr>
            </w:pPr>
            <w:r w:rsidRPr="001C7C03">
              <w:rPr>
                <w:rFonts w:eastAsia="Times New Roman" w:cs="Calibri"/>
                <w:b/>
                <w:iCs/>
                <w:color w:val="000000"/>
                <w:lang w:val="en-US" w:eastAsia="es-CL"/>
              </w:rPr>
              <w:t>TOTAL</w:t>
            </w:r>
          </w:p>
        </w:tc>
      </w:tr>
      <w:tr w:rsidR="00BC71AB" w:rsidRPr="000E4A15" w:rsidTr="00B64063">
        <w:trPr>
          <w:trHeight w:val="341"/>
          <w:jc w:val="center"/>
        </w:trPr>
        <w:tc>
          <w:tcPr>
            <w:tcW w:w="4916" w:type="dxa"/>
            <w:shd w:val="clear" w:color="auto" w:fill="C2D69B"/>
            <w:hideMark/>
          </w:tcPr>
          <w:p w:rsidR="00BC71AB" w:rsidRPr="001C7C03" w:rsidRDefault="00BC71AB" w:rsidP="00B64063">
            <w:pPr>
              <w:spacing w:after="0" w:line="240" w:lineRule="auto"/>
              <w:jc w:val="center"/>
              <w:rPr>
                <w:rFonts w:eastAsia="Times New Roman" w:cs="Calibri"/>
                <w:iCs/>
                <w:color w:val="000000"/>
                <w:lang w:eastAsia="es-CL"/>
              </w:rPr>
            </w:pPr>
            <w:r w:rsidRPr="001C7C03">
              <w:rPr>
                <w:rFonts w:eastAsia="Times New Roman" w:cs="Calibri"/>
                <w:iCs/>
                <w:color w:val="000000"/>
                <w:lang w:eastAsia="es-CL"/>
              </w:rPr>
              <w:t xml:space="preserve">65 Y MAS AÑOS INSCRITA </w:t>
            </w:r>
            <w:proofErr w:type="spellStart"/>
            <w:r w:rsidRPr="001C7C03">
              <w:rPr>
                <w:rFonts w:eastAsia="Times New Roman" w:cs="Calibri"/>
                <w:iCs/>
                <w:color w:val="000000"/>
                <w:lang w:eastAsia="es-CL"/>
              </w:rPr>
              <w:t>PERCAPITA</w:t>
            </w:r>
            <w:proofErr w:type="spellEnd"/>
          </w:p>
        </w:tc>
        <w:tc>
          <w:tcPr>
            <w:tcW w:w="1847" w:type="dxa"/>
            <w:shd w:val="clear" w:color="auto" w:fill="C2D69B"/>
            <w:hideMark/>
          </w:tcPr>
          <w:p w:rsidR="00BC71AB" w:rsidRPr="001C7C03" w:rsidRDefault="00BC71AB" w:rsidP="00B64063">
            <w:pPr>
              <w:spacing w:after="0" w:line="240" w:lineRule="auto"/>
              <w:jc w:val="center"/>
              <w:rPr>
                <w:rFonts w:eastAsia="Times New Roman" w:cs="Calibri"/>
                <w:iCs/>
                <w:color w:val="000000"/>
                <w:lang w:eastAsia="es-CL"/>
              </w:rPr>
            </w:pPr>
            <w:r w:rsidRPr="001C7C03">
              <w:rPr>
                <w:rFonts w:eastAsia="Times New Roman" w:cs="Calibri"/>
                <w:iCs/>
                <w:color w:val="000000"/>
                <w:lang w:val="en-US" w:eastAsia="es-CL"/>
              </w:rPr>
              <w:t>1264</w:t>
            </w:r>
          </w:p>
        </w:tc>
      </w:tr>
      <w:tr w:rsidR="00BC71AB" w:rsidRPr="000E4A15" w:rsidTr="00B64063">
        <w:trPr>
          <w:trHeight w:val="261"/>
          <w:jc w:val="center"/>
        </w:trPr>
        <w:tc>
          <w:tcPr>
            <w:tcW w:w="4916" w:type="dxa"/>
            <w:hideMark/>
          </w:tcPr>
          <w:p w:rsidR="00BC71AB" w:rsidRPr="001C7C03" w:rsidRDefault="00BC71AB" w:rsidP="00B64063">
            <w:pPr>
              <w:spacing w:after="0" w:line="240" w:lineRule="auto"/>
              <w:jc w:val="center"/>
              <w:rPr>
                <w:rFonts w:eastAsia="Times New Roman" w:cs="Calibri"/>
                <w:iCs/>
                <w:color w:val="000000"/>
                <w:lang w:eastAsia="es-CL"/>
              </w:rPr>
            </w:pPr>
            <w:r w:rsidRPr="001C7C03">
              <w:rPr>
                <w:rFonts w:eastAsia="Times New Roman" w:cs="Calibri"/>
                <w:iCs/>
                <w:color w:val="000000"/>
                <w:lang w:eastAsia="es-CL"/>
              </w:rPr>
              <w:t>65 Y MAS AÑOS EN CONTROL</w:t>
            </w:r>
          </w:p>
        </w:tc>
        <w:tc>
          <w:tcPr>
            <w:tcW w:w="1847" w:type="dxa"/>
            <w:hideMark/>
          </w:tcPr>
          <w:p w:rsidR="00BC71AB" w:rsidRPr="001C7C03" w:rsidRDefault="00BC71AB" w:rsidP="00B64063">
            <w:pPr>
              <w:spacing w:after="0" w:line="240" w:lineRule="auto"/>
              <w:jc w:val="center"/>
              <w:rPr>
                <w:rFonts w:eastAsia="Times New Roman" w:cs="Calibri"/>
                <w:iCs/>
                <w:color w:val="000000"/>
                <w:lang w:eastAsia="es-CL"/>
              </w:rPr>
            </w:pPr>
            <w:r w:rsidRPr="001C7C03">
              <w:rPr>
                <w:rFonts w:eastAsia="Times New Roman" w:cs="Calibri"/>
                <w:iCs/>
                <w:color w:val="000000"/>
                <w:lang w:val="es-MX" w:eastAsia="es-CL"/>
              </w:rPr>
              <w:t xml:space="preserve">1069 = </w:t>
            </w:r>
            <w:r w:rsidRPr="001C7C03">
              <w:rPr>
                <w:rFonts w:eastAsia="Times New Roman" w:cs="Calibri"/>
                <w:b/>
                <w:bCs/>
                <w:iCs/>
                <w:color w:val="000000"/>
                <w:lang w:val="es-MX" w:eastAsia="es-CL"/>
              </w:rPr>
              <w:t>84.57%</w:t>
            </w:r>
          </w:p>
        </w:tc>
      </w:tr>
    </w:tbl>
    <w:p w:rsidR="00BC71AB" w:rsidRDefault="00BC71AB" w:rsidP="00BC71AB">
      <w:pPr>
        <w:spacing w:after="0" w:line="240" w:lineRule="auto"/>
        <w:rPr>
          <w:rFonts w:cs="Calibri"/>
        </w:rPr>
      </w:pPr>
    </w:p>
    <w:p w:rsidR="00DB4F5F" w:rsidRPr="00D452CF" w:rsidRDefault="00DB4F5F" w:rsidP="00BC71AB">
      <w:pPr>
        <w:spacing w:after="0" w:line="240" w:lineRule="auto"/>
        <w:rPr>
          <w:rFonts w:cs="Calibri"/>
          <w:sz w:val="16"/>
          <w:szCs w:val="16"/>
        </w:rPr>
      </w:pPr>
    </w:p>
    <w:p w:rsidR="00BC71AB" w:rsidRDefault="00BC71AB" w:rsidP="00BC71AB">
      <w:pPr>
        <w:spacing w:after="0" w:line="240" w:lineRule="auto"/>
        <w:jc w:val="both"/>
        <w:rPr>
          <w:rFonts w:cs="Calibri"/>
        </w:rPr>
      </w:pPr>
      <w:r w:rsidRPr="000E4A15">
        <w:rPr>
          <w:rFonts w:cs="Calibri"/>
        </w:rPr>
        <w:lastRenderedPageBreak/>
        <w:t>En función de la transición demográfica y el envejecimiento de la población, desde 1999 se incorpora el Programa de Alimentación Complementaria del Adulto Mayor (</w:t>
      </w:r>
      <w:proofErr w:type="spellStart"/>
      <w:r w:rsidRPr="000E4A15">
        <w:rPr>
          <w:rFonts w:cs="Calibri"/>
        </w:rPr>
        <w:t>PACAM</w:t>
      </w:r>
      <w:proofErr w:type="spellEnd"/>
      <w:r w:rsidRPr="000E4A15">
        <w:rPr>
          <w:rFonts w:cs="Calibri"/>
        </w:rPr>
        <w:t>) que tiene como objetivo el contribuir a prevenir y tratar carencias nutricionales, mantener o mejorar la funcionalidad física y psíquica, mejorar la detección y control de factores de riesgo e incentivar una mayor adherencia a las actividades del Programa de Salud del Adulto Mayor.</w:t>
      </w:r>
    </w:p>
    <w:p w:rsidR="00DB4F5F" w:rsidRPr="000E4A15" w:rsidRDefault="00DB4F5F" w:rsidP="00BC71AB">
      <w:pPr>
        <w:spacing w:after="0" w:line="240" w:lineRule="auto"/>
        <w:jc w:val="both"/>
        <w:rPr>
          <w:rFonts w:cs="Calibri"/>
        </w:rPr>
      </w:pPr>
    </w:p>
    <w:p w:rsidR="00BC71AB" w:rsidRPr="002D70CE" w:rsidRDefault="00BC71AB" w:rsidP="00BC71AB">
      <w:pPr>
        <w:spacing w:after="0" w:line="240" w:lineRule="auto"/>
        <w:jc w:val="both"/>
        <w:rPr>
          <w:rFonts w:cs="Calibri"/>
        </w:rPr>
      </w:pPr>
      <w:r w:rsidRPr="000E4A15">
        <w:rPr>
          <w:rFonts w:cs="Calibri"/>
        </w:rPr>
        <w:t xml:space="preserve">De esta población inscrita de 1264 personas, 1069 están bajo control por programa adulto mayor y </w:t>
      </w:r>
      <w:r w:rsidRPr="000E4A15">
        <w:rPr>
          <w:rFonts w:cs="Calibri"/>
          <w:color w:val="FF0000"/>
        </w:rPr>
        <w:t xml:space="preserve"> </w:t>
      </w:r>
      <w:r w:rsidRPr="000E4A15">
        <w:rPr>
          <w:rFonts w:cs="Calibri"/>
        </w:rPr>
        <w:t>retiran alimentos del programa nacional de alimentación para el adulto mayor (</w:t>
      </w:r>
      <w:proofErr w:type="spellStart"/>
      <w:r w:rsidRPr="000E4A15">
        <w:rPr>
          <w:rFonts w:cs="Calibri"/>
        </w:rPr>
        <w:t>PACAM</w:t>
      </w:r>
      <w:proofErr w:type="spellEnd"/>
      <w:r w:rsidRPr="000E4A15">
        <w:rPr>
          <w:rFonts w:cs="Calibri"/>
        </w:rPr>
        <w:t xml:space="preserve">) un total de 734 personas lo que nos da un 68.66 % de cobertura del programa alimentario en nuestros </w:t>
      </w:r>
      <w:r w:rsidRPr="002D70CE">
        <w:rPr>
          <w:rFonts w:cs="Calibri"/>
        </w:rPr>
        <w:t>establecimientos.</w:t>
      </w:r>
    </w:p>
    <w:p w:rsidR="00DB4F5F" w:rsidRDefault="00DB4F5F" w:rsidP="00BC71AB">
      <w:pPr>
        <w:spacing w:after="0" w:line="240" w:lineRule="auto"/>
        <w:jc w:val="both"/>
        <w:rPr>
          <w:rFonts w:cs="Calibri"/>
          <w:color w:val="FF0000"/>
        </w:rPr>
      </w:pPr>
    </w:p>
    <w:p w:rsidR="00BC71AB" w:rsidRPr="001C7C03" w:rsidRDefault="00BC71AB" w:rsidP="00BC71AB">
      <w:pPr>
        <w:pStyle w:val="Prrafodelista"/>
        <w:widowControl w:val="0"/>
        <w:numPr>
          <w:ilvl w:val="0"/>
          <w:numId w:val="1"/>
        </w:numPr>
        <w:contextualSpacing w:val="0"/>
        <w:rPr>
          <w:rFonts w:ascii="Calibri" w:hAnsi="Calibri" w:cs="Calibri"/>
          <w:b/>
          <w:sz w:val="22"/>
          <w:szCs w:val="22"/>
        </w:rPr>
      </w:pPr>
      <w:r w:rsidRPr="001C7C03">
        <w:rPr>
          <w:rFonts w:ascii="Calibri" w:hAnsi="Calibri" w:cs="Calibri"/>
          <w:b/>
          <w:sz w:val="22"/>
          <w:szCs w:val="22"/>
        </w:rPr>
        <w:t xml:space="preserve">META </w:t>
      </w:r>
      <w:proofErr w:type="spellStart"/>
      <w:r w:rsidRPr="001C7C03">
        <w:rPr>
          <w:rFonts w:ascii="Calibri" w:hAnsi="Calibri" w:cs="Calibri"/>
          <w:b/>
          <w:sz w:val="22"/>
          <w:szCs w:val="22"/>
        </w:rPr>
        <w:t>IAAPS</w:t>
      </w:r>
      <w:proofErr w:type="spellEnd"/>
      <w:r w:rsidRPr="001C7C03">
        <w:rPr>
          <w:rFonts w:ascii="Calibri" w:hAnsi="Calibri" w:cs="Calibri"/>
          <w:b/>
          <w:sz w:val="22"/>
          <w:szCs w:val="22"/>
        </w:rPr>
        <w:t xml:space="preserve">: COBERTURA </w:t>
      </w:r>
      <w:proofErr w:type="spellStart"/>
      <w:r w:rsidRPr="001C7C03">
        <w:rPr>
          <w:rFonts w:ascii="Calibri" w:hAnsi="Calibri" w:cs="Calibri"/>
          <w:b/>
          <w:sz w:val="22"/>
          <w:szCs w:val="22"/>
        </w:rPr>
        <w:t>EMP</w:t>
      </w:r>
      <w:proofErr w:type="spellEnd"/>
      <w:r w:rsidRPr="001C7C03">
        <w:rPr>
          <w:rFonts w:ascii="Calibri" w:hAnsi="Calibri" w:cs="Calibri"/>
          <w:b/>
          <w:sz w:val="22"/>
          <w:szCs w:val="22"/>
        </w:rPr>
        <w:t xml:space="preserve"> ADULTO MAYOR:</w:t>
      </w:r>
    </w:p>
    <w:p w:rsidR="00BC71AB" w:rsidRPr="0095076C" w:rsidRDefault="00BC71AB" w:rsidP="00BC71AB">
      <w:pPr>
        <w:spacing w:after="0" w:line="240" w:lineRule="auto"/>
        <w:ind w:left="360"/>
        <w:jc w:val="both"/>
        <w:rPr>
          <w:rFonts w:cs="Calibri"/>
          <w:b/>
          <w:i/>
          <w:sz w:val="16"/>
          <w:szCs w:val="16"/>
        </w:rPr>
      </w:pPr>
    </w:p>
    <w:tbl>
      <w:tblPr>
        <w:tblW w:w="7579" w:type="dxa"/>
        <w:jc w:val="center"/>
        <w:tblInd w:w="775"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tblPr>
      <w:tblGrid>
        <w:gridCol w:w="2057"/>
        <w:gridCol w:w="3254"/>
        <w:gridCol w:w="2268"/>
      </w:tblGrid>
      <w:tr w:rsidR="00BC71AB" w:rsidRPr="000E4A15" w:rsidTr="00B64063">
        <w:trPr>
          <w:trHeight w:val="739"/>
          <w:jc w:val="center"/>
        </w:trPr>
        <w:tc>
          <w:tcPr>
            <w:tcW w:w="2057" w:type="dxa"/>
            <w:shd w:val="clear" w:color="auto" w:fill="D6E3BC"/>
            <w:vAlign w:val="center"/>
            <w:hideMark/>
          </w:tcPr>
          <w:p w:rsidR="00BC71AB" w:rsidRPr="007A3349" w:rsidRDefault="00BC71AB" w:rsidP="00B64063">
            <w:pPr>
              <w:spacing w:after="0" w:line="240" w:lineRule="auto"/>
              <w:jc w:val="center"/>
              <w:rPr>
                <w:rFonts w:eastAsia="Times New Roman" w:cs="Calibri"/>
                <w:b/>
                <w:color w:val="215868"/>
                <w:sz w:val="18"/>
                <w:szCs w:val="18"/>
                <w:lang w:eastAsia="es-CL"/>
              </w:rPr>
            </w:pPr>
            <w:r w:rsidRPr="007A3349">
              <w:rPr>
                <w:rFonts w:eastAsia="Times New Roman" w:cs="Calibri"/>
                <w:b/>
                <w:color w:val="215868"/>
                <w:sz w:val="18"/>
                <w:szCs w:val="18"/>
                <w:lang w:eastAsia="es-CL"/>
              </w:rPr>
              <w:t xml:space="preserve">NOMBRE INDICADOR </w:t>
            </w:r>
          </w:p>
        </w:tc>
        <w:tc>
          <w:tcPr>
            <w:tcW w:w="3254" w:type="dxa"/>
            <w:shd w:val="clear" w:color="auto" w:fill="D6E3BC"/>
            <w:vAlign w:val="center"/>
            <w:hideMark/>
          </w:tcPr>
          <w:p w:rsidR="00BC71AB" w:rsidRPr="007A3349" w:rsidRDefault="00BC71AB" w:rsidP="00B64063">
            <w:pPr>
              <w:spacing w:after="0" w:line="240" w:lineRule="auto"/>
              <w:jc w:val="center"/>
              <w:rPr>
                <w:rFonts w:eastAsia="Times New Roman" w:cs="Calibri"/>
                <w:b/>
                <w:color w:val="215868"/>
                <w:sz w:val="18"/>
                <w:szCs w:val="18"/>
                <w:lang w:eastAsia="es-CL"/>
              </w:rPr>
            </w:pPr>
            <w:r w:rsidRPr="007A3349">
              <w:rPr>
                <w:rFonts w:eastAsia="Times New Roman" w:cs="Calibri"/>
                <w:b/>
                <w:color w:val="215868"/>
                <w:sz w:val="18"/>
                <w:szCs w:val="18"/>
                <w:lang w:val="es-ES_tradnl" w:eastAsia="es-CL"/>
              </w:rPr>
              <w:t>NUMERADOR/DENOMINADOR</w:t>
            </w:r>
          </w:p>
        </w:tc>
        <w:tc>
          <w:tcPr>
            <w:tcW w:w="2268" w:type="dxa"/>
            <w:shd w:val="clear" w:color="auto" w:fill="D6E3BC"/>
            <w:vAlign w:val="center"/>
            <w:hideMark/>
          </w:tcPr>
          <w:p w:rsidR="00BC71AB" w:rsidRPr="007A3349" w:rsidRDefault="00BC71AB" w:rsidP="00B64063">
            <w:pPr>
              <w:spacing w:after="0" w:line="240" w:lineRule="auto"/>
              <w:jc w:val="center"/>
              <w:rPr>
                <w:rFonts w:eastAsia="Times New Roman" w:cs="Calibri"/>
                <w:b/>
                <w:color w:val="215868"/>
                <w:sz w:val="18"/>
                <w:szCs w:val="18"/>
                <w:lang w:eastAsia="es-CL"/>
              </w:rPr>
            </w:pPr>
            <w:r w:rsidRPr="007A3349">
              <w:rPr>
                <w:rFonts w:eastAsia="Times New Roman" w:cs="Calibri"/>
                <w:b/>
                <w:color w:val="215868"/>
                <w:sz w:val="18"/>
                <w:szCs w:val="18"/>
                <w:lang w:val="es-ES_tradnl" w:eastAsia="es-CL"/>
              </w:rPr>
              <w:t>CUMPLIMIENTO A DICIEMBRE 2017:</w:t>
            </w:r>
          </w:p>
        </w:tc>
      </w:tr>
      <w:tr w:rsidR="00BC71AB" w:rsidRPr="000E4A15" w:rsidTr="00B64063">
        <w:trPr>
          <w:trHeight w:val="360"/>
          <w:jc w:val="center"/>
        </w:trPr>
        <w:tc>
          <w:tcPr>
            <w:tcW w:w="2057" w:type="dxa"/>
            <w:tcBorders>
              <w:top w:val="single" w:sz="18" w:space="0" w:color="4F81BD"/>
              <w:bottom w:val="single" w:sz="4" w:space="0" w:color="auto"/>
            </w:tcBorders>
            <w:shd w:val="clear" w:color="auto" w:fill="8DB3E2"/>
            <w:vAlign w:val="center"/>
            <w:hideMark/>
          </w:tcPr>
          <w:p w:rsidR="00BC71AB" w:rsidRPr="000E4A15" w:rsidRDefault="00BC71AB" w:rsidP="00B64063">
            <w:pPr>
              <w:spacing w:after="0" w:line="240" w:lineRule="auto"/>
              <w:jc w:val="center"/>
              <w:rPr>
                <w:rFonts w:eastAsia="Times New Roman" w:cs="Calibri"/>
                <w:color w:val="000000"/>
                <w:lang w:eastAsia="es-CL"/>
              </w:rPr>
            </w:pPr>
            <w:r w:rsidRPr="000E4A15">
              <w:rPr>
                <w:rFonts w:eastAsia="Times New Roman" w:cs="Calibri"/>
                <w:color w:val="000000"/>
                <w:lang w:eastAsia="es-CL"/>
              </w:rPr>
              <w:t xml:space="preserve">META: Cobertura </w:t>
            </w:r>
            <w:proofErr w:type="spellStart"/>
            <w:r w:rsidRPr="000E4A15">
              <w:rPr>
                <w:rFonts w:eastAsia="Times New Roman" w:cs="Calibri"/>
                <w:color w:val="000000"/>
                <w:lang w:eastAsia="es-CL"/>
              </w:rPr>
              <w:t>EMP</w:t>
            </w:r>
            <w:proofErr w:type="spellEnd"/>
            <w:r w:rsidRPr="000E4A15">
              <w:rPr>
                <w:rFonts w:eastAsia="Times New Roman" w:cs="Calibri"/>
                <w:color w:val="000000"/>
                <w:lang w:eastAsia="es-CL"/>
              </w:rPr>
              <w:t xml:space="preserve"> adulto de 65 y más años.</w:t>
            </w:r>
          </w:p>
        </w:tc>
        <w:tc>
          <w:tcPr>
            <w:tcW w:w="3254" w:type="dxa"/>
            <w:tcBorders>
              <w:top w:val="single" w:sz="18" w:space="0" w:color="4F81BD"/>
              <w:bottom w:val="single" w:sz="4" w:space="0" w:color="auto"/>
            </w:tcBorders>
            <w:shd w:val="clear" w:color="auto" w:fill="8DB3E2"/>
            <w:vAlign w:val="center"/>
            <w:hideMark/>
          </w:tcPr>
          <w:p w:rsidR="00BC71AB" w:rsidRPr="000E4A15" w:rsidRDefault="00BC71AB" w:rsidP="00B64063">
            <w:pPr>
              <w:spacing w:after="0" w:line="240" w:lineRule="auto"/>
              <w:rPr>
                <w:rFonts w:eastAsia="Times New Roman" w:cs="Calibri"/>
                <w:color w:val="000000"/>
                <w:lang w:eastAsia="es-CL"/>
              </w:rPr>
            </w:pPr>
            <w:r w:rsidRPr="000E4A15">
              <w:rPr>
                <w:rFonts w:eastAsia="Times New Roman" w:cs="Calibri"/>
                <w:color w:val="000000"/>
                <w:lang w:eastAsia="es-CL"/>
              </w:rPr>
              <w:t xml:space="preserve">(Nº de adultos de 65 y más años, con examen de medicina preventiva / población inscrita de 65 años y más años validada por </w:t>
            </w:r>
            <w:proofErr w:type="spellStart"/>
            <w:r w:rsidRPr="000E4A15">
              <w:rPr>
                <w:rFonts w:eastAsia="Times New Roman" w:cs="Calibri"/>
                <w:color w:val="000000"/>
                <w:lang w:eastAsia="es-CL"/>
              </w:rPr>
              <w:t>Fonasa</w:t>
            </w:r>
            <w:proofErr w:type="spellEnd"/>
            <w:r w:rsidRPr="000E4A15">
              <w:rPr>
                <w:rFonts w:eastAsia="Times New Roman" w:cs="Calibri"/>
                <w:color w:val="000000"/>
                <w:lang w:eastAsia="es-CL"/>
              </w:rPr>
              <w:t>)*100.</w:t>
            </w:r>
          </w:p>
        </w:tc>
        <w:tc>
          <w:tcPr>
            <w:tcW w:w="2268" w:type="dxa"/>
            <w:tcBorders>
              <w:top w:val="single" w:sz="18" w:space="0" w:color="4F81BD"/>
              <w:bottom w:val="single" w:sz="4" w:space="0" w:color="auto"/>
            </w:tcBorders>
            <w:shd w:val="clear" w:color="auto" w:fill="8DB3E2"/>
            <w:vAlign w:val="center"/>
            <w:hideMark/>
          </w:tcPr>
          <w:p w:rsidR="00BC71AB" w:rsidRPr="000E4A15" w:rsidRDefault="00BC71AB" w:rsidP="00B64063">
            <w:pPr>
              <w:spacing w:after="0" w:line="240" w:lineRule="auto"/>
              <w:rPr>
                <w:rFonts w:eastAsia="Times New Roman" w:cs="Calibri"/>
                <w:color w:val="000000"/>
                <w:lang w:eastAsia="es-CL"/>
              </w:rPr>
            </w:pPr>
            <w:r w:rsidRPr="000E4A15">
              <w:rPr>
                <w:rFonts w:eastAsia="Times New Roman" w:cs="Calibri"/>
                <w:color w:val="000000"/>
                <w:lang w:val="es-ES_tradnl" w:eastAsia="es-CL"/>
              </w:rPr>
              <w:t>932/1264=  73.73%</w:t>
            </w:r>
          </w:p>
        </w:tc>
      </w:tr>
    </w:tbl>
    <w:p w:rsidR="00BC71AB" w:rsidRDefault="00BC71AB" w:rsidP="00BC71AB">
      <w:pPr>
        <w:spacing w:after="0" w:line="240" w:lineRule="auto"/>
        <w:jc w:val="both"/>
        <w:rPr>
          <w:rFonts w:cs="Calibri"/>
        </w:rPr>
      </w:pPr>
    </w:p>
    <w:p w:rsidR="00BC71AB" w:rsidRDefault="00BC71AB" w:rsidP="00BC71AB">
      <w:pPr>
        <w:spacing w:after="0" w:line="240" w:lineRule="auto"/>
        <w:jc w:val="both"/>
        <w:rPr>
          <w:rFonts w:cs="Calibri"/>
        </w:rPr>
      </w:pPr>
      <w:r w:rsidRPr="000E4A15">
        <w:rPr>
          <w:rFonts w:cs="Calibri"/>
        </w:rPr>
        <w:t>Durante el año 2017 se supera la meta local acordada que era de 71,2%, llegando a un cumplimiento de 73.73% al mes de diciembre del 2017 de aplicación de la evaluación del instrumento de evaluación de funcionalidad del adulto mayor, esta meta supera la media nacional que es de 55% para el 2017,  en un 18,73% a nivel local.</w:t>
      </w:r>
    </w:p>
    <w:p w:rsidR="00BC71AB" w:rsidRDefault="00BC71AB" w:rsidP="00BC71AB">
      <w:pPr>
        <w:spacing w:after="0" w:line="240" w:lineRule="auto"/>
        <w:jc w:val="both"/>
        <w:rPr>
          <w:rFonts w:cs="Calibri"/>
        </w:rPr>
      </w:pPr>
    </w:p>
    <w:p w:rsidR="00DB4F5F" w:rsidRPr="000E4A15" w:rsidRDefault="00DB4F5F" w:rsidP="00BC71AB">
      <w:pPr>
        <w:spacing w:after="0" w:line="240" w:lineRule="auto"/>
        <w:jc w:val="both"/>
        <w:rPr>
          <w:rFonts w:cs="Calibri"/>
        </w:rPr>
      </w:pPr>
    </w:p>
    <w:p w:rsidR="00BC71AB" w:rsidRPr="001C7C03" w:rsidRDefault="00BC71AB" w:rsidP="00BC71AB">
      <w:pPr>
        <w:spacing w:after="0" w:line="240" w:lineRule="auto"/>
        <w:jc w:val="both"/>
        <w:rPr>
          <w:rFonts w:cs="Calibri"/>
          <w:color w:val="475156"/>
          <w:shd w:val="clear" w:color="auto" w:fill="FFFFFF"/>
        </w:rPr>
      </w:pPr>
      <w:r w:rsidRPr="001C7C03">
        <w:rPr>
          <w:rFonts w:cs="Calibri"/>
          <w:b/>
        </w:rPr>
        <w:t xml:space="preserve">b) EVALUACIÓN SEGÚN CONDICIÓN DE FUNCIONALIDAD DEL ADULTO MAYOR </w:t>
      </w:r>
      <w:proofErr w:type="spellStart"/>
      <w:r w:rsidRPr="001C7C03">
        <w:rPr>
          <w:rFonts w:cs="Calibri"/>
          <w:b/>
        </w:rPr>
        <w:t>DIC</w:t>
      </w:r>
      <w:proofErr w:type="spellEnd"/>
      <w:r w:rsidRPr="001C7C03">
        <w:rPr>
          <w:rFonts w:cs="Calibri"/>
          <w:b/>
        </w:rPr>
        <w:t xml:space="preserve"> 2017:</w:t>
      </w:r>
      <w:r w:rsidRPr="001C7C03">
        <w:rPr>
          <w:rFonts w:cs="Calibri"/>
          <w:color w:val="475156"/>
          <w:shd w:val="clear" w:color="auto" w:fill="FFFFFF"/>
        </w:rPr>
        <w:t xml:space="preserve"> </w:t>
      </w:r>
    </w:p>
    <w:p w:rsidR="00BC71AB" w:rsidRPr="00D452CF" w:rsidRDefault="00BC71AB" w:rsidP="00BC71AB">
      <w:pPr>
        <w:spacing w:after="0" w:line="240" w:lineRule="auto"/>
        <w:jc w:val="both"/>
        <w:rPr>
          <w:rFonts w:cs="Calibri"/>
          <w:color w:val="475156"/>
          <w:sz w:val="16"/>
          <w:szCs w:val="16"/>
          <w:shd w:val="clear" w:color="auto" w:fill="FFFFFF"/>
        </w:rPr>
      </w:pPr>
    </w:p>
    <w:p w:rsidR="00BC71AB" w:rsidRPr="000E4A15" w:rsidRDefault="00BC71AB" w:rsidP="00BC71AB">
      <w:pPr>
        <w:spacing w:after="0" w:line="240" w:lineRule="auto"/>
        <w:jc w:val="both"/>
        <w:rPr>
          <w:rFonts w:cs="Calibri"/>
          <w:shd w:val="clear" w:color="auto" w:fill="FFFFFF"/>
        </w:rPr>
      </w:pPr>
      <w:r w:rsidRPr="000E4A15">
        <w:rPr>
          <w:rFonts w:cs="Calibri"/>
          <w:shd w:val="clear" w:color="auto" w:fill="FFFFFF"/>
        </w:rPr>
        <w:t>Desde hace ya una década, el Ministerio de Salud ha instalado la medición de la funcionalidad como un examen universal: Examen de Medicina Preventiva del Adulto Mayor (</w:t>
      </w:r>
      <w:proofErr w:type="spellStart"/>
      <w:r w:rsidRPr="000E4A15">
        <w:rPr>
          <w:rFonts w:cs="Calibri"/>
          <w:shd w:val="clear" w:color="auto" w:fill="FFFFFF"/>
        </w:rPr>
        <w:t>EMPAM</w:t>
      </w:r>
      <w:proofErr w:type="spellEnd"/>
      <w:r w:rsidRPr="000E4A15">
        <w:rPr>
          <w:rFonts w:cs="Calibri"/>
          <w:shd w:val="clear" w:color="auto" w:fill="FFFFFF"/>
        </w:rPr>
        <w:t xml:space="preserve">), promoviendo el envejecimiento saludable. A partir de esta medición, donde cada adulto mayor, es clasificado según riesgo de perder la funcionalidad, se implementan acciones, netamente preventivas, de tratamiento o rehabilitadoras. Acciones que pueden referirse al riesgo cardiovascular, a la salud mental o al ámbito  </w:t>
      </w:r>
      <w:proofErr w:type="spellStart"/>
      <w:r w:rsidRPr="000E4A15">
        <w:rPr>
          <w:rFonts w:cs="Calibri"/>
          <w:shd w:val="clear" w:color="auto" w:fill="FFFFFF"/>
        </w:rPr>
        <w:t>osteo</w:t>
      </w:r>
      <w:proofErr w:type="spellEnd"/>
      <w:r w:rsidRPr="000E4A15">
        <w:rPr>
          <w:rFonts w:cs="Calibri"/>
          <w:shd w:val="clear" w:color="auto" w:fill="FFFFFF"/>
        </w:rPr>
        <w:t xml:space="preserve">- articular que presenten los adultos mayores evaluados. </w:t>
      </w:r>
    </w:p>
    <w:tbl>
      <w:tblPr>
        <w:tblW w:w="7008" w:type="dxa"/>
        <w:tblInd w:w="108" w:type="dxa"/>
        <w:tblBorders>
          <w:top w:val="single" w:sz="8" w:space="0" w:color="4F81BD"/>
          <w:bottom w:val="single" w:sz="8" w:space="0" w:color="4F81BD"/>
        </w:tblBorders>
        <w:shd w:val="clear" w:color="auto" w:fill="DAEEF3"/>
        <w:tblLayout w:type="fixed"/>
        <w:tblLook w:val="04A0"/>
      </w:tblPr>
      <w:tblGrid>
        <w:gridCol w:w="2342"/>
        <w:gridCol w:w="1134"/>
        <w:gridCol w:w="1123"/>
        <w:gridCol w:w="1134"/>
        <w:gridCol w:w="1275"/>
      </w:tblGrid>
      <w:tr w:rsidR="00BC71AB" w:rsidRPr="000E4A15" w:rsidTr="00D81D52">
        <w:trPr>
          <w:trHeight w:val="347"/>
        </w:trPr>
        <w:tc>
          <w:tcPr>
            <w:tcW w:w="2342" w:type="dxa"/>
            <w:tcBorders>
              <w:top w:val="single" w:sz="4" w:space="0" w:color="auto"/>
              <w:left w:val="single" w:sz="4" w:space="0" w:color="auto"/>
              <w:bottom w:val="single" w:sz="4" w:space="0" w:color="auto"/>
              <w:right w:val="single" w:sz="4" w:space="0" w:color="auto"/>
            </w:tcBorders>
            <w:shd w:val="clear" w:color="auto" w:fill="F2DBDB"/>
            <w:hideMark/>
          </w:tcPr>
          <w:p w:rsidR="00BC71AB" w:rsidRPr="000E4A15" w:rsidRDefault="00BC71AB" w:rsidP="00B64063">
            <w:pPr>
              <w:spacing w:after="0" w:line="240" w:lineRule="auto"/>
              <w:jc w:val="center"/>
              <w:rPr>
                <w:rFonts w:eastAsia="Times New Roman" w:cs="Calibri"/>
                <w:b/>
                <w:i/>
                <w:iCs/>
                <w:color w:val="000000"/>
                <w:lang w:eastAsia="es-CL"/>
              </w:rPr>
            </w:pPr>
            <w:proofErr w:type="spellStart"/>
            <w:r w:rsidRPr="000E4A15">
              <w:rPr>
                <w:rFonts w:eastAsia="Times New Roman" w:cs="Calibri"/>
                <w:i/>
                <w:iCs/>
                <w:color w:val="000000"/>
                <w:lang w:val="en-US" w:eastAsia="es-CL"/>
              </w:rPr>
              <w:t>Funcionalidad</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2DBDB"/>
            <w:hideMark/>
          </w:tcPr>
          <w:p w:rsidR="00BC71AB" w:rsidRPr="000E4A15" w:rsidRDefault="00BC71AB" w:rsidP="00B64063">
            <w:pPr>
              <w:spacing w:after="0" w:line="240" w:lineRule="auto"/>
              <w:ind w:left="-108" w:right="-108"/>
              <w:jc w:val="center"/>
              <w:rPr>
                <w:rFonts w:eastAsia="Times New Roman" w:cs="Calibri"/>
                <w:b/>
                <w:i/>
                <w:iCs/>
                <w:color w:val="000000"/>
                <w:lang w:eastAsia="es-CL"/>
              </w:rPr>
            </w:pPr>
            <w:r w:rsidRPr="000E4A15">
              <w:rPr>
                <w:rFonts w:eastAsia="Times New Roman" w:cs="Calibri"/>
                <w:i/>
                <w:iCs/>
                <w:color w:val="000000"/>
                <w:lang w:val="en-US" w:eastAsia="es-CL"/>
              </w:rPr>
              <w:t xml:space="preserve">Sector 1 Cesfam </w:t>
            </w:r>
            <w:proofErr w:type="spellStart"/>
            <w:r w:rsidRPr="000E4A15">
              <w:rPr>
                <w:rFonts w:eastAsia="Times New Roman" w:cs="Calibri"/>
                <w:i/>
                <w:iCs/>
                <w:color w:val="000000"/>
                <w:lang w:val="en-US" w:eastAsia="es-CL"/>
              </w:rPr>
              <w:t>FVM</w:t>
            </w:r>
            <w:proofErr w:type="spellEnd"/>
          </w:p>
        </w:tc>
        <w:tc>
          <w:tcPr>
            <w:tcW w:w="1123" w:type="dxa"/>
            <w:tcBorders>
              <w:top w:val="single" w:sz="4" w:space="0" w:color="auto"/>
              <w:left w:val="single" w:sz="4" w:space="0" w:color="auto"/>
              <w:bottom w:val="single" w:sz="4" w:space="0" w:color="auto"/>
              <w:right w:val="single" w:sz="4" w:space="0" w:color="auto"/>
            </w:tcBorders>
            <w:shd w:val="clear" w:color="auto" w:fill="F2DBDB"/>
            <w:hideMark/>
          </w:tcPr>
          <w:p w:rsidR="00BC71AB" w:rsidRPr="000E4A15" w:rsidRDefault="00BC71AB" w:rsidP="00B64063">
            <w:pPr>
              <w:spacing w:after="0" w:line="240" w:lineRule="auto"/>
              <w:jc w:val="center"/>
              <w:rPr>
                <w:rFonts w:eastAsia="Times New Roman" w:cs="Calibri"/>
                <w:b/>
                <w:i/>
                <w:iCs/>
                <w:color w:val="000000"/>
                <w:lang w:val="en-US" w:eastAsia="es-CL"/>
              </w:rPr>
            </w:pPr>
            <w:r w:rsidRPr="000E4A15">
              <w:rPr>
                <w:rFonts w:eastAsia="Times New Roman" w:cs="Calibri"/>
                <w:i/>
                <w:iCs/>
                <w:color w:val="000000"/>
                <w:lang w:val="en-US" w:eastAsia="es-CL"/>
              </w:rPr>
              <w:t>Sector 2</w:t>
            </w:r>
          </w:p>
          <w:p w:rsidR="00BC71AB" w:rsidRPr="000E4A15" w:rsidRDefault="00BC71AB" w:rsidP="00B64063">
            <w:pPr>
              <w:spacing w:after="0" w:line="240" w:lineRule="auto"/>
              <w:jc w:val="center"/>
              <w:rPr>
                <w:rFonts w:eastAsia="Times New Roman" w:cs="Calibri"/>
                <w:b/>
                <w:i/>
                <w:iCs/>
                <w:color w:val="000000"/>
                <w:lang w:eastAsia="es-CL"/>
              </w:rPr>
            </w:pPr>
            <w:proofErr w:type="spellStart"/>
            <w:r w:rsidRPr="000E4A15">
              <w:rPr>
                <w:rFonts w:eastAsia="Times New Roman" w:cs="Calibri"/>
                <w:i/>
                <w:iCs/>
                <w:color w:val="000000"/>
                <w:lang w:val="en-US" w:eastAsia="es-CL"/>
              </w:rPr>
              <w:t>postas</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2DBDB"/>
            <w:hideMark/>
          </w:tcPr>
          <w:p w:rsidR="00BC71AB" w:rsidRPr="000E4A15" w:rsidRDefault="00BC71AB" w:rsidP="00B64063">
            <w:pPr>
              <w:spacing w:after="0" w:line="240" w:lineRule="auto"/>
              <w:jc w:val="center"/>
              <w:rPr>
                <w:rFonts w:eastAsia="Times New Roman" w:cs="Calibri"/>
                <w:b/>
                <w:i/>
                <w:iCs/>
                <w:color w:val="000000"/>
                <w:lang w:eastAsia="es-CL"/>
              </w:rPr>
            </w:pPr>
            <w:r w:rsidRPr="000E4A15">
              <w:rPr>
                <w:rFonts w:eastAsia="Times New Roman" w:cs="Calibri"/>
                <w:i/>
                <w:iCs/>
                <w:color w:val="000000"/>
                <w:lang w:val="en-US" w:eastAsia="es-CL"/>
              </w:rPr>
              <w:t>Total</w:t>
            </w:r>
          </w:p>
        </w:tc>
        <w:tc>
          <w:tcPr>
            <w:tcW w:w="1275" w:type="dxa"/>
            <w:tcBorders>
              <w:top w:val="single" w:sz="4" w:space="0" w:color="auto"/>
              <w:left w:val="single" w:sz="4" w:space="0" w:color="auto"/>
              <w:bottom w:val="single" w:sz="4" w:space="0" w:color="auto"/>
              <w:right w:val="single" w:sz="4" w:space="0" w:color="auto"/>
            </w:tcBorders>
            <w:shd w:val="clear" w:color="auto" w:fill="F2DBDB"/>
            <w:hideMark/>
          </w:tcPr>
          <w:p w:rsidR="00BC71AB" w:rsidRPr="000E4A15" w:rsidRDefault="00BC71AB" w:rsidP="00B64063">
            <w:pPr>
              <w:spacing w:after="0" w:line="240" w:lineRule="auto"/>
              <w:jc w:val="center"/>
              <w:rPr>
                <w:rFonts w:eastAsia="Times New Roman" w:cs="Calibri"/>
                <w:b/>
                <w:i/>
                <w:iCs/>
                <w:color w:val="000000"/>
                <w:lang w:eastAsia="es-CL"/>
              </w:rPr>
            </w:pPr>
            <w:proofErr w:type="spellStart"/>
            <w:r w:rsidRPr="000E4A15">
              <w:rPr>
                <w:rFonts w:eastAsia="Times New Roman" w:cs="Calibri"/>
                <w:i/>
                <w:iCs/>
                <w:color w:val="000000"/>
                <w:lang w:val="en-US" w:eastAsia="es-CL"/>
              </w:rPr>
              <w:t>Porcentaje</w:t>
            </w:r>
            <w:proofErr w:type="spellEnd"/>
          </w:p>
        </w:tc>
      </w:tr>
      <w:tr w:rsidR="00BC71AB" w:rsidRPr="000E4A15" w:rsidTr="00D81D52">
        <w:trPr>
          <w:trHeight w:val="347"/>
        </w:trPr>
        <w:tc>
          <w:tcPr>
            <w:tcW w:w="2342" w:type="dxa"/>
            <w:tcBorders>
              <w:top w:val="single" w:sz="4" w:space="0" w:color="auto"/>
              <w:left w:val="single" w:sz="4" w:space="0" w:color="auto"/>
              <w:bottom w:val="single" w:sz="4" w:space="0" w:color="auto"/>
              <w:right w:val="single" w:sz="4" w:space="0" w:color="auto"/>
            </w:tcBorders>
            <w:shd w:val="clear" w:color="auto" w:fill="DAEEF3"/>
            <w:hideMark/>
          </w:tcPr>
          <w:p w:rsidR="00BC71AB" w:rsidRPr="000E4A15" w:rsidRDefault="00BC71AB" w:rsidP="00B64063">
            <w:pPr>
              <w:spacing w:after="0" w:line="240" w:lineRule="auto"/>
              <w:rPr>
                <w:rFonts w:eastAsia="Times New Roman" w:cs="Calibri"/>
                <w:b/>
                <w:i/>
                <w:iCs/>
                <w:color w:val="000000"/>
                <w:lang w:eastAsia="es-CL"/>
              </w:rPr>
            </w:pPr>
            <w:proofErr w:type="spellStart"/>
            <w:r w:rsidRPr="000E4A15">
              <w:rPr>
                <w:rFonts w:eastAsia="Times New Roman" w:cs="Calibri"/>
                <w:i/>
                <w:iCs/>
                <w:color w:val="000000"/>
                <w:lang w:val="en-US" w:eastAsia="es-CL"/>
              </w:rPr>
              <w:t>Autovalente</w:t>
            </w:r>
            <w:proofErr w:type="spellEnd"/>
            <w:r w:rsidRPr="000E4A15">
              <w:rPr>
                <w:rFonts w:eastAsia="Times New Roman" w:cs="Calibri"/>
                <w:i/>
                <w:iCs/>
                <w:color w:val="000000"/>
                <w:lang w:val="en-US" w:eastAsia="es-CL"/>
              </w:rPr>
              <w:t xml:space="preserve"> sin  </w:t>
            </w:r>
            <w:proofErr w:type="spellStart"/>
            <w:r w:rsidRPr="000E4A15">
              <w:rPr>
                <w:rFonts w:eastAsia="Times New Roman" w:cs="Calibri"/>
                <w:i/>
                <w:iCs/>
                <w:color w:val="000000"/>
                <w:lang w:val="en-US" w:eastAsia="es-CL"/>
              </w:rPr>
              <w:t>Riesgo</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DAEEF3"/>
            <w:hideMark/>
          </w:tcPr>
          <w:p w:rsidR="00BC71AB" w:rsidRPr="000E4A15" w:rsidRDefault="00BC71AB" w:rsidP="00B64063">
            <w:pPr>
              <w:spacing w:after="0" w:line="240" w:lineRule="auto"/>
              <w:jc w:val="center"/>
              <w:rPr>
                <w:rFonts w:eastAsia="Times New Roman" w:cs="Calibri"/>
                <w:i/>
                <w:iCs/>
                <w:color w:val="000000"/>
                <w:lang w:eastAsia="es-CL"/>
              </w:rPr>
            </w:pPr>
            <w:r w:rsidRPr="000E4A15">
              <w:rPr>
                <w:rFonts w:eastAsia="Times New Roman" w:cs="Calibri"/>
                <w:i/>
                <w:iCs/>
                <w:color w:val="000000"/>
                <w:lang w:val="en-US" w:eastAsia="es-CL"/>
              </w:rPr>
              <w:t>219</w:t>
            </w:r>
          </w:p>
        </w:tc>
        <w:tc>
          <w:tcPr>
            <w:tcW w:w="1123" w:type="dxa"/>
            <w:tcBorders>
              <w:top w:val="single" w:sz="4" w:space="0" w:color="auto"/>
              <w:left w:val="single" w:sz="4" w:space="0" w:color="auto"/>
              <w:bottom w:val="single" w:sz="4" w:space="0" w:color="auto"/>
              <w:right w:val="single" w:sz="4" w:space="0" w:color="auto"/>
            </w:tcBorders>
            <w:shd w:val="clear" w:color="auto" w:fill="DAEEF3"/>
            <w:hideMark/>
          </w:tcPr>
          <w:p w:rsidR="00BC71AB" w:rsidRPr="000E4A15" w:rsidRDefault="00BC71AB" w:rsidP="00B64063">
            <w:pPr>
              <w:spacing w:after="0" w:line="240" w:lineRule="auto"/>
              <w:jc w:val="center"/>
              <w:rPr>
                <w:rFonts w:eastAsia="Times New Roman" w:cs="Calibri"/>
                <w:i/>
                <w:iCs/>
                <w:color w:val="000000"/>
                <w:lang w:eastAsia="es-CL"/>
              </w:rPr>
            </w:pPr>
            <w:r w:rsidRPr="000E4A15">
              <w:rPr>
                <w:rFonts w:eastAsia="Times New Roman" w:cs="Calibri"/>
                <w:i/>
                <w:iCs/>
                <w:color w:val="000000"/>
                <w:lang w:val="en-US" w:eastAsia="es-CL"/>
              </w:rPr>
              <w:t>198</w:t>
            </w:r>
          </w:p>
        </w:tc>
        <w:tc>
          <w:tcPr>
            <w:tcW w:w="1134" w:type="dxa"/>
            <w:tcBorders>
              <w:top w:val="single" w:sz="4" w:space="0" w:color="auto"/>
              <w:left w:val="single" w:sz="4" w:space="0" w:color="auto"/>
              <w:bottom w:val="single" w:sz="4" w:space="0" w:color="auto"/>
              <w:right w:val="single" w:sz="4" w:space="0" w:color="auto"/>
            </w:tcBorders>
            <w:shd w:val="clear" w:color="auto" w:fill="DAEEF3"/>
            <w:hideMark/>
          </w:tcPr>
          <w:p w:rsidR="00BC71AB" w:rsidRPr="000E4A15" w:rsidRDefault="00BC71AB" w:rsidP="00B64063">
            <w:pPr>
              <w:spacing w:after="0" w:line="240" w:lineRule="auto"/>
              <w:jc w:val="center"/>
              <w:rPr>
                <w:rFonts w:eastAsia="Times New Roman" w:cs="Calibri"/>
                <w:i/>
                <w:iCs/>
                <w:color w:val="000000"/>
                <w:lang w:eastAsia="es-CL"/>
              </w:rPr>
            </w:pPr>
            <w:r w:rsidRPr="000E4A15">
              <w:rPr>
                <w:rFonts w:eastAsia="Times New Roman" w:cs="Calibri"/>
                <w:i/>
                <w:iCs/>
                <w:color w:val="000000"/>
                <w:lang w:eastAsia="es-CL"/>
              </w:rPr>
              <w:t>417</w:t>
            </w:r>
          </w:p>
        </w:tc>
        <w:tc>
          <w:tcPr>
            <w:tcW w:w="1275" w:type="dxa"/>
            <w:tcBorders>
              <w:top w:val="single" w:sz="4" w:space="0" w:color="auto"/>
              <w:left w:val="single" w:sz="4" w:space="0" w:color="auto"/>
              <w:bottom w:val="single" w:sz="4" w:space="0" w:color="auto"/>
              <w:right w:val="single" w:sz="4" w:space="0" w:color="auto"/>
            </w:tcBorders>
            <w:shd w:val="clear" w:color="auto" w:fill="DAEEF3"/>
            <w:hideMark/>
          </w:tcPr>
          <w:p w:rsidR="00BC71AB" w:rsidRPr="000E4A15" w:rsidRDefault="00BC71AB" w:rsidP="00B64063">
            <w:pPr>
              <w:spacing w:after="0" w:line="240" w:lineRule="auto"/>
              <w:jc w:val="center"/>
              <w:rPr>
                <w:rFonts w:eastAsia="Times New Roman" w:cs="Calibri"/>
                <w:i/>
                <w:iCs/>
                <w:lang w:eastAsia="es-CL"/>
              </w:rPr>
            </w:pPr>
            <w:r w:rsidRPr="000E4A15">
              <w:rPr>
                <w:rFonts w:eastAsia="Times New Roman" w:cs="Calibri"/>
                <w:i/>
                <w:iCs/>
                <w:lang w:val="en-US" w:eastAsia="es-CL"/>
              </w:rPr>
              <w:t>39.0%</w:t>
            </w:r>
          </w:p>
        </w:tc>
      </w:tr>
      <w:tr w:rsidR="00BC71AB" w:rsidRPr="000E4A15" w:rsidTr="00D81D52">
        <w:trPr>
          <w:trHeight w:val="347"/>
        </w:trPr>
        <w:tc>
          <w:tcPr>
            <w:tcW w:w="2342" w:type="dxa"/>
            <w:tcBorders>
              <w:top w:val="single" w:sz="4" w:space="0" w:color="auto"/>
              <w:left w:val="single" w:sz="4" w:space="0" w:color="auto"/>
              <w:bottom w:val="single" w:sz="4" w:space="0" w:color="auto"/>
              <w:right w:val="single" w:sz="4" w:space="0" w:color="auto"/>
            </w:tcBorders>
            <w:shd w:val="clear" w:color="auto" w:fill="F2DBDB"/>
            <w:hideMark/>
          </w:tcPr>
          <w:p w:rsidR="00BC71AB" w:rsidRPr="000E4A15" w:rsidRDefault="00BC71AB" w:rsidP="00B64063">
            <w:pPr>
              <w:spacing w:after="0" w:line="240" w:lineRule="auto"/>
              <w:rPr>
                <w:rFonts w:eastAsia="Times New Roman" w:cs="Calibri"/>
                <w:b/>
                <w:i/>
                <w:iCs/>
                <w:color w:val="000000"/>
                <w:lang w:eastAsia="es-CL"/>
              </w:rPr>
            </w:pPr>
            <w:proofErr w:type="spellStart"/>
            <w:r w:rsidRPr="000E4A15">
              <w:rPr>
                <w:rFonts w:eastAsia="Times New Roman" w:cs="Calibri"/>
                <w:i/>
                <w:iCs/>
                <w:color w:val="000000"/>
                <w:lang w:val="en-US" w:eastAsia="es-CL"/>
              </w:rPr>
              <w:t>Autovalente</w:t>
            </w:r>
            <w:proofErr w:type="spellEnd"/>
            <w:r w:rsidRPr="000E4A15">
              <w:rPr>
                <w:rFonts w:eastAsia="Times New Roman" w:cs="Calibri"/>
                <w:i/>
                <w:iCs/>
                <w:color w:val="000000"/>
                <w:lang w:val="en-US" w:eastAsia="es-CL"/>
              </w:rPr>
              <w:t xml:space="preserve"> con </w:t>
            </w:r>
            <w:proofErr w:type="spellStart"/>
            <w:r w:rsidRPr="000E4A15">
              <w:rPr>
                <w:rFonts w:eastAsia="Times New Roman" w:cs="Calibri"/>
                <w:i/>
                <w:iCs/>
                <w:color w:val="000000"/>
                <w:lang w:val="en-US" w:eastAsia="es-CL"/>
              </w:rPr>
              <w:t>Riesgo</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2DBDB"/>
            <w:hideMark/>
          </w:tcPr>
          <w:p w:rsidR="00BC71AB" w:rsidRPr="000E4A15" w:rsidRDefault="00BC71AB" w:rsidP="00B64063">
            <w:pPr>
              <w:spacing w:after="0" w:line="240" w:lineRule="auto"/>
              <w:jc w:val="center"/>
              <w:rPr>
                <w:rFonts w:eastAsia="Times New Roman" w:cs="Calibri"/>
                <w:i/>
                <w:iCs/>
                <w:color w:val="000000"/>
                <w:lang w:eastAsia="es-CL"/>
              </w:rPr>
            </w:pPr>
            <w:r w:rsidRPr="000E4A15">
              <w:rPr>
                <w:rFonts w:eastAsia="Times New Roman" w:cs="Calibri"/>
                <w:i/>
                <w:iCs/>
                <w:color w:val="000000"/>
                <w:lang w:val="en-US" w:eastAsia="es-CL"/>
              </w:rPr>
              <w:t>173</w:t>
            </w:r>
          </w:p>
        </w:tc>
        <w:tc>
          <w:tcPr>
            <w:tcW w:w="1123" w:type="dxa"/>
            <w:tcBorders>
              <w:top w:val="single" w:sz="4" w:space="0" w:color="auto"/>
              <w:left w:val="single" w:sz="4" w:space="0" w:color="auto"/>
              <w:bottom w:val="single" w:sz="4" w:space="0" w:color="auto"/>
              <w:right w:val="single" w:sz="4" w:space="0" w:color="auto"/>
            </w:tcBorders>
            <w:shd w:val="clear" w:color="auto" w:fill="F2DBDB"/>
            <w:hideMark/>
          </w:tcPr>
          <w:p w:rsidR="00BC71AB" w:rsidRPr="000E4A15" w:rsidRDefault="00BC71AB" w:rsidP="00B64063">
            <w:pPr>
              <w:spacing w:after="0" w:line="240" w:lineRule="auto"/>
              <w:jc w:val="center"/>
              <w:rPr>
                <w:rFonts w:eastAsia="Times New Roman" w:cs="Calibri"/>
                <w:i/>
                <w:iCs/>
                <w:color w:val="000000"/>
                <w:lang w:eastAsia="es-CL"/>
              </w:rPr>
            </w:pPr>
            <w:r w:rsidRPr="000E4A15">
              <w:rPr>
                <w:rFonts w:eastAsia="Times New Roman" w:cs="Calibri"/>
                <w:i/>
                <w:iCs/>
                <w:color w:val="000000"/>
                <w:lang w:val="en-US" w:eastAsia="es-CL"/>
              </w:rPr>
              <w:t>114</w:t>
            </w:r>
          </w:p>
        </w:tc>
        <w:tc>
          <w:tcPr>
            <w:tcW w:w="1134" w:type="dxa"/>
            <w:tcBorders>
              <w:top w:val="single" w:sz="4" w:space="0" w:color="auto"/>
              <w:left w:val="single" w:sz="4" w:space="0" w:color="auto"/>
              <w:bottom w:val="single" w:sz="4" w:space="0" w:color="auto"/>
              <w:right w:val="single" w:sz="4" w:space="0" w:color="auto"/>
            </w:tcBorders>
            <w:shd w:val="clear" w:color="auto" w:fill="F2DBDB"/>
            <w:hideMark/>
          </w:tcPr>
          <w:p w:rsidR="00BC71AB" w:rsidRPr="000E4A15" w:rsidRDefault="00BC71AB" w:rsidP="00B64063">
            <w:pPr>
              <w:spacing w:after="0" w:line="240" w:lineRule="auto"/>
              <w:jc w:val="center"/>
              <w:rPr>
                <w:rFonts w:eastAsia="Times New Roman" w:cs="Calibri"/>
                <w:i/>
                <w:iCs/>
                <w:color w:val="000000"/>
                <w:lang w:eastAsia="es-CL"/>
              </w:rPr>
            </w:pPr>
            <w:r w:rsidRPr="000E4A15">
              <w:rPr>
                <w:rFonts w:eastAsia="Times New Roman" w:cs="Calibri"/>
                <w:i/>
                <w:iCs/>
                <w:color w:val="000000"/>
                <w:lang w:val="en-US" w:eastAsia="es-CL"/>
              </w:rPr>
              <w:t>287</w:t>
            </w:r>
          </w:p>
        </w:tc>
        <w:tc>
          <w:tcPr>
            <w:tcW w:w="1275" w:type="dxa"/>
            <w:tcBorders>
              <w:top w:val="single" w:sz="4" w:space="0" w:color="auto"/>
              <w:left w:val="single" w:sz="4" w:space="0" w:color="auto"/>
              <w:bottom w:val="single" w:sz="4" w:space="0" w:color="auto"/>
              <w:right w:val="single" w:sz="4" w:space="0" w:color="auto"/>
            </w:tcBorders>
            <w:shd w:val="clear" w:color="auto" w:fill="F2DBDB"/>
            <w:hideMark/>
          </w:tcPr>
          <w:p w:rsidR="00BC71AB" w:rsidRPr="000E4A15" w:rsidRDefault="00BC71AB" w:rsidP="00B64063">
            <w:pPr>
              <w:spacing w:after="0" w:line="240" w:lineRule="auto"/>
              <w:jc w:val="center"/>
              <w:rPr>
                <w:rFonts w:eastAsia="Times New Roman" w:cs="Calibri"/>
                <w:i/>
                <w:iCs/>
                <w:lang w:eastAsia="es-CL"/>
              </w:rPr>
            </w:pPr>
            <w:r w:rsidRPr="000E4A15">
              <w:rPr>
                <w:rFonts w:eastAsia="Times New Roman" w:cs="Calibri"/>
                <w:i/>
                <w:iCs/>
                <w:lang w:val="en-US" w:eastAsia="es-CL"/>
              </w:rPr>
              <w:t>26.85%</w:t>
            </w:r>
          </w:p>
        </w:tc>
      </w:tr>
      <w:tr w:rsidR="00BC71AB" w:rsidRPr="000E4A15" w:rsidTr="00D81D52">
        <w:trPr>
          <w:trHeight w:val="347"/>
        </w:trPr>
        <w:tc>
          <w:tcPr>
            <w:tcW w:w="2342" w:type="dxa"/>
            <w:tcBorders>
              <w:top w:val="single" w:sz="4" w:space="0" w:color="auto"/>
              <w:left w:val="single" w:sz="4" w:space="0" w:color="auto"/>
              <w:bottom w:val="single" w:sz="4" w:space="0" w:color="auto"/>
              <w:right w:val="single" w:sz="4" w:space="0" w:color="auto"/>
            </w:tcBorders>
            <w:shd w:val="clear" w:color="auto" w:fill="DAEEF3"/>
            <w:hideMark/>
          </w:tcPr>
          <w:p w:rsidR="00BC71AB" w:rsidRPr="000E4A15" w:rsidRDefault="00BC71AB" w:rsidP="00B64063">
            <w:pPr>
              <w:spacing w:after="0" w:line="240" w:lineRule="auto"/>
              <w:rPr>
                <w:rFonts w:eastAsia="Times New Roman" w:cs="Calibri"/>
                <w:b/>
                <w:i/>
                <w:iCs/>
                <w:color w:val="000000"/>
                <w:lang w:eastAsia="es-CL"/>
              </w:rPr>
            </w:pPr>
            <w:proofErr w:type="spellStart"/>
            <w:r w:rsidRPr="000E4A15">
              <w:rPr>
                <w:rFonts w:eastAsia="Times New Roman" w:cs="Calibri"/>
                <w:i/>
                <w:iCs/>
                <w:color w:val="000000"/>
                <w:lang w:val="en-US" w:eastAsia="es-CL"/>
              </w:rPr>
              <w:t>Riesgo</w:t>
            </w:r>
            <w:proofErr w:type="spellEnd"/>
            <w:r w:rsidRPr="000E4A15">
              <w:rPr>
                <w:rFonts w:eastAsia="Times New Roman" w:cs="Calibri"/>
                <w:i/>
                <w:iCs/>
                <w:color w:val="000000"/>
                <w:lang w:val="en-US" w:eastAsia="es-CL"/>
              </w:rPr>
              <w:t xml:space="preserve"> de </w:t>
            </w:r>
            <w:proofErr w:type="spellStart"/>
            <w:r w:rsidRPr="000E4A15">
              <w:rPr>
                <w:rFonts w:eastAsia="Times New Roman" w:cs="Calibri"/>
                <w:i/>
                <w:iCs/>
                <w:color w:val="000000"/>
                <w:lang w:val="en-US" w:eastAsia="es-CL"/>
              </w:rPr>
              <w:t>Dependencia</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DAEEF3"/>
            <w:hideMark/>
          </w:tcPr>
          <w:p w:rsidR="00BC71AB" w:rsidRPr="000E4A15" w:rsidRDefault="00BC71AB" w:rsidP="00B64063">
            <w:pPr>
              <w:spacing w:after="0" w:line="240" w:lineRule="auto"/>
              <w:jc w:val="center"/>
              <w:rPr>
                <w:rFonts w:eastAsia="Times New Roman" w:cs="Calibri"/>
                <w:i/>
                <w:iCs/>
                <w:color w:val="000000"/>
                <w:lang w:eastAsia="es-CL"/>
              </w:rPr>
            </w:pPr>
            <w:r w:rsidRPr="000E4A15">
              <w:rPr>
                <w:rFonts w:eastAsia="Times New Roman" w:cs="Calibri"/>
                <w:i/>
                <w:iCs/>
                <w:color w:val="000000"/>
                <w:lang w:val="en-US" w:eastAsia="es-CL"/>
              </w:rPr>
              <w:t>49</w:t>
            </w:r>
          </w:p>
        </w:tc>
        <w:tc>
          <w:tcPr>
            <w:tcW w:w="1123" w:type="dxa"/>
            <w:tcBorders>
              <w:top w:val="single" w:sz="4" w:space="0" w:color="auto"/>
              <w:left w:val="single" w:sz="4" w:space="0" w:color="auto"/>
              <w:bottom w:val="single" w:sz="4" w:space="0" w:color="auto"/>
              <w:right w:val="single" w:sz="4" w:space="0" w:color="auto"/>
            </w:tcBorders>
            <w:shd w:val="clear" w:color="auto" w:fill="DAEEF3"/>
            <w:hideMark/>
          </w:tcPr>
          <w:p w:rsidR="00BC71AB" w:rsidRPr="000E4A15" w:rsidRDefault="00BC71AB" w:rsidP="00B64063">
            <w:pPr>
              <w:spacing w:after="0" w:line="240" w:lineRule="auto"/>
              <w:jc w:val="center"/>
              <w:rPr>
                <w:rFonts w:eastAsia="Times New Roman" w:cs="Calibri"/>
                <w:i/>
                <w:iCs/>
                <w:color w:val="000000"/>
                <w:lang w:eastAsia="es-CL"/>
              </w:rPr>
            </w:pPr>
            <w:r w:rsidRPr="000E4A15">
              <w:rPr>
                <w:rFonts w:eastAsia="Times New Roman" w:cs="Calibri"/>
                <w:i/>
                <w:iCs/>
                <w:color w:val="000000"/>
                <w:lang w:val="en-US" w:eastAsia="es-CL"/>
              </w:rPr>
              <w:t>118</w:t>
            </w:r>
          </w:p>
        </w:tc>
        <w:tc>
          <w:tcPr>
            <w:tcW w:w="1134" w:type="dxa"/>
            <w:tcBorders>
              <w:top w:val="single" w:sz="4" w:space="0" w:color="auto"/>
              <w:left w:val="single" w:sz="4" w:space="0" w:color="auto"/>
              <w:bottom w:val="single" w:sz="4" w:space="0" w:color="auto"/>
              <w:right w:val="single" w:sz="4" w:space="0" w:color="auto"/>
            </w:tcBorders>
            <w:shd w:val="clear" w:color="auto" w:fill="DAEEF3"/>
            <w:hideMark/>
          </w:tcPr>
          <w:p w:rsidR="00BC71AB" w:rsidRPr="000E4A15" w:rsidRDefault="00BC71AB" w:rsidP="00B64063">
            <w:pPr>
              <w:spacing w:after="0" w:line="240" w:lineRule="auto"/>
              <w:jc w:val="center"/>
              <w:rPr>
                <w:rFonts w:eastAsia="Times New Roman" w:cs="Calibri"/>
                <w:i/>
                <w:iCs/>
                <w:color w:val="000000"/>
                <w:lang w:eastAsia="es-CL"/>
              </w:rPr>
            </w:pPr>
            <w:r w:rsidRPr="000E4A15">
              <w:rPr>
                <w:rFonts w:eastAsia="Times New Roman" w:cs="Calibri"/>
                <w:i/>
                <w:iCs/>
                <w:color w:val="000000"/>
                <w:lang w:val="en-US" w:eastAsia="es-CL"/>
              </w:rPr>
              <w:t>167</w:t>
            </w:r>
          </w:p>
        </w:tc>
        <w:tc>
          <w:tcPr>
            <w:tcW w:w="1275" w:type="dxa"/>
            <w:tcBorders>
              <w:top w:val="single" w:sz="4" w:space="0" w:color="auto"/>
              <w:left w:val="single" w:sz="4" w:space="0" w:color="auto"/>
              <w:bottom w:val="single" w:sz="4" w:space="0" w:color="auto"/>
              <w:right w:val="single" w:sz="4" w:space="0" w:color="auto"/>
            </w:tcBorders>
            <w:shd w:val="clear" w:color="auto" w:fill="DAEEF3"/>
            <w:hideMark/>
          </w:tcPr>
          <w:p w:rsidR="00BC71AB" w:rsidRPr="000E4A15" w:rsidRDefault="00BC71AB" w:rsidP="00B64063">
            <w:pPr>
              <w:spacing w:after="0" w:line="240" w:lineRule="auto"/>
              <w:jc w:val="center"/>
              <w:rPr>
                <w:rFonts w:eastAsia="Times New Roman" w:cs="Calibri"/>
                <w:i/>
                <w:iCs/>
                <w:lang w:eastAsia="es-CL"/>
              </w:rPr>
            </w:pPr>
            <w:r w:rsidRPr="000E4A15">
              <w:rPr>
                <w:rFonts w:eastAsia="Times New Roman" w:cs="Calibri"/>
                <w:i/>
                <w:iCs/>
                <w:lang w:val="en-US" w:eastAsia="es-CL"/>
              </w:rPr>
              <w:t>15.63%</w:t>
            </w:r>
          </w:p>
        </w:tc>
      </w:tr>
      <w:tr w:rsidR="00BC71AB" w:rsidRPr="000E4A15" w:rsidTr="00D81D52">
        <w:trPr>
          <w:trHeight w:val="347"/>
        </w:trPr>
        <w:tc>
          <w:tcPr>
            <w:tcW w:w="2342" w:type="dxa"/>
            <w:tcBorders>
              <w:top w:val="single" w:sz="4" w:space="0" w:color="auto"/>
              <w:left w:val="single" w:sz="4" w:space="0" w:color="auto"/>
              <w:bottom w:val="single" w:sz="4" w:space="0" w:color="auto"/>
              <w:right w:val="single" w:sz="4" w:space="0" w:color="auto"/>
            </w:tcBorders>
            <w:shd w:val="clear" w:color="auto" w:fill="F2DBDB"/>
            <w:hideMark/>
          </w:tcPr>
          <w:p w:rsidR="00BC71AB" w:rsidRPr="000E4A15" w:rsidRDefault="00BC71AB" w:rsidP="00B64063">
            <w:pPr>
              <w:spacing w:after="0" w:line="240" w:lineRule="auto"/>
              <w:rPr>
                <w:rFonts w:eastAsia="Times New Roman" w:cs="Calibri"/>
                <w:b/>
                <w:i/>
                <w:iCs/>
                <w:color w:val="000000"/>
                <w:lang w:eastAsia="es-CL"/>
              </w:rPr>
            </w:pPr>
            <w:proofErr w:type="spellStart"/>
            <w:r w:rsidRPr="000E4A15">
              <w:rPr>
                <w:rFonts w:eastAsia="Times New Roman" w:cs="Calibri"/>
                <w:i/>
                <w:iCs/>
                <w:color w:val="000000"/>
                <w:lang w:val="en-US" w:eastAsia="es-CL"/>
              </w:rPr>
              <w:t>Dependencia</w:t>
            </w:r>
            <w:proofErr w:type="spellEnd"/>
            <w:r w:rsidRPr="000E4A15">
              <w:rPr>
                <w:rFonts w:eastAsia="Times New Roman" w:cs="Calibri"/>
                <w:i/>
                <w:iCs/>
                <w:color w:val="000000"/>
                <w:lang w:val="en-US" w:eastAsia="es-CL"/>
              </w:rPr>
              <w:t xml:space="preserve"> </w:t>
            </w:r>
            <w:proofErr w:type="spellStart"/>
            <w:r w:rsidRPr="000E4A15">
              <w:rPr>
                <w:rFonts w:eastAsia="Times New Roman" w:cs="Calibri"/>
                <w:i/>
                <w:iCs/>
                <w:color w:val="000000"/>
                <w:lang w:val="en-US" w:eastAsia="es-CL"/>
              </w:rPr>
              <w:t>Leve</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2DBDB"/>
            <w:hideMark/>
          </w:tcPr>
          <w:p w:rsidR="00BC71AB" w:rsidRPr="000E4A15" w:rsidRDefault="00BC71AB" w:rsidP="00B64063">
            <w:pPr>
              <w:spacing w:after="0" w:line="240" w:lineRule="auto"/>
              <w:jc w:val="center"/>
              <w:rPr>
                <w:rFonts w:eastAsia="Times New Roman" w:cs="Calibri"/>
                <w:i/>
                <w:iCs/>
                <w:color w:val="000000"/>
                <w:lang w:eastAsia="es-CL"/>
              </w:rPr>
            </w:pPr>
            <w:r w:rsidRPr="000E4A15">
              <w:rPr>
                <w:rFonts w:eastAsia="Times New Roman" w:cs="Calibri"/>
                <w:i/>
                <w:iCs/>
                <w:color w:val="000000"/>
                <w:lang w:val="en-US" w:eastAsia="es-CL"/>
              </w:rPr>
              <w:t>104</w:t>
            </w:r>
          </w:p>
        </w:tc>
        <w:tc>
          <w:tcPr>
            <w:tcW w:w="1123" w:type="dxa"/>
            <w:tcBorders>
              <w:top w:val="single" w:sz="4" w:space="0" w:color="auto"/>
              <w:left w:val="single" w:sz="4" w:space="0" w:color="auto"/>
              <w:bottom w:val="single" w:sz="4" w:space="0" w:color="auto"/>
              <w:right w:val="single" w:sz="4" w:space="0" w:color="auto"/>
            </w:tcBorders>
            <w:shd w:val="clear" w:color="auto" w:fill="F2DBDB"/>
            <w:hideMark/>
          </w:tcPr>
          <w:p w:rsidR="00BC71AB" w:rsidRPr="000E4A15" w:rsidRDefault="00BC71AB" w:rsidP="00B64063">
            <w:pPr>
              <w:spacing w:after="0" w:line="240" w:lineRule="auto"/>
              <w:jc w:val="center"/>
              <w:rPr>
                <w:rFonts w:eastAsia="Times New Roman" w:cs="Calibri"/>
                <w:i/>
                <w:iCs/>
                <w:color w:val="000000"/>
                <w:lang w:eastAsia="es-CL"/>
              </w:rPr>
            </w:pPr>
            <w:r w:rsidRPr="000E4A15">
              <w:rPr>
                <w:rFonts w:eastAsia="Times New Roman" w:cs="Calibri"/>
                <w:i/>
                <w:iCs/>
                <w:color w:val="000000"/>
                <w:lang w:val="en-US" w:eastAsia="es-CL"/>
              </w:rPr>
              <w:t>61</w:t>
            </w:r>
          </w:p>
        </w:tc>
        <w:tc>
          <w:tcPr>
            <w:tcW w:w="1134" w:type="dxa"/>
            <w:tcBorders>
              <w:top w:val="single" w:sz="4" w:space="0" w:color="auto"/>
              <w:left w:val="single" w:sz="4" w:space="0" w:color="auto"/>
              <w:bottom w:val="single" w:sz="4" w:space="0" w:color="auto"/>
              <w:right w:val="single" w:sz="4" w:space="0" w:color="auto"/>
            </w:tcBorders>
            <w:shd w:val="clear" w:color="auto" w:fill="F2DBDB"/>
            <w:hideMark/>
          </w:tcPr>
          <w:p w:rsidR="00BC71AB" w:rsidRPr="000E4A15" w:rsidRDefault="00BC71AB" w:rsidP="00B64063">
            <w:pPr>
              <w:spacing w:after="0" w:line="240" w:lineRule="auto"/>
              <w:jc w:val="center"/>
              <w:rPr>
                <w:rFonts w:eastAsia="Times New Roman" w:cs="Calibri"/>
                <w:i/>
                <w:iCs/>
                <w:color w:val="000000"/>
                <w:lang w:eastAsia="es-CL"/>
              </w:rPr>
            </w:pPr>
            <w:r w:rsidRPr="000E4A15">
              <w:rPr>
                <w:rFonts w:eastAsia="Times New Roman" w:cs="Calibri"/>
                <w:i/>
                <w:iCs/>
                <w:color w:val="000000"/>
                <w:lang w:val="en-US" w:eastAsia="es-CL"/>
              </w:rPr>
              <w:t>165</w:t>
            </w:r>
          </w:p>
        </w:tc>
        <w:tc>
          <w:tcPr>
            <w:tcW w:w="1275" w:type="dxa"/>
            <w:tcBorders>
              <w:top w:val="single" w:sz="4" w:space="0" w:color="auto"/>
              <w:left w:val="single" w:sz="4" w:space="0" w:color="auto"/>
              <w:bottom w:val="single" w:sz="4" w:space="0" w:color="auto"/>
              <w:right w:val="single" w:sz="4" w:space="0" w:color="auto"/>
            </w:tcBorders>
            <w:shd w:val="clear" w:color="auto" w:fill="F2DBDB"/>
            <w:hideMark/>
          </w:tcPr>
          <w:p w:rsidR="00BC71AB" w:rsidRPr="000E4A15" w:rsidRDefault="00BC71AB" w:rsidP="00B64063">
            <w:pPr>
              <w:spacing w:after="0" w:line="240" w:lineRule="auto"/>
              <w:jc w:val="center"/>
              <w:rPr>
                <w:rFonts w:eastAsia="Times New Roman" w:cs="Calibri"/>
                <w:i/>
                <w:iCs/>
                <w:lang w:eastAsia="es-CL"/>
              </w:rPr>
            </w:pPr>
            <w:r w:rsidRPr="000E4A15">
              <w:rPr>
                <w:rFonts w:eastAsia="Times New Roman" w:cs="Calibri"/>
                <w:i/>
                <w:iCs/>
                <w:lang w:val="en-US" w:eastAsia="es-CL"/>
              </w:rPr>
              <w:t>15.44%</w:t>
            </w:r>
          </w:p>
        </w:tc>
      </w:tr>
      <w:tr w:rsidR="00BC71AB" w:rsidRPr="000E4A15" w:rsidTr="00D81D52">
        <w:trPr>
          <w:trHeight w:val="347"/>
        </w:trPr>
        <w:tc>
          <w:tcPr>
            <w:tcW w:w="2342" w:type="dxa"/>
            <w:tcBorders>
              <w:top w:val="single" w:sz="4" w:space="0" w:color="auto"/>
              <w:left w:val="single" w:sz="4" w:space="0" w:color="auto"/>
              <w:bottom w:val="single" w:sz="4" w:space="0" w:color="auto"/>
              <w:right w:val="single" w:sz="4" w:space="0" w:color="auto"/>
            </w:tcBorders>
            <w:shd w:val="clear" w:color="auto" w:fill="DAEEF3"/>
            <w:hideMark/>
          </w:tcPr>
          <w:p w:rsidR="00BC71AB" w:rsidRPr="000E4A15" w:rsidRDefault="00BC71AB" w:rsidP="00B64063">
            <w:pPr>
              <w:spacing w:after="0" w:line="240" w:lineRule="auto"/>
              <w:rPr>
                <w:rFonts w:eastAsia="Times New Roman" w:cs="Calibri"/>
                <w:b/>
                <w:i/>
                <w:iCs/>
                <w:color w:val="000000"/>
                <w:lang w:eastAsia="es-CL"/>
              </w:rPr>
            </w:pPr>
            <w:proofErr w:type="spellStart"/>
            <w:r w:rsidRPr="000E4A15">
              <w:rPr>
                <w:rFonts w:eastAsia="Times New Roman" w:cs="Calibri"/>
                <w:i/>
                <w:iCs/>
                <w:color w:val="000000"/>
                <w:lang w:val="en-US" w:eastAsia="es-CL"/>
              </w:rPr>
              <w:t>Dependencia</w:t>
            </w:r>
            <w:proofErr w:type="spellEnd"/>
            <w:r w:rsidRPr="000E4A15">
              <w:rPr>
                <w:rFonts w:eastAsia="Times New Roman" w:cs="Calibri"/>
                <w:i/>
                <w:iCs/>
                <w:color w:val="000000"/>
                <w:lang w:val="en-US" w:eastAsia="es-CL"/>
              </w:rPr>
              <w:t xml:space="preserve"> </w:t>
            </w:r>
            <w:proofErr w:type="spellStart"/>
            <w:r w:rsidRPr="000E4A15">
              <w:rPr>
                <w:rFonts w:eastAsia="Times New Roman" w:cs="Calibri"/>
                <w:i/>
                <w:iCs/>
                <w:color w:val="000000"/>
                <w:lang w:val="en-US" w:eastAsia="es-CL"/>
              </w:rPr>
              <w:t>Moderada</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DAEEF3"/>
            <w:hideMark/>
          </w:tcPr>
          <w:p w:rsidR="00BC71AB" w:rsidRPr="000E4A15" w:rsidRDefault="00BC71AB" w:rsidP="00B64063">
            <w:pPr>
              <w:spacing w:after="0" w:line="240" w:lineRule="auto"/>
              <w:jc w:val="center"/>
              <w:rPr>
                <w:rFonts w:eastAsia="Times New Roman" w:cs="Calibri"/>
                <w:i/>
                <w:iCs/>
                <w:color w:val="000000"/>
                <w:lang w:eastAsia="es-CL"/>
              </w:rPr>
            </w:pPr>
            <w:r w:rsidRPr="000E4A15">
              <w:rPr>
                <w:rFonts w:eastAsia="Times New Roman" w:cs="Calibri"/>
                <w:i/>
                <w:iCs/>
                <w:color w:val="000000"/>
                <w:lang w:val="en-US" w:eastAsia="es-CL"/>
              </w:rPr>
              <w:t>6</w:t>
            </w:r>
          </w:p>
        </w:tc>
        <w:tc>
          <w:tcPr>
            <w:tcW w:w="1123" w:type="dxa"/>
            <w:tcBorders>
              <w:top w:val="single" w:sz="4" w:space="0" w:color="auto"/>
              <w:left w:val="single" w:sz="4" w:space="0" w:color="auto"/>
              <w:bottom w:val="single" w:sz="4" w:space="0" w:color="auto"/>
              <w:right w:val="single" w:sz="4" w:space="0" w:color="auto"/>
            </w:tcBorders>
            <w:shd w:val="clear" w:color="auto" w:fill="DAEEF3"/>
            <w:hideMark/>
          </w:tcPr>
          <w:p w:rsidR="00BC71AB" w:rsidRPr="000E4A15" w:rsidRDefault="00BC71AB" w:rsidP="00B64063">
            <w:pPr>
              <w:spacing w:after="0" w:line="240" w:lineRule="auto"/>
              <w:jc w:val="center"/>
              <w:rPr>
                <w:rFonts w:eastAsia="Times New Roman" w:cs="Calibri"/>
                <w:i/>
                <w:iCs/>
                <w:color w:val="000000"/>
                <w:lang w:eastAsia="es-CL"/>
              </w:rPr>
            </w:pPr>
            <w:r w:rsidRPr="000E4A15">
              <w:rPr>
                <w:rFonts w:eastAsia="Times New Roman" w:cs="Calibri"/>
                <w:i/>
                <w:iCs/>
                <w:color w:val="000000"/>
                <w:lang w:val="en-US" w:eastAsia="es-CL"/>
              </w:rPr>
              <w:t>4</w:t>
            </w:r>
          </w:p>
        </w:tc>
        <w:tc>
          <w:tcPr>
            <w:tcW w:w="1134" w:type="dxa"/>
            <w:tcBorders>
              <w:top w:val="single" w:sz="4" w:space="0" w:color="auto"/>
              <w:left w:val="single" w:sz="4" w:space="0" w:color="auto"/>
              <w:bottom w:val="single" w:sz="4" w:space="0" w:color="auto"/>
              <w:right w:val="single" w:sz="4" w:space="0" w:color="auto"/>
            </w:tcBorders>
            <w:shd w:val="clear" w:color="auto" w:fill="DAEEF3"/>
            <w:hideMark/>
          </w:tcPr>
          <w:p w:rsidR="00BC71AB" w:rsidRPr="000E4A15" w:rsidRDefault="00BC71AB" w:rsidP="00B64063">
            <w:pPr>
              <w:spacing w:after="0" w:line="240" w:lineRule="auto"/>
              <w:jc w:val="center"/>
              <w:rPr>
                <w:rFonts w:eastAsia="Times New Roman" w:cs="Calibri"/>
                <w:i/>
                <w:iCs/>
                <w:color w:val="000000"/>
                <w:lang w:eastAsia="es-CL"/>
              </w:rPr>
            </w:pPr>
            <w:r w:rsidRPr="000E4A15">
              <w:rPr>
                <w:rFonts w:eastAsia="Times New Roman" w:cs="Calibri"/>
                <w:i/>
                <w:iCs/>
                <w:color w:val="000000"/>
                <w:lang w:val="en-US" w:eastAsia="es-CL"/>
              </w:rPr>
              <w:t>10</w:t>
            </w:r>
          </w:p>
        </w:tc>
        <w:tc>
          <w:tcPr>
            <w:tcW w:w="1275" w:type="dxa"/>
            <w:tcBorders>
              <w:top w:val="single" w:sz="4" w:space="0" w:color="auto"/>
              <w:left w:val="single" w:sz="4" w:space="0" w:color="auto"/>
              <w:bottom w:val="single" w:sz="4" w:space="0" w:color="auto"/>
              <w:right w:val="single" w:sz="4" w:space="0" w:color="auto"/>
            </w:tcBorders>
            <w:shd w:val="clear" w:color="auto" w:fill="DAEEF3"/>
            <w:hideMark/>
          </w:tcPr>
          <w:p w:rsidR="00BC71AB" w:rsidRPr="000E4A15" w:rsidRDefault="00BC71AB" w:rsidP="00B64063">
            <w:pPr>
              <w:spacing w:after="0" w:line="240" w:lineRule="auto"/>
              <w:jc w:val="center"/>
              <w:rPr>
                <w:rFonts w:eastAsia="Times New Roman" w:cs="Calibri"/>
                <w:i/>
                <w:iCs/>
                <w:lang w:eastAsia="es-CL"/>
              </w:rPr>
            </w:pPr>
            <w:r w:rsidRPr="000E4A15">
              <w:rPr>
                <w:rFonts w:eastAsia="Times New Roman" w:cs="Calibri"/>
                <w:i/>
                <w:iCs/>
                <w:lang w:val="en-US" w:eastAsia="es-CL"/>
              </w:rPr>
              <w:t>0.94%</w:t>
            </w:r>
          </w:p>
        </w:tc>
      </w:tr>
      <w:tr w:rsidR="00BC71AB" w:rsidRPr="000E4A15" w:rsidTr="00D81D52">
        <w:trPr>
          <w:trHeight w:val="347"/>
        </w:trPr>
        <w:tc>
          <w:tcPr>
            <w:tcW w:w="2342" w:type="dxa"/>
            <w:tcBorders>
              <w:top w:val="single" w:sz="4" w:space="0" w:color="auto"/>
              <w:left w:val="single" w:sz="4" w:space="0" w:color="auto"/>
              <w:bottom w:val="single" w:sz="4" w:space="0" w:color="auto"/>
              <w:right w:val="single" w:sz="4" w:space="0" w:color="auto"/>
            </w:tcBorders>
            <w:shd w:val="clear" w:color="auto" w:fill="F2DBDB"/>
            <w:hideMark/>
          </w:tcPr>
          <w:p w:rsidR="00BC71AB" w:rsidRPr="000E4A15" w:rsidRDefault="00BC71AB" w:rsidP="00B64063">
            <w:pPr>
              <w:spacing w:after="0" w:line="240" w:lineRule="auto"/>
              <w:rPr>
                <w:rFonts w:eastAsia="Times New Roman" w:cs="Calibri"/>
                <w:b/>
                <w:i/>
                <w:iCs/>
                <w:color w:val="000000"/>
                <w:lang w:eastAsia="es-CL"/>
              </w:rPr>
            </w:pPr>
            <w:proofErr w:type="spellStart"/>
            <w:r w:rsidRPr="000E4A15">
              <w:rPr>
                <w:rFonts w:eastAsia="Times New Roman" w:cs="Calibri"/>
                <w:i/>
                <w:iCs/>
                <w:color w:val="000000"/>
                <w:lang w:val="en-US" w:eastAsia="es-CL"/>
              </w:rPr>
              <w:t>Dependencia</w:t>
            </w:r>
            <w:proofErr w:type="spellEnd"/>
            <w:r w:rsidRPr="000E4A15">
              <w:rPr>
                <w:rFonts w:eastAsia="Times New Roman" w:cs="Calibri"/>
                <w:i/>
                <w:iCs/>
                <w:color w:val="000000"/>
                <w:lang w:val="en-US" w:eastAsia="es-CL"/>
              </w:rPr>
              <w:t xml:space="preserve"> Grave</w:t>
            </w:r>
          </w:p>
        </w:tc>
        <w:tc>
          <w:tcPr>
            <w:tcW w:w="1134" w:type="dxa"/>
            <w:tcBorders>
              <w:top w:val="single" w:sz="4" w:space="0" w:color="auto"/>
              <w:left w:val="single" w:sz="4" w:space="0" w:color="auto"/>
              <w:bottom w:val="single" w:sz="4" w:space="0" w:color="auto"/>
              <w:right w:val="single" w:sz="4" w:space="0" w:color="auto"/>
            </w:tcBorders>
            <w:shd w:val="clear" w:color="auto" w:fill="F2DBDB"/>
            <w:hideMark/>
          </w:tcPr>
          <w:p w:rsidR="00BC71AB" w:rsidRPr="000E4A15" w:rsidRDefault="00BC71AB" w:rsidP="00B64063">
            <w:pPr>
              <w:spacing w:after="0" w:line="240" w:lineRule="auto"/>
              <w:jc w:val="center"/>
              <w:rPr>
                <w:rFonts w:eastAsia="Times New Roman" w:cs="Calibri"/>
                <w:i/>
                <w:iCs/>
                <w:color w:val="000000"/>
                <w:lang w:eastAsia="es-CL"/>
              </w:rPr>
            </w:pPr>
            <w:r w:rsidRPr="000E4A15">
              <w:rPr>
                <w:rFonts w:eastAsia="Times New Roman" w:cs="Calibri"/>
                <w:i/>
                <w:iCs/>
                <w:color w:val="000000"/>
                <w:lang w:val="en-US" w:eastAsia="es-CL"/>
              </w:rPr>
              <w:t>6</w:t>
            </w:r>
          </w:p>
        </w:tc>
        <w:tc>
          <w:tcPr>
            <w:tcW w:w="1123" w:type="dxa"/>
            <w:tcBorders>
              <w:top w:val="single" w:sz="4" w:space="0" w:color="auto"/>
              <w:left w:val="single" w:sz="4" w:space="0" w:color="auto"/>
              <w:bottom w:val="single" w:sz="4" w:space="0" w:color="auto"/>
              <w:right w:val="single" w:sz="4" w:space="0" w:color="auto"/>
            </w:tcBorders>
            <w:shd w:val="clear" w:color="auto" w:fill="F2DBDB"/>
            <w:hideMark/>
          </w:tcPr>
          <w:p w:rsidR="00BC71AB" w:rsidRPr="000E4A15" w:rsidRDefault="00BC71AB" w:rsidP="00B64063">
            <w:pPr>
              <w:spacing w:after="0" w:line="240" w:lineRule="auto"/>
              <w:jc w:val="center"/>
              <w:rPr>
                <w:rFonts w:eastAsia="Times New Roman" w:cs="Calibri"/>
                <w:i/>
                <w:iCs/>
                <w:color w:val="000000"/>
                <w:lang w:eastAsia="es-CL"/>
              </w:rPr>
            </w:pPr>
            <w:r w:rsidRPr="000E4A15">
              <w:rPr>
                <w:rFonts w:eastAsia="Times New Roman" w:cs="Calibri"/>
                <w:i/>
                <w:iCs/>
                <w:color w:val="000000"/>
                <w:lang w:val="en-US" w:eastAsia="es-CL"/>
              </w:rPr>
              <w:t>2</w:t>
            </w:r>
          </w:p>
        </w:tc>
        <w:tc>
          <w:tcPr>
            <w:tcW w:w="1134" w:type="dxa"/>
            <w:tcBorders>
              <w:top w:val="single" w:sz="4" w:space="0" w:color="auto"/>
              <w:left w:val="single" w:sz="4" w:space="0" w:color="auto"/>
              <w:bottom w:val="single" w:sz="4" w:space="0" w:color="auto"/>
              <w:right w:val="single" w:sz="4" w:space="0" w:color="auto"/>
            </w:tcBorders>
            <w:shd w:val="clear" w:color="auto" w:fill="F2DBDB"/>
            <w:hideMark/>
          </w:tcPr>
          <w:p w:rsidR="00BC71AB" w:rsidRPr="000E4A15" w:rsidRDefault="00BC71AB" w:rsidP="00B64063">
            <w:pPr>
              <w:spacing w:after="0" w:line="240" w:lineRule="auto"/>
              <w:jc w:val="center"/>
              <w:rPr>
                <w:rFonts w:eastAsia="Times New Roman" w:cs="Calibri"/>
                <w:i/>
                <w:iCs/>
                <w:color w:val="000000"/>
                <w:lang w:eastAsia="es-CL"/>
              </w:rPr>
            </w:pPr>
            <w:r w:rsidRPr="000E4A15">
              <w:rPr>
                <w:rFonts w:eastAsia="Times New Roman" w:cs="Calibri"/>
                <w:i/>
                <w:iCs/>
                <w:color w:val="000000"/>
                <w:lang w:val="en-US" w:eastAsia="es-CL"/>
              </w:rPr>
              <w:t>8</w:t>
            </w:r>
          </w:p>
        </w:tc>
        <w:tc>
          <w:tcPr>
            <w:tcW w:w="1275" w:type="dxa"/>
            <w:tcBorders>
              <w:top w:val="single" w:sz="4" w:space="0" w:color="auto"/>
              <w:left w:val="single" w:sz="4" w:space="0" w:color="auto"/>
              <w:bottom w:val="single" w:sz="4" w:space="0" w:color="auto"/>
              <w:right w:val="single" w:sz="4" w:space="0" w:color="auto"/>
            </w:tcBorders>
            <w:shd w:val="clear" w:color="auto" w:fill="F2DBDB"/>
            <w:hideMark/>
          </w:tcPr>
          <w:p w:rsidR="00BC71AB" w:rsidRPr="000E4A15" w:rsidRDefault="00BC71AB" w:rsidP="00B64063">
            <w:pPr>
              <w:spacing w:after="0" w:line="240" w:lineRule="auto"/>
              <w:jc w:val="center"/>
              <w:rPr>
                <w:rFonts w:eastAsia="Times New Roman" w:cs="Calibri"/>
                <w:i/>
                <w:iCs/>
                <w:lang w:eastAsia="es-CL"/>
              </w:rPr>
            </w:pPr>
            <w:r w:rsidRPr="000E4A15">
              <w:rPr>
                <w:rFonts w:eastAsia="Times New Roman" w:cs="Calibri"/>
                <w:i/>
                <w:iCs/>
                <w:lang w:val="en-US" w:eastAsia="es-CL"/>
              </w:rPr>
              <w:t>0.74%</w:t>
            </w:r>
          </w:p>
        </w:tc>
      </w:tr>
      <w:tr w:rsidR="00BC71AB" w:rsidRPr="000E4A15" w:rsidTr="00D81D52">
        <w:trPr>
          <w:trHeight w:val="347"/>
        </w:trPr>
        <w:tc>
          <w:tcPr>
            <w:tcW w:w="2342" w:type="dxa"/>
            <w:tcBorders>
              <w:top w:val="single" w:sz="4" w:space="0" w:color="auto"/>
              <w:left w:val="single" w:sz="4" w:space="0" w:color="auto"/>
              <w:bottom w:val="single" w:sz="4" w:space="0" w:color="auto"/>
              <w:right w:val="single" w:sz="4" w:space="0" w:color="auto"/>
            </w:tcBorders>
            <w:shd w:val="clear" w:color="auto" w:fill="DAEEF3"/>
          </w:tcPr>
          <w:p w:rsidR="00BC71AB" w:rsidRPr="000E4A15" w:rsidRDefault="00BC71AB" w:rsidP="00B64063">
            <w:pPr>
              <w:spacing w:after="0" w:line="240" w:lineRule="auto"/>
              <w:rPr>
                <w:rFonts w:eastAsia="Times New Roman" w:cs="Calibri"/>
                <w:b/>
                <w:i/>
                <w:iCs/>
                <w:color w:val="000000"/>
                <w:lang w:val="en-US" w:eastAsia="es-CL"/>
              </w:rPr>
            </w:pPr>
            <w:proofErr w:type="spellStart"/>
            <w:r w:rsidRPr="000E4A15">
              <w:rPr>
                <w:rFonts w:eastAsia="Times New Roman" w:cs="Calibri"/>
                <w:i/>
                <w:iCs/>
                <w:color w:val="000000"/>
                <w:lang w:val="en-US" w:eastAsia="es-CL"/>
              </w:rPr>
              <w:t>Dependencia</w:t>
            </w:r>
            <w:proofErr w:type="spellEnd"/>
            <w:r w:rsidRPr="000E4A15">
              <w:rPr>
                <w:rFonts w:eastAsia="Times New Roman" w:cs="Calibri"/>
                <w:i/>
                <w:iCs/>
                <w:color w:val="000000"/>
                <w:lang w:val="en-US" w:eastAsia="es-CL"/>
              </w:rPr>
              <w:t xml:space="preserve"> Total</w:t>
            </w:r>
          </w:p>
        </w:tc>
        <w:tc>
          <w:tcPr>
            <w:tcW w:w="1134" w:type="dxa"/>
            <w:tcBorders>
              <w:top w:val="single" w:sz="4" w:space="0" w:color="auto"/>
              <w:left w:val="single" w:sz="4" w:space="0" w:color="auto"/>
              <w:bottom w:val="single" w:sz="4" w:space="0" w:color="auto"/>
              <w:right w:val="single" w:sz="4" w:space="0" w:color="auto"/>
            </w:tcBorders>
            <w:shd w:val="clear" w:color="auto" w:fill="DAEEF3"/>
          </w:tcPr>
          <w:p w:rsidR="00BC71AB" w:rsidRPr="000E4A15" w:rsidRDefault="00BC71AB" w:rsidP="00B64063">
            <w:pPr>
              <w:spacing w:after="0" w:line="240" w:lineRule="auto"/>
              <w:jc w:val="center"/>
              <w:rPr>
                <w:rFonts w:eastAsia="Times New Roman" w:cs="Calibri"/>
                <w:i/>
                <w:iCs/>
                <w:color w:val="000000"/>
                <w:lang w:val="en-US" w:eastAsia="es-CL"/>
              </w:rPr>
            </w:pPr>
            <w:r w:rsidRPr="000E4A15">
              <w:rPr>
                <w:rFonts w:eastAsia="Times New Roman" w:cs="Calibri"/>
                <w:i/>
                <w:iCs/>
                <w:color w:val="000000"/>
                <w:lang w:val="en-US" w:eastAsia="es-CL"/>
              </w:rPr>
              <w:t>15</w:t>
            </w:r>
          </w:p>
        </w:tc>
        <w:tc>
          <w:tcPr>
            <w:tcW w:w="1123" w:type="dxa"/>
            <w:tcBorders>
              <w:top w:val="single" w:sz="4" w:space="0" w:color="auto"/>
              <w:left w:val="single" w:sz="4" w:space="0" w:color="auto"/>
              <w:bottom w:val="single" w:sz="4" w:space="0" w:color="auto"/>
              <w:right w:val="single" w:sz="4" w:space="0" w:color="auto"/>
            </w:tcBorders>
            <w:shd w:val="clear" w:color="auto" w:fill="DAEEF3"/>
          </w:tcPr>
          <w:p w:rsidR="00BC71AB" w:rsidRPr="000E4A15" w:rsidRDefault="00BC71AB" w:rsidP="00B64063">
            <w:pPr>
              <w:spacing w:after="0" w:line="240" w:lineRule="auto"/>
              <w:jc w:val="center"/>
              <w:rPr>
                <w:rFonts w:eastAsia="Times New Roman" w:cs="Calibri"/>
                <w:i/>
                <w:iCs/>
                <w:color w:val="000000"/>
                <w:lang w:val="en-US" w:eastAsia="es-CL"/>
              </w:rPr>
            </w:pPr>
            <w:r w:rsidRPr="000E4A15">
              <w:rPr>
                <w:rFonts w:eastAsia="Times New Roman" w:cs="Calibri"/>
                <w:i/>
                <w:iCs/>
                <w:color w:val="000000"/>
                <w:lang w:val="en-US" w:eastAsia="es-CL"/>
              </w:rPr>
              <w:t>0</w:t>
            </w:r>
          </w:p>
        </w:tc>
        <w:tc>
          <w:tcPr>
            <w:tcW w:w="1134" w:type="dxa"/>
            <w:tcBorders>
              <w:top w:val="single" w:sz="4" w:space="0" w:color="auto"/>
              <w:left w:val="single" w:sz="4" w:space="0" w:color="auto"/>
              <w:bottom w:val="single" w:sz="4" w:space="0" w:color="auto"/>
              <w:right w:val="single" w:sz="4" w:space="0" w:color="auto"/>
            </w:tcBorders>
            <w:shd w:val="clear" w:color="auto" w:fill="DAEEF3"/>
          </w:tcPr>
          <w:p w:rsidR="00BC71AB" w:rsidRPr="000E4A15" w:rsidRDefault="00BC71AB" w:rsidP="00B64063">
            <w:pPr>
              <w:spacing w:after="0" w:line="240" w:lineRule="auto"/>
              <w:jc w:val="center"/>
              <w:rPr>
                <w:rFonts w:eastAsia="Times New Roman" w:cs="Calibri"/>
                <w:i/>
                <w:iCs/>
                <w:color w:val="000000"/>
                <w:lang w:val="en-US" w:eastAsia="es-CL"/>
              </w:rPr>
            </w:pPr>
            <w:r w:rsidRPr="000E4A15">
              <w:rPr>
                <w:rFonts w:eastAsia="Times New Roman" w:cs="Calibri"/>
                <w:i/>
                <w:iCs/>
                <w:color w:val="000000"/>
                <w:lang w:val="en-US" w:eastAsia="es-CL"/>
              </w:rPr>
              <w:t>15</w:t>
            </w:r>
          </w:p>
        </w:tc>
        <w:tc>
          <w:tcPr>
            <w:tcW w:w="1275" w:type="dxa"/>
            <w:tcBorders>
              <w:top w:val="single" w:sz="4" w:space="0" w:color="auto"/>
              <w:left w:val="single" w:sz="4" w:space="0" w:color="auto"/>
              <w:bottom w:val="single" w:sz="4" w:space="0" w:color="auto"/>
              <w:right w:val="single" w:sz="4" w:space="0" w:color="auto"/>
            </w:tcBorders>
            <w:shd w:val="clear" w:color="auto" w:fill="DAEEF3"/>
          </w:tcPr>
          <w:p w:rsidR="00BC71AB" w:rsidRPr="000E4A15" w:rsidRDefault="00BC71AB" w:rsidP="00B64063">
            <w:pPr>
              <w:spacing w:after="0" w:line="240" w:lineRule="auto"/>
              <w:jc w:val="center"/>
              <w:rPr>
                <w:rFonts w:eastAsia="Times New Roman" w:cs="Calibri"/>
                <w:i/>
                <w:iCs/>
                <w:lang w:val="en-US" w:eastAsia="es-CL"/>
              </w:rPr>
            </w:pPr>
            <w:r w:rsidRPr="000E4A15">
              <w:rPr>
                <w:rFonts w:eastAsia="Times New Roman" w:cs="Calibri"/>
                <w:i/>
                <w:iCs/>
                <w:lang w:val="en-US" w:eastAsia="es-CL"/>
              </w:rPr>
              <w:t>1.40%</w:t>
            </w:r>
          </w:p>
        </w:tc>
      </w:tr>
      <w:tr w:rsidR="00BC71AB" w:rsidRPr="000E4A15" w:rsidTr="00D81D52">
        <w:trPr>
          <w:trHeight w:val="347"/>
        </w:trPr>
        <w:tc>
          <w:tcPr>
            <w:tcW w:w="2342" w:type="dxa"/>
            <w:tcBorders>
              <w:top w:val="single" w:sz="4" w:space="0" w:color="auto"/>
              <w:left w:val="single" w:sz="4" w:space="0" w:color="auto"/>
              <w:bottom w:val="single" w:sz="4" w:space="0" w:color="auto"/>
              <w:right w:val="single" w:sz="4" w:space="0" w:color="auto"/>
            </w:tcBorders>
            <w:shd w:val="clear" w:color="auto" w:fill="F2DBDB"/>
            <w:hideMark/>
          </w:tcPr>
          <w:p w:rsidR="00BC71AB" w:rsidRPr="000E4A15" w:rsidRDefault="00BC71AB" w:rsidP="00B64063">
            <w:pPr>
              <w:spacing w:after="0" w:line="240" w:lineRule="auto"/>
              <w:rPr>
                <w:rFonts w:eastAsia="Times New Roman" w:cs="Calibri"/>
                <w:b/>
                <w:i/>
                <w:iCs/>
                <w:color w:val="000000"/>
                <w:lang w:eastAsia="es-CL"/>
              </w:rPr>
            </w:pPr>
            <w:r w:rsidRPr="000E4A15">
              <w:rPr>
                <w:rFonts w:eastAsia="Times New Roman" w:cs="Calibri"/>
                <w:i/>
                <w:iCs/>
                <w:color w:val="000000"/>
                <w:lang w:eastAsia="es-CL"/>
              </w:rPr>
              <w:t>Total Adultos Mayores Bajo Control</w:t>
            </w:r>
          </w:p>
        </w:tc>
        <w:tc>
          <w:tcPr>
            <w:tcW w:w="1134" w:type="dxa"/>
            <w:tcBorders>
              <w:top w:val="single" w:sz="4" w:space="0" w:color="auto"/>
              <w:left w:val="single" w:sz="4" w:space="0" w:color="auto"/>
              <w:bottom w:val="single" w:sz="4" w:space="0" w:color="auto"/>
              <w:right w:val="single" w:sz="4" w:space="0" w:color="auto"/>
            </w:tcBorders>
            <w:shd w:val="clear" w:color="auto" w:fill="F2DBDB"/>
            <w:hideMark/>
          </w:tcPr>
          <w:p w:rsidR="00BC71AB" w:rsidRPr="000E4A15" w:rsidRDefault="00BC71AB" w:rsidP="00B64063">
            <w:pPr>
              <w:spacing w:after="0" w:line="240" w:lineRule="auto"/>
              <w:jc w:val="center"/>
              <w:rPr>
                <w:rFonts w:eastAsia="Times New Roman" w:cs="Calibri"/>
                <w:i/>
                <w:iCs/>
                <w:color w:val="000000"/>
                <w:lang w:eastAsia="es-CL"/>
              </w:rPr>
            </w:pPr>
            <w:r w:rsidRPr="000E4A15">
              <w:rPr>
                <w:rFonts w:eastAsia="Times New Roman" w:cs="Calibri"/>
                <w:i/>
                <w:iCs/>
                <w:color w:val="000000"/>
                <w:lang w:val="es-MX" w:eastAsia="es-CL"/>
              </w:rPr>
              <w:t>572</w:t>
            </w:r>
          </w:p>
        </w:tc>
        <w:tc>
          <w:tcPr>
            <w:tcW w:w="1123" w:type="dxa"/>
            <w:tcBorders>
              <w:top w:val="single" w:sz="4" w:space="0" w:color="auto"/>
              <w:left w:val="single" w:sz="4" w:space="0" w:color="auto"/>
              <w:bottom w:val="single" w:sz="4" w:space="0" w:color="auto"/>
              <w:right w:val="single" w:sz="4" w:space="0" w:color="auto"/>
            </w:tcBorders>
            <w:shd w:val="clear" w:color="auto" w:fill="F2DBDB"/>
            <w:hideMark/>
          </w:tcPr>
          <w:p w:rsidR="00BC71AB" w:rsidRPr="000E4A15" w:rsidRDefault="00BC71AB" w:rsidP="00B64063">
            <w:pPr>
              <w:spacing w:after="0" w:line="240" w:lineRule="auto"/>
              <w:jc w:val="center"/>
              <w:rPr>
                <w:rFonts w:eastAsia="Times New Roman" w:cs="Calibri"/>
                <w:i/>
                <w:iCs/>
                <w:color w:val="000000"/>
                <w:lang w:eastAsia="es-CL"/>
              </w:rPr>
            </w:pPr>
            <w:r w:rsidRPr="000E4A15">
              <w:rPr>
                <w:rFonts w:eastAsia="Times New Roman" w:cs="Calibri"/>
                <w:i/>
                <w:iCs/>
                <w:color w:val="000000"/>
                <w:lang w:val="es-MX" w:eastAsia="es-CL"/>
              </w:rPr>
              <w:t>497</w:t>
            </w:r>
          </w:p>
        </w:tc>
        <w:tc>
          <w:tcPr>
            <w:tcW w:w="1134" w:type="dxa"/>
            <w:tcBorders>
              <w:top w:val="single" w:sz="4" w:space="0" w:color="auto"/>
              <w:left w:val="single" w:sz="4" w:space="0" w:color="auto"/>
              <w:bottom w:val="single" w:sz="4" w:space="0" w:color="auto"/>
              <w:right w:val="single" w:sz="4" w:space="0" w:color="auto"/>
            </w:tcBorders>
            <w:shd w:val="clear" w:color="auto" w:fill="F2DBDB"/>
            <w:hideMark/>
          </w:tcPr>
          <w:p w:rsidR="00BC71AB" w:rsidRPr="000E4A15" w:rsidRDefault="00BC71AB" w:rsidP="00B64063">
            <w:pPr>
              <w:spacing w:after="0" w:line="240" w:lineRule="auto"/>
              <w:jc w:val="center"/>
              <w:rPr>
                <w:rFonts w:eastAsia="Times New Roman" w:cs="Calibri"/>
                <w:i/>
                <w:iCs/>
                <w:color w:val="000000"/>
                <w:lang w:eastAsia="es-CL"/>
              </w:rPr>
            </w:pPr>
            <w:r w:rsidRPr="000E4A15">
              <w:rPr>
                <w:rFonts w:eastAsia="Times New Roman" w:cs="Calibri"/>
                <w:i/>
                <w:iCs/>
                <w:color w:val="000000"/>
                <w:lang w:val="es-MX" w:eastAsia="es-CL"/>
              </w:rPr>
              <w:t>1069</w:t>
            </w:r>
          </w:p>
        </w:tc>
        <w:tc>
          <w:tcPr>
            <w:tcW w:w="1275" w:type="dxa"/>
            <w:tcBorders>
              <w:top w:val="single" w:sz="4" w:space="0" w:color="auto"/>
              <w:left w:val="single" w:sz="4" w:space="0" w:color="auto"/>
              <w:bottom w:val="single" w:sz="4" w:space="0" w:color="auto"/>
              <w:right w:val="single" w:sz="4" w:space="0" w:color="auto"/>
            </w:tcBorders>
            <w:shd w:val="clear" w:color="auto" w:fill="F2DBDB"/>
            <w:hideMark/>
          </w:tcPr>
          <w:p w:rsidR="00BC71AB" w:rsidRPr="000E4A15" w:rsidRDefault="00BC71AB" w:rsidP="00B64063">
            <w:pPr>
              <w:spacing w:after="0" w:line="240" w:lineRule="auto"/>
              <w:jc w:val="center"/>
              <w:rPr>
                <w:rFonts w:eastAsia="Times New Roman" w:cs="Calibri"/>
                <w:i/>
                <w:iCs/>
                <w:lang w:eastAsia="es-CL"/>
              </w:rPr>
            </w:pPr>
            <w:r w:rsidRPr="000E4A15">
              <w:rPr>
                <w:rFonts w:eastAsia="Times New Roman" w:cs="Calibri"/>
                <w:i/>
                <w:iCs/>
                <w:lang w:val="es-MX" w:eastAsia="es-CL"/>
              </w:rPr>
              <w:t>100%</w:t>
            </w:r>
          </w:p>
        </w:tc>
      </w:tr>
    </w:tbl>
    <w:p w:rsidR="00BC71AB" w:rsidRDefault="00BC71AB" w:rsidP="00BC71AB">
      <w:pPr>
        <w:spacing w:after="0" w:line="240" w:lineRule="auto"/>
        <w:jc w:val="both"/>
        <w:rPr>
          <w:rFonts w:cs="Calibri"/>
        </w:rPr>
      </w:pPr>
    </w:p>
    <w:p w:rsidR="00BC71AB" w:rsidRDefault="00BC71AB" w:rsidP="00BC71AB">
      <w:pPr>
        <w:spacing w:after="0" w:line="240" w:lineRule="auto"/>
        <w:jc w:val="both"/>
        <w:rPr>
          <w:rFonts w:cs="Calibri"/>
        </w:rPr>
      </w:pPr>
      <w:r w:rsidRPr="000E4A15">
        <w:rPr>
          <w:rFonts w:cs="Calibri"/>
        </w:rPr>
        <w:lastRenderedPageBreak/>
        <w:t xml:space="preserve">En relación a la funcionalidad del adulto mayor podemos diferenciar el siguiente esquema donde se observa que del total de la población evaluada por condición de funcionalidad que se aplica con el examen de evaluación de funcionalidad del adulto mayor un 39% de la población evaluada se encuentra </w:t>
      </w:r>
      <w:proofErr w:type="spellStart"/>
      <w:r w:rsidRPr="000E4A15">
        <w:rPr>
          <w:rFonts w:cs="Calibri"/>
        </w:rPr>
        <w:t>autovalente</w:t>
      </w:r>
      <w:proofErr w:type="spellEnd"/>
      <w:r w:rsidRPr="000E4A15">
        <w:rPr>
          <w:rFonts w:cs="Calibri"/>
        </w:rPr>
        <w:t xml:space="preserve"> sin riesgo, la población que se encuentra con riesgo se presenta  un 26.85%  y un 15,44%  ya presentan riesgos de  dependencia.</w:t>
      </w:r>
    </w:p>
    <w:p w:rsidR="00DB4F5F" w:rsidRPr="000E4A15" w:rsidRDefault="00DB4F5F" w:rsidP="00BC71AB">
      <w:pPr>
        <w:spacing w:after="0" w:line="240" w:lineRule="auto"/>
        <w:jc w:val="both"/>
        <w:rPr>
          <w:rFonts w:cs="Calibri"/>
        </w:rPr>
      </w:pPr>
    </w:p>
    <w:p w:rsidR="00BC71AB" w:rsidRDefault="00BC71AB" w:rsidP="00BC71AB">
      <w:pPr>
        <w:spacing w:after="0" w:line="240" w:lineRule="auto"/>
        <w:jc w:val="both"/>
        <w:rPr>
          <w:rFonts w:cs="Calibri"/>
        </w:rPr>
      </w:pPr>
      <w:r w:rsidRPr="000E4A15">
        <w:rPr>
          <w:rFonts w:cs="Calibri"/>
        </w:rPr>
        <w:t xml:space="preserve"> Además  hay un porcentaje de los adultos mayores evaluados que  están con dependencia moderada y grave que corresponde a un 1,68% de la población evaluada que sumados a un 1,45% que se encuentra con dependencia total implica un total de 48 personas en ambos sectores los cuales dependen de un cuidador para su vida diaria y apoyo mayor de las actividades ofrecidas de establecimiento de salud y del equipo por la necesidad de controles en domicilio.</w:t>
      </w:r>
    </w:p>
    <w:p w:rsidR="00DB4F5F" w:rsidRPr="000E4A15" w:rsidRDefault="00DB4F5F" w:rsidP="00BC71AB">
      <w:pPr>
        <w:spacing w:after="0" w:line="240" w:lineRule="auto"/>
        <w:jc w:val="both"/>
        <w:rPr>
          <w:rFonts w:cs="Calibri"/>
        </w:rPr>
      </w:pPr>
    </w:p>
    <w:p w:rsidR="00BC71AB" w:rsidRDefault="00BC71AB" w:rsidP="00BC71AB">
      <w:pPr>
        <w:spacing w:after="0" w:line="240" w:lineRule="auto"/>
        <w:jc w:val="both"/>
      </w:pPr>
      <w:r>
        <w:rPr>
          <w:rFonts w:cs="Calibri"/>
          <w:noProof/>
          <w:color w:val="C00000"/>
          <w:sz w:val="24"/>
          <w:szCs w:val="24"/>
          <w:lang w:val="es-MX" w:eastAsia="es-MX"/>
        </w:rPr>
        <w:drawing>
          <wp:inline distT="0" distB="0" distL="0" distR="0">
            <wp:extent cx="3521710" cy="2353945"/>
            <wp:effectExtent l="0" t="0" r="0" b="0"/>
            <wp:docPr id="1" name="Objet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DB4F5F" w:rsidRDefault="00DB4F5F" w:rsidP="00BC71AB">
      <w:pPr>
        <w:spacing w:after="0" w:line="240" w:lineRule="auto"/>
        <w:jc w:val="both"/>
        <w:rPr>
          <w:rFonts w:cs="Calibri"/>
          <w:b/>
          <w:i/>
          <w:sz w:val="24"/>
          <w:szCs w:val="24"/>
        </w:rPr>
      </w:pPr>
    </w:p>
    <w:p w:rsidR="00BC71AB" w:rsidRDefault="00BC71AB" w:rsidP="00BC71AB">
      <w:pPr>
        <w:spacing w:after="0" w:line="240" w:lineRule="auto"/>
        <w:jc w:val="both"/>
        <w:rPr>
          <w:rFonts w:cs="Calibri"/>
          <w:b/>
          <w:sz w:val="24"/>
          <w:szCs w:val="24"/>
        </w:rPr>
      </w:pPr>
      <w:r w:rsidRPr="001C7C03">
        <w:rPr>
          <w:rFonts w:cs="Calibri"/>
          <w:b/>
          <w:sz w:val="24"/>
          <w:szCs w:val="24"/>
        </w:rPr>
        <w:t>c)</w:t>
      </w:r>
      <w:r>
        <w:rPr>
          <w:rFonts w:cs="Calibri"/>
          <w:b/>
          <w:sz w:val="24"/>
          <w:szCs w:val="24"/>
        </w:rPr>
        <w:t xml:space="preserve"> DIAGNÓ</w:t>
      </w:r>
      <w:r w:rsidRPr="001C7C03">
        <w:rPr>
          <w:rFonts w:cs="Calibri"/>
          <w:b/>
          <w:sz w:val="24"/>
          <w:szCs w:val="24"/>
        </w:rPr>
        <w:t>STICO NUTRICIONAL INTEGRADO DE ADULTOS MAYORES BAJO CONTROL DIC</w:t>
      </w:r>
      <w:r>
        <w:rPr>
          <w:rFonts w:cs="Calibri"/>
          <w:b/>
          <w:sz w:val="24"/>
          <w:szCs w:val="24"/>
        </w:rPr>
        <w:t xml:space="preserve">IEMBRE </w:t>
      </w:r>
      <w:r w:rsidRPr="001C7C03">
        <w:rPr>
          <w:rFonts w:cs="Calibri"/>
          <w:b/>
          <w:sz w:val="24"/>
          <w:szCs w:val="24"/>
        </w:rPr>
        <w:t xml:space="preserve"> 2017:</w:t>
      </w:r>
    </w:p>
    <w:p w:rsidR="00BC71AB" w:rsidRDefault="00BC71AB" w:rsidP="00BC71AB">
      <w:pPr>
        <w:spacing w:after="0" w:line="240" w:lineRule="auto"/>
        <w:jc w:val="both"/>
        <w:rPr>
          <w:rFonts w:cs="Calibri"/>
          <w:sz w:val="24"/>
          <w:szCs w:val="24"/>
        </w:rPr>
      </w:pPr>
      <w:r>
        <w:rPr>
          <w:rFonts w:cs="Calibri"/>
          <w:b/>
          <w:i/>
          <w:noProof/>
          <w:sz w:val="24"/>
          <w:szCs w:val="24"/>
          <w:lang w:val="es-MX" w:eastAsia="es-MX"/>
        </w:rPr>
        <w:drawing>
          <wp:inline distT="0" distB="0" distL="0" distR="0">
            <wp:extent cx="2965450" cy="1736090"/>
            <wp:effectExtent l="19050" t="0" r="25400" b="0"/>
            <wp:docPr id="2" name="Objeto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sidRPr="00CC691B">
        <w:rPr>
          <w:rFonts w:cs="Calibri"/>
          <w:sz w:val="24"/>
          <w:szCs w:val="24"/>
        </w:rPr>
        <w:t xml:space="preserve"> </w:t>
      </w:r>
    </w:p>
    <w:p w:rsidR="00D452CF" w:rsidRDefault="00D452CF" w:rsidP="00BC71AB">
      <w:pPr>
        <w:spacing w:after="0" w:line="240" w:lineRule="auto"/>
        <w:jc w:val="both"/>
        <w:rPr>
          <w:rFonts w:cs="Calibri"/>
        </w:rPr>
      </w:pPr>
    </w:p>
    <w:p w:rsidR="00BC71AB" w:rsidRDefault="00BC71AB" w:rsidP="00BC71AB">
      <w:pPr>
        <w:spacing w:after="0" w:line="240" w:lineRule="auto"/>
        <w:jc w:val="both"/>
        <w:rPr>
          <w:rFonts w:cs="Calibri"/>
        </w:rPr>
      </w:pPr>
      <w:r w:rsidRPr="000E4A15">
        <w:rPr>
          <w:rFonts w:cs="Calibri"/>
        </w:rPr>
        <w:t>En la última evaluación del mes de diciembre del 2017, un 54% de los adultos mayores evaluados en el sector presenta malnutrición por exceso, lo que se ha mantenido desde hace algunos años como indicador local, al igual que nacional y continua aumentando el riesgo de otras morbilidades cardiovasculares. Por su parte se observa un diagnostico nutricional normal solo en un 35% de la población adulta mayor evaluada, y se sabe que la malnutrición también puede resultar de enfermedades o condiciones de salud que causan problemas con la digestión de alimentos y la absorción de nutrientes, es así como de los datos analizados  un  11% de los adultos mayores evaluados presentan malnutrición por déficit o bajo peso</w:t>
      </w:r>
      <w:r w:rsidRPr="000E4A15">
        <w:rPr>
          <w:rFonts w:cs="Calibri"/>
          <w:color w:val="C00000"/>
        </w:rPr>
        <w:t xml:space="preserve"> </w:t>
      </w:r>
      <w:r w:rsidRPr="000E4A15">
        <w:rPr>
          <w:rFonts w:cs="Calibri"/>
        </w:rPr>
        <w:t xml:space="preserve">lo que puede justificarse por el grado de vulnerabilidad social en que se encuentran  los adultos mayores en nuestra sociedad- país y es aquí donde cobra mucha importancia </w:t>
      </w:r>
      <w:r w:rsidRPr="000E4A15">
        <w:rPr>
          <w:rFonts w:cs="Calibri"/>
        </w:rPr>
        <w:lastRenderedPageBreak/>
        <w:t xml:space="preserve">la entrega de alimentos del programa </w:t>
      </w:r>
      <w:proofErr w:type="spellStart"/>
      <w:r w:rsidRPr="000E4A15">
        <w:rPr>
          <w:rFonts w:cs="Calibri"/>
        </w:rPr>
        <w:t>PACAM</w:t>
      </w:r>
      <w:proofErr w:type="spellEnd"/>
      <w:r w:rsidRPr="000E4A15">
        <w:rPr>
          <w:rFonts w:cs="Calibri"/>
        </w:rPr>
        <w:t xml:space="preserve"> a este grupo etario, alimentos que son muy bien recibidos y valorados por nuestra comunidad, se debe mencionar además que por actividades de promoción y de la mesa territorial de adultos mayores se realizan  educación permanente de preparación de alimentos donde se enseña el uso de éstos a la comunidad.</w:t>
      </w:r>
    </w:p>
    <w:p w:rsidR="004654C6" w:rsidRDefault="004654C6" w:rsidP="00BC71AB">
      <w:pPr>
        <w:spacing w:after="0" w:line="240" w:lineRule="auto"/>
        <w:jc w:val="both"/>
        <w:rPr>
          <w:rFonts w:cs="Calibri"/>
        </w:rPr>
      </w:pPr>
    </w:p>
    <w:p w:rsidR="004654C6" w:rsidRPr="004654C6" w:rsidRDefault="004654C6" w:rsidP="004654C6">
      <w:pPr>
        <w:spacing w:after="0" w:line="240" w:lineRule="auto"/>
        <w:jc w:val="center"/>
        <w:rPr>
          <w:rFonts w:cs="Calibri"/>
          <w:b/>
          <w:u w:val="single"/>
        </w:rPr>
      </w:pPr>
      <w:r w:rsidRPr="004654C6">
        <w:rPr>
          <w:rFonts w:cs="Calibri"/>
          <w:b/>
          <w:u w:val="single"/>
        </w:rPr>
        <w:t xml:space="preserve">INFORMACIÓN DE LA POBLACIÓN DEL ADULTO MAYOR INSCRITA A FEBRERO 2019, </w:t>
      </w:r>
    </w:p>
    <w:p w:rsidR="004654C6" w:rsidRPr="004654C6" w:rsidRDefault="004654C6" w:rsidP="004654C6">
      <w:pPr>
        <w:spacing w:after="0" w:line="240" w:lineRule="auto"/>
        <w:jc w:val="center"/>
        <w:rPr>
          <w:rFonts w:cs="Calibri"/>
          <w:b/>
          <w:u w:val="single"/>
        </w:rPr>
      </w:pPr>
      <w:r w:rsidRPr="004654C6">
        <w:rPr>
          <w:rFonts w:cs="Calibri"/>
          <w:b/>
          <w:u w:val="single"/>
        </w:rPr>
        <w:t xml:space="preserve">PROPORCIONADA POR EL </w:t>
      </w:r>
      <w:proofErr w:type="spellStart"/>
      <w:r w:rsidRPr="004654C6">
        <w:rPr>
          <w:rFonts w:cs="Calibri"/>
          <w:b/>
          <w:u w:val="single"/>
        </w:rPr>
        <w:t>DEPTO</w:t>
      </w:r>
      <w:proofErr w:type="spellEnd"/>
      <w:r w:rsidRPr="004654C6">
        <w:rPr>
          <w:rFonts w:cs="Calibri"/>
          <w:b/>
          <w:u w:val="single"/>
        </w:rPr>
        <w:t xml:space="preserve"> DE SALUD</w:t>
      </w:r>
    </w:p>
    <w:p w:rsidR="00BC71AB" w:rsidRDefault="00BC71AB" w:rsidP="00BC71AB">
      <w:pPr>
        <w:spacing w:after="0" w:line="240" w:lineRule="auto"/>
        <w:jc w:val="both"/>
        <w:rPr>
          <w:rFonts w:cs="Calibri"/>
          <w:b/>
          <w:i/>
        </w:rPr>
      </w:pPr>
    </w:p>
    <w:tbl>
      <w:tblPr>
        <w:tblpPr w:leftFromText="141" w:rightFromText="141" w:vertAnchor="text" w:horzAnchor="page" w:tblpX="1761" w:tblpY="-9"/>
        <w:tblW w:w="6511" w:type="dxa"/>
        <w:shd w:val="clear" w:color="auto" w:fill="FFFFFF"/>
        <w:tblLayout w:type="fixed"/>
        <w:tblCellMar>
          <w:left w:w="0" w:type="dxa"/>
          <w:right w:w="0" w:type="dxa"/>
        </w:tblCellMar>
        <w:tblLook w:val="04A0"/>
      </w:tblPr>
      <w:tblGrid>
        <w:gridCol w:w="2244"/>
        <w:gridCol w:w="1432"/>
        <w:gridCol w:w="1276"/>
        <w:gridCol w:w="1559"/>
      </w:tblGrid>
      <w:tr w:rsidR="00D452CF" w:rsidRPr="00280470" w:rsidTr="00D452CF">
        <w:tc>
          <w:tcPr>
            <w:tcW w:w="6511" w:type="dxa"/>
            <w:gridSpan w:val="4"/>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452CF" w:rsidRDefault="00D452CF" w:rsidP="00D452CF">
            <w:pPr>
              <w:spacing w:after="0" w:line="240" w:lineRule="auto"/>
              <w:ind w:left="-118"/>
              <w:jc w:val="center"/>
              <w:rPr>
                <w:rFonts w:eastAsia="Times New Roman"/>
                <w:b/>
                <w:color w:val="222222"/>
                <w:lang w:eastAsia="es-CL"/>
              </w:rPr>
            </w:pPr>
            <w:r w:rsidRPr="000D1739">
              <w:rPr>
                <w:rFonts w:eastAsia="Times New Roman"/>
                <w:b/>
                <w:color w:val="222222"/>
                <w:lang w:eastAsia="es-CL"/>
              </w:rPr>
              <w:t xml:space="preserve">POBLACIÓN ADULTO MAYOR INSCRITA  A FEBRERO 2019 VALIDADA </w:t>
            </w:r>
          </w:p>
          <w:p w:rsidR="00D452CF" w:rsidRPr="000D1739" w:rsidRDefault="00D452CF" w:rsidP="00D452CF">
            <w:pPr>
              <w:spacing w:after="0" w:line="240" w:lineRule="auto"/>
              <w:ind w:left="-118"/>
              <w:jc w:val="center"/>
              <w:rPr>
                <w:rFonts w:eastAsia="Times New Roman"/>
                <w:b/>
                <w:color w:val="222222"/>
                <w:lang w:eastAsia="es-CL"/>
              </w:rPr>
            </w:pPr>
            <w:r w:rsidRPr="000D1739">
              <w:rPr>
                <w:rFonts w:eastAsia="Times New Roman"/>
                <w:b/>
                <w:color w:val="222222"/>
                <w:lang w:eastAsia="es-CL"/>
              </w:rPr>
              <w:t xml:space="preserve">POR  </w:t>
            </w:r>
            <w:proofErr w:type="spellStart"/>
            <w:r w:rsidRPr="000D1739">
              <w:rPr>
                <w:rFonts w:eastAsia="Times New Roman"/>
                <w:b/>
                <w:color w:val="222222"/>
                <w:lang w:eastAsia="es-CL"/>
              </w:rPr>
              <w:t>FONASA</w:t>
            </w:r>
            <w:proofErr w:type="spellEnd"/>
          </w:p>
        </w:tc>
      </w:tr>
      <w:tr w:rsidR="00D452CF" w:rsidRPr="00280470" w:rsidTr="00D452CF">
        <w:tc>
          <w:tcPr>
            <w:tcW w:w="2244" w:type="dxa"/>
            <w:tcBorders>
              <w:top w:val="single" w:sz="8" w:space="0" w:color="auto"/>
              <w:left w:val="single" w:sz="8" w:space="0" w:color="auto"/>
              <w:bottom w:val="single" w:sz="8" w:space="0" w:color="auto"/>
              <w:right w:val="single" w:sz="8" w:space="0" w:color="auto"/>
            </w:tcBorders>
            <w:shd w:val="clear" w:color="auto" w:fill="A6A6A6"/>
            <w:tcMar>
              <w:top w:w="0" w:type="dxa"/>
              <w:left w:w="108" w:type="dxa"/>
              <w:bottom w:w="0" w:type="dxa"/>
              <w:right w:w="108" w:type="dxa"/>
            </w:tcMar>
            <w:hideMark/>
          </w:tcPr>
          <w:p w:rsidR="00D452CF" w:rsidRPr="000D1739" w:rsidRDefault="00D452CF" w:rsidP="00D452CF">
            <w:pPr>
              <w:spacing w:after="0" w:line="240" w:lineRule="auto"/>
              <w:jc w:val="center"/>
              <w:rPr>
                <w:rFonts w:eastAsia="Times New Roman"/>
                <w:b/>
                <w:color w:val="222222"/>
                <w:lang w:eastAsia="es-CL"/>
              </w:rPr>
            </w:pPr>
            <w:r w:rsidRPr="000D1739">
              <w:rPr>
                <w:rFonts w:eastAsia="Times New Roman"/>
                <w:b/>
                <w:color w:val="222222"/>
                <w:lang w:eastAsia="es-CL"/>
              </w:rPr>
              <w:t>ESTABLECIMIENTO</w:t>
            </w:r>
          </w:p>
        </w:tc>
        <w:tc>
          <w:tcPr>
            <w:tcW w:w="1432" w:type="dxa"/>
            <w:tcBorders>
              <w:top w:val="single" w:sz="8" w:space="0" w:color="auto"/>
              <w:left w:val="nil"/>
              <w:bottom w:val="single" w:sz="8" w:space="0" w:color="auto"/>
              <w:right w:val="single" w:sz="8" w:space="0" w:color="auto"/>
            </w:tcBorders>
            <w:shd w:val="clear" w:color="auto" w:fill="A6A6A6"/>
            <w:tcMar>
              <w:top w:w="0" w:type="dxa"/>
              <w:left w:w="108" w:type="dxa"/>
              <w:bottom w:w="0" w:type="dxa"/>
              <w:right w:w="108" w:type="dxa"/>
            </w:tcMar>
            <w:hideMark/>
          </w:tcPr>
          <w:p w:rsidR="00D452CF" w:rsidRPr="000D1739" w:rsidRDefault="00D452CF" w:rsidP="00D452CF">
            <w:pPr>
              <w:spacing w:after="0" w:line="240" w:lineRule="auto"/>
              <w:jc w:val="center"/>
              <w:rPr>
                <w:rFonts w:eastAsia="Times New Roman"/>
                <w:b/>
                <w:color w:val="222222"/>
                <w:lang w:eastAsia="es-CL"/>
              </w:rPr>
            </w:pPr>
            <w:r w:rsidRPr="000D1739">
              <w:rPr>
                <w:rFonts w:eastAsia="Times New Roman"/>
                <w:b/>
                <w:color w:val="222222"/>
                <w:lang w:eastAsia="es-CL"/>
              </w:rPr>
              <w:t>MASCULINO</w:t>
            </w:r>
          </w:p>
        </w:tc>
        <w:tc>
          <w:tcPr>
            <w:tcW w:w="1276" w:type="dxa"/>
            <w:tcBorders>
              <w:top w:val="single" w:sz="8" w:space="0" w:color="auto"/>
              <w:left w:val="nil"/>
              <w:bottom w:val="single" w:sz="8" w:space="0" w:color="auto"/>
              <w:right w:val="single" w:sz="8" w:space="0" w:color="auto"/>
            </w:tcBorders>
            <w:shd w:val="clear" w:color="auto" w:fill="A6A6A6"/>
            <w:tcMar>
              <w:top w:w="0" w:type="dxa"/>
              <w:left w:w="108" w:type="dxa"/>
              <w:bottom w:w="0" w:type="dxa"/>
              <w:right w:w="108" w:type="dxa"/>
            </w:tcMar>
            <w:hideMark/>
          </w:tcPr>
          <w:p w:rsidR="00D452CF" w:rsidRPr="000D1739" w:rsidRDefault="00D452CF" w:rsidP="00D452CF">
            <w:pPr>
              <w:spacing w:after="0" w:line="240" w:lineRule="auto"/>
              <w:jc w:val="center"/>
              <w:rPr>
                <w:rFonts w:eastAsia="Times New Roman"/>
                <w:b/>
                <w:color w:val="222222"/>
                <w:lang w:eastAsia="es-CL"/>
              </w:rPr>
            </w:pPr>
            <w:r w:rsidRPr="000D1739">
              <w:rPr>
                <w:rFonts w:eastAsia="Times New Roman"/>
                <w:b/>
                <w:color w:val="222222"/>
                <w:lang w:eastAsia="es-CL"/>
              </w:rPr>
              <w:t>FEMENINO</w:t>
            </w:r>
          </w:p>
        </w:tc>
        <w:tc>
          <w:tcPr>
            <w:tcW w:w="1559" w:type="dxa"/>
            <w:tcBorders>
              <w:top w:val="single" w:sz="8" w:space="0" w:color="auto"/>
              <w:left w:val="nil"/>
              <w:bottom w:val="single" w:sz="8" w:space="0" w:color="auto"/>
              <w:right w:val="single" w:sz="8" w:space="0" w:color="auto"/>
            </w:tcBorders>
            <w:shd w:val="clear" w:color="auto" w:fill="A6A6A6"/>
            <w:tcMar>
              <w:top w:w="0" w:type="dxa"/>
              <w:left w:w="108" w:type="dxa"/>
              <w:bottom w:w="0" w:type="dxa"/>
              <w:right w:w="108" w:type="dxa"/>
            </w:tcMar>
            <w:hideMark/>
          </w:tcPr>
          <w:p w:rsidR="00D452CF" w:rsidRPr="000D1739" w:rsidRDefault="00D452CF" w:rsidP="00D452CF">
            <w:pPr>
              <w:spacing w:after="0" w:line="240" w:lineRule="auto"/>
              <w:jc w:val="center"/>
              <w:rPr>
                <w:rFonts w:eastAsia="Times New Roman"/>
                <w:b/>
                <w:color w:val="222222"/>
                <w:lang w:eastAsia="es-CL"/>
              </w:rPr>
            </w:pPr>
            <w:r w:rsidRPr="000D1739">
              <w:rPr>
                <w:rFonts w:eastAsia="Times New Roman"/>
                <w:b/>
                <w:color w:val="222222"/>
                <w:lang w:eastAsia="es-CL"/>
              </w:rPr>
              <w:t>TOTAL</w:t>
            </w:r>
          </w:p>
        </w:tc>
      </w:tr>
      <w:tr w:rsidR="00D452CF" w:rsidRPr="00280470" w:rsidTr="00D452CF">
        <w:tc>
          <w:tcPr>
            <w:tcW w:w="22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452CF" w:rsidRPr="00280470" w:rsidRDefault="00D452CF" w:rsidP="00D452CF">
            <w:pPr>
              <w:spacing w:after="0" w:line="240" w:lineRule="auto"/>
              <w:rPr>
                <w:rFonts w:eastAsia="Times New Roman"/>
                <w:color w:val="222222"/>
                <w:lang w:eastAsia="es-CL"/>
              </w:rPr>
            </w:pPr>
            <w:r w:rsidRPr="00280470">
              <w:rPr>
                <w:rFonts w:eastAsia="Times New Roman"/>
                <w:color w:val="222222"/>
                <w:lang w:eastAsia="es-CL"/>
              </w:rPr>
              <w:t>Cesfam</w:t>
            </w:r>
          </w:p>
        </w:tc>
        <w:tc>
          <w:tcPr>
            <w:tcW w:w="14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52CF" w:rsidRPr="00280470" w:rsidRDefault="00D452CF" w:rsidP="00D452CF">
            <w:pPr>
              <w:spacing w:after="0" w:line="240" w:lineRule="auto"/>
              <w:jc w:val="center"/>
              <w:rPr>
                <w:rFonts w:eastAsia="Times New Roman"/>
                <w:color w:val="222222"/>
                <w:lang w:eastAsia="es-CL"/>
              </w:rPr>
            </w:pPr>
            <w:r w:rsidRPr="00280470">
              <w:rPr>
                <w:rFonts w:eastAsia="Times New Roman"/>
                <w:color w:val="222222"/>
                <w:lang w:eastAsia="es-CL"/>
              </w:rPr>
              <w:t>358</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52CF" w:rsidRPr="00280470" w:rsidRDefault="00D452CF" w:rsidP="00D452CF">
            <w:pPr>
              <w:spacing w:after="0" w:line="240" w:lineRule="auto"/>
              <w:jc w:val="center"/>
              <w:rPr>
                <w:rFonts w:eastAsia="Times New Roman"/>
                <w:color w:val="222222"/>
                <w:lang w:eastAsia="es-CL"/>
              </w:rPr>
            </w:pPr>
            <w:r w:rsidRPr="00280470">
              <w:rPr>
                <w:rFonts w:eastAsia="Times New Roman"/>
                <w:color w:val="222222"/>
                <w:lang w:eastAsia="es-CL"/>
              </w:rPr>
              <w:t>398</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52CF" w:rsidRPr="00280470" w:rsidRDefault="00D452CF" w:rsidP="00D452CF">
            <w:pPr>
              <w:spacing w:after="0" w:line="240" w:lineRule="auto"/>
              <w:jc w:val="center"/>
              <w:rPr>
                <w:rFonts w:eastAsia="Times New Roman"/>
                <w:color w:val="222222"/>
                <w:lang w:eastAsia="es-CL"/>
              </w:rPr>
            </w:pPr>
            <w:r w:rsidRPr="00280470">
              <w:rPr>
                <w:rFonts w:eastAsia="Times New Roman"/>
                <w:color w:val="222222"/>
                <w:lang w:eastAsia="es-CL"/>
              </w:rPr>
              <w:t>756</w:t>
            </w:r>
          </w:p>
        </w:tc>
      </w:tr>
      <w:tr w:rsidR="00D452CF" w:rsidRPr="00280470" w:rsidTr="00D452CF">
        <w:tc>
          <w:tcPr>
            <w:tcW w:w="22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452CF" w:rsidRPr="00280470" w:rsidRDefault="00D452CF" w:rsidP="00D452CF">
            <w:pPr>
              <w:spacing w:after="0" w:line="240" w:lineRule="auto"/>
              <w:rPr>
                <w:rFonts w:eastAsia="Times New Roman"/>
                <w:color w:val="222222"/>
                <w:lang w:eastAsia="es-CL"/>
              </w:rPr>
            </w:pPr>
            <w:r w:rsidRPr="00280470">
              <w:rPr>
                <w:rFonts w:eastAsia="Times New Roman"/>
                <w:color w:val="222222"/>
                <w:lang w:eastAsia="es-CL"/>
              </w:rPr>
              <w:t>La Aguada</w:t>
            </w:r>
          </w:p>
        </w:tc>
        <w:tc>
          <w:tcPr>
            <w:tcW w:w="14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52CF" w:rsidRPr="00280470" w:rsidRDefault="00D452CF" w:rsidP="00D452CF">
            <w:pPr>
              <w:spacing w:after="0" w:line="240" w:lineRule="auto"/>
              <w:jc w:val="center"/>
              <w:rPr>
                <w:rFonts w:eastAsia="Times New Roman"/>
                <w:color w:val="222222"/>
                <w:lang w:eastAsia="es-CL"/>
              </w:rPr>
            </w:pPr>
            <w:r w:rsidRPr="00280470">
              <w:rPr>
                <w:rFonts w:eastAsia="Times New Roman"/>
                <w:color w:val="222222"/>
                <w:lang w:eastAsia="es-CL"/>
              </w:rPr>
              <w:t>60</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52CF" w:rsidRPr="00280470" w:rsidRDefault="00D452CF" w:rsidP="00D452CF">
            <w:pPr>
              <w:spacing w:after="0" w:line="240" w:lineRule="auto"/>
              <w:jc w:val="center"/>
              <w:rPr>
                <w:rFonts w:eastAsia="Times New Roman"/>
                <w:color w:val="222222"/>
                <w:lang w:eastAsia="es-CL"/>
              </w:rPr>
            </w:pPr>
            <w:r w:rsidRPr="00280470">
              <w:rPr>
                <w:rFonts w:eastAsia="Times New Roman"/>
                <w:color w:val="222222"/>
                <w:lang w:eastAsia="es-CL"/>
              </w:rPr>
              <w:t>72</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52CF" w:rsidRPr="00280470" w:rsidRDefault="00D452CF" w:rsidP="00D452CF">
            <w:pPr>
              <w:spacing w:after="0" w:line="240" w:lineRule="auto"/>
              <w:jc w:val="center"/>
              <w:rPr>
                <w:rFonts w:eastAsia="Times New Roman"/>
                <w:color w:val="222222"/>
                <w:lang w:eastAsia="es-CL"/>
              </w:rPr>
            </w:pPr>
            <w:r w:rsidRPr="00280470">
              <w:rPr>
                <w:rFonts w:eastAsia="Times New Roman"/>
                <w:color w:val="222222"/>
                <w:lang w:eastAsia="es-CL"/>
              </w:rPr>
              <w:t>132</w:t>
            </w:r>
          </w:p>
        </w:tc>
      </w:tr>
      <w:tr w:rsidR="00D452CF" w:rsidRPr="00280470" w:rsidTr="00D452CF">
        <w:tc>
          <w:tcPr>
            <w:tcW w:w="22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452CF" w:rsidRPr="00280470" w:rsidRDefault="00D452CF" w:rsidP="00D452CF">
            <w:pPr>
              <w:spacing w:after="0" w:line="240" w:lineRule="auto"/>
              <w:rPr>
                <w:rFonts w:eastAsia="Times New Roman"/>
                <w:color w:val="222222"/>
                <w:lang w:eastAsia="es-CL"/>
              </w:rPr>
            </w:pPr>
            <w:proofErr w:type="spellStart"/>
            <w:r w:rsidRPr="00280470">
              <w:rPr>
                <w:rFonts w:eastAsia="Times New Roman"/>
                <w:color w:val="222222"/>
                <w:lang w:eastAsia="es-CL"/>
              </w:rPr>
              <w:t>Rere</w:t>
            </w:r>
            <w:proofErr w:type="spellEnd"/>
          </w:p>
        </w:tc>
        <w:tc>
          <w:tcPr>
            <w:tcW w:w="14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52CF" w:rsidRPr="00280470" w:rsidRDefault="00D452CF" w:rsidP="00D452CF">
            <w:pPr>
              <w:spacing w:after="0" w:line="240" w:lineRule="auto"/>
              <w:jc w:val="center"/>
              <w:rPr>
                <w:rFonts w:eastAsia="Times New Roman"/>
                <w:color w:val="222222"/>
                <w:lang w:eastAsia="es-CL"/>
              </w:rPr>
            </w:pPr>
            <w:r w:rsidRPr="00280470">
              <w:rPr>
                <w:rFonts w:eastAsia="Times New Roman"/>
                <w:color w:val="222222"/>
                <w:lang w:eastAsia="es-CL"/>
              </w:rPr>
              <w:t>68</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52CF" w:rsidRPr="00280470" w:rsidRDefault="00D452CF" w:rsidP="00D452CF">
            <w:pPr>
              <w:spacing w:after="0" w:line="240" w:lineRule="auto"/>
              <w:jc w:val="center"/>
              <w:rPr>
                <w:rFonts w:eastAsia="Times New Roman"/>
                <w:color w:val="222222"/>
                <w:lang w:eastAsia="es-CL"/>
              </w:rPr>
            </w:pPr>
            <w:r w:rsidRPr="00280470">
              <w:rPr>
                <w:rFonts w:eastAsia="Times New Roman"/>
                <w:color w:val="222222"/>
                <w:lang w:eastAsia="es-CL"/>
              </w:rPr>
              <w:t>69</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52CF" w:rsidRPr="00280470" w:rsidRDefault="00D452CF" w:rsidP="00D452CF">
            <w:pPr>
              <w:spacing w:after="0" w:line="240" w:lineRule="auto"/>
              <w:jc w:val="center"/>
              <w:rPr>
                <w:rFonts w:eastAsia="Times New Roman"/>
                <w:color w:val="222222"/>
                <w:lang w:eastAsia="es-CL"/>
              </w:rPr>
            </w:pPr>
            <w:r w:rsidRPr="00280470">
              <w:rPr>
                <w:rFonts w:eastAsia="Times New Roman"/>
                <w:color w:val="222222"/>
                <w:lang w:eastAsia="es-CL"/>
              </w:rPr>
              <w:t>137</w:t>
            </w:r>
          </w:p>
        </w:tc>
      </w:tr>
      <w:tr w:rsidR="00D452CF" w:rsidRPr="00280470" w:rsidTr="00D452CF">
        <w:tc>
          <w:tcPr>
            <w:tcW w:w="22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452CF" w:rsidRPr="00280470" w:rsidRDefault="00D452CF" w:rsidP="00D452CF">
            <w:pPr>
              <w:spacing w:after="0" w:line="240" w:lineRule="auto"/>
              <w:rPr>
                <w:rFonts w:eastAsia="Times New Roman"/>
                <w:color w:val="222222"/>
                <w:lang w:eastAsia="es-CL"/>
              </w:rPr>
            </w:pPr>
            <w:r w:rsidRPr="00280470">
              <w:rPr>
                <w:rFonts w:eastAsia="Times New Roman"/>
                <w:color w:val="222222"/>
                <w:lang w:eastAsia="es-CL"/>
              </w:rPr>
              <w:t>Rio Claro</w:t>
            </w:r>
          </w:p>
        </w:tc>
        <w:tc>
          <w:tcPr>
            <w:tcW w:w="14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52CF" w:rsidRPr="00280470" w:rsidRDefault="00D452CF" w:rsidP="00D452CF">
            <w:pPr>
              <w:spacing w:after="0" w:line="240" w:lineRule="auto"/>
              <w:jc w:val="center"/>
              <w:rPr>
                <w:rFonts w:eastAsia="Times New Roman"/>
                <w:color w:val="222222"/>
                <w:lang w:eastAsia="es-CL"/>
              </w:rPr>
            </w:pPr>
            <w:r w:rsidRPr="00280470">
              <w:rPr>
                <w:rFonts w:eastAsia="Times New Roman"/>
                <w:color w:val="222222"/>
                <w:lang w:eastAsia="es-CL"/>
              </w:rPr>
              <w:t>117</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52CF" w:rsidRPr="00280470" w:rsidRDefault="00D452CF" w:rsidP="00D452CF">
            <w:pPr>
              <w:spacing w:after="0" w:line="240" w:lineRule="auto"/>
              <w:jc w:val="center"/>
              <w:rPr>
                <w:rFonts w:eastAsia="Times New Roman"/>
                <w:color w:val="222222"/>
                <w:lang w:eastAsia="es-CL"/>
              </w:rPr>
            </w:pPr>
            <w:r w:rsidRPr="00280470">
              <w:rPr>
                <w:rFonts w:eastAsia="Times New Roman"/>
                <w:color w:val="222222"/>
                <w:lang w:eastAsia="es-CL"/>
              </w:rPr>
              <w:t>123</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52CF" w:rsidRPr="00280470" w:rsidRDefault="00D452CF" w:rsidP="00D452CF">
            <w:pPr>
              <w:spacing w:after="0" w:line="240" w:lineRule="auto"/>
              <w:jc w:val="center"/>
              <w:rPr>
                <w:rFonts w:eastAsia="Times New Roman"/>
                <w:color w:val="222222"/>
                <w:lang w:eastAsia="es-CL"/>
              </w:rPr>
            </w:pPr>
            <w:r w:rsidRPr="00280470">
              <w:rPr>
                <w:rFonts w:eastAsia="Times New Roman"/>
                <w:color w:val="222222"/>
                <w:lang w:eastAsia="es-CL"/>
              </w:rPr>
              <w:t>240</w:t>
            </w:r>
          </w:p>
        </w:tc>
      </w:tr>
      <w:tr w:rsidR="00D452CF" w:rsidRPr="00280470" w:rsidTr="00D452CF">
        <w:tc>
          <w:tcPr>
            <w:tcW w:w="22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452CF" w:rsidRPr="00280470" w:rsidRDefault="00D452CF" w:rsidP="00D452CF">
            <w:pPr>
              <w:spacing w:after="0" w:line="240" w:lineRule="auto"/>
              <w:rPr>
                <w:rFonts w:eastAsia="Times New Roman"/>
                <w:color w:val="222222"/>
                <w:lang w:eastAsia="es-CL"/>
              </w:rPr>
            </w:pPr>
            <w:r w:rsidRPr="00280470">
              <w:rPr>
                <w:rFonts w:eastAsia="Times New Roman"/>
                <w:color w:val="222222"/>
                <w:lang w:eastAsia="es-CL"/>
              </w:rPr>
              <w:t>Tomeco</w:t>
            </w:r>
          </w:p>
        </w:tc>
        <w:tc>
          <w:tcPr>
            <w:tcW w:w="14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52CF" w:rsidRPr="00280470" w:rsidRDefault="00D452CF" w:rsidP="00D452CF">
            <w:pPr>
              <w:spacing w:after="0" w:line="240" w:lineRule="auto"/>
              <w:jc w:val="center"/>
              <w:rPr>
                <w:rFonts w:eastAsia="Times New Roman"/>
                <w:color w:val="222222"/>
                <w:lang w:eastAsia="es-CL"/>
              </w:rPr>
            </w:pPr>
            <w:r w:rsidRPr="00280470">
              <w:rPr>
                <w:rFonts w:eastAsia="Times New Roman"/>
                <w:color w:val="222222"/>
                <w:lang w:eastAsia="es-CL"/>
              </w:rPr>
              <w:t>112</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52CF" w:rsidRPr="00280470" w:rsidRDefault="00D452CF" w:rsidP="00D452CF">
            <w:pPr>
              <w:spacing w:after="0" w:line="240" w:lineRule="auto"/>
              <w:jc w:val="center"/>
              <w:rPr>
                <w:rFonts w:eastAsia="Times New Roman"/>
                <w:color w:val="222222"/>
                <w:lang w:eastAsia="es-CL"/>
              </w:rPr>
            </w:pPr>
            <w:r w:rsidRPr="00280470">
              <w:rPr>
                <w:rFonts w:eastAsia="Times New Roman"/>
                <w:color w:val="222222"/>
                <w:lang w:eastAsia="es-CL"/>
              </w:rPr>
              <w:t>96</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52CF" w:rsidRPr="00280470" w:rsidRDefault="00D452CF" w:rsidP="00D452CF">
            <w:pPr>
              <w:spacing w:after="0" w:line="240" w:lineRule="auto"/>
              <w:jc w:val="center"/>
              <w:rPr>
                <w:rFonts w:eastAsia="Times New Roman"/>
                <w:color w:val="222222"/>
                <w:lang w:eastAsia="es-CL"/>
              </w:rPr>
            </w:pPr>
            <w:r w:rsidRPr="00280470">
              <w:rPr>
                <w:rFonts w:eastAsia="Times New Roman"/>
                <w:color w:val="222222"/>
                <w:lang w:eastAsia="es-CL"/>
              </w:rPr>
              <w:t>208</w:t>
            </w:r>
          </w:p>
        </w:tc>
      </w:tr>
      <w:tr w:rsidR="00D452CF" w:rsidRPr="00280470" w:rsidTr="00D452CF">
        <w:tc>
          <w:tcPr>
            <w:tcW w:w="224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452CF" w:rsidRPr="00280470" w:rsidRDefault="00D452CF" w:rsidP="00D452CF">
            <w:pPr>
              <w:spacing w:after="0" w:line="240" w:lineRule="auto"/>
              <w:rPr>
                <w:rFonts w:eastAsia="Times New Roman"/>
                <w:color w:val="222222"/>
                <w:lang w:eastAsia="es-CL"/>
              </w:rPr>
            </w:pPr>
            <w:r w:rsidRPr="00280470">
              <w:rPr>
                <w:rFonts w:eastAsia="Times New Roman"/>
                <w:color w:val="222222"/>
                <w:lang w:eastAsia="es-CL"/>
              </w:rPr>
              <w:t>Canchilla</w:t>
            </w:r>
          </w:p>
        </w:tc>
        <w:tc>
          <w:tcPr>
            <w:tcW w:w="143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452CF" w:rsidRPr="00280470" w:rsidRDefault="00D452CF" w:rsidP="00D452CF">
            <w:pPr>
              <w:spacing w:after="0" w:line="240" w:lineRule="auto"/>
              <w:jc w:val="center"/>
              <w:rPr>
                <w:rFonts w:eastAsia="Times New Roman"/>
                <w:color w:val="222222"/>
                <w:lang w:eastAsia="es-CL"/>
              </w:rPr>
            </w:pPr>
            <w:r w:rsidRPr="00280470">
              <w:rPr>
                <w:rFonts w:eastAsia="Times New Roman"/>
                <w:color w:val="222222"/>
                <w:lang w:eastAsia="es-CL"/>
              </w:rPr>
              <w:t>25</w:t>
            </w:r>
          </w:p>
        </w:tc>
        <w:tc>
          <w:tcPr>
            <w:tcW w:w="127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452CF" w:rsidRPr="00280470" w:rsidRDefault="00D452CF" w:rsidP="00D452CF">
            <w:pPr>
              <w:spacing w:after="0" w:line="240" w:lineRule="auto"/>
              <w:jc w:val="center"/>
              <w:rPr>
                <w:rFonts w:eastAsia="Times New Roman"/>
                <w:color w:val="222222"/>
                <w:lang w:eastAsia="es-CL"/>
              </w:rPr>
            </w:pPr>
            <w:r w:rsidRPr="00280470">
              <w:rPr>
                <w:rFonts w:eastAsia="Times New Roman"/>
                <w:color w:val="222222"/>
                <w:lang w:eastAsia="es-CL"/>
              </w:rPr>
              <w:t>24</w:t>
            </w:r>
          </w:p>
        </w:tc>
        <w:tc>
          <w:tcPr>
            <w:tcW w:w="155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452CF" w:rsidRPr="00280470" w:rsidRDefault="00D452CF" w:rsidP="00D452CF">
            <w:pPr>
              <w:spacing w:after="0" w:line="240" w:lineRule="auto"/>
              <w:jc w:val="center"/>
              <w:rPr>
                <w:rFonts w:eastAsia="Times New Roman"/>
                <w:color w:val="222222"/>
                <w:lang w:eastAsia="es-CL"/>
              </w:rPr>
            </w:pPr>
            <w:r w:rsidRPr="00280470">
              <w:rPr>
                <w:rFonts w:eastAsia="Times New Roman"/>
                <w:color w:val="222222"/>
                <w:lang w:eastAsia="es-CL"/>
              </w:rPr>
              <w:t>49</w:t>
            </w:r>
          </w:p>
        </w:tc>
      </w:tr>
      <w:tr w:rsidR="00D452CF" w:rsidRPr="00280470" w:rsidTr="00D452CF">
        <w:tc>
          <w:tcPr>
            <w:tcW w:w="224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452CF" w:rsidRPr="00280470" w:rsidRDefault="00D452CF" w:rsidP="00D452CF">
            <w:pPr>
              <w:spacing w:after="0" w:line="240" w:lineRule="auto"/>
              <w:rPr>
                <w:rFonts w:eastAsia="Times New Roman"/>
                <w:color w:val="222222"/>
                <w:lang w:eastAsia="es-CL"/>
              </w:rPr>
            </w:pPr>
            <w:r>
              <w:rPr>
                <w:rFonts w:eastAsia="Times New Roman"/>
                <w:color w:val="222222"/>
                <w:lang w:eastAsia="es-CL"/>
              </w:rPr>
              <w:t>Total</w:t>
            </w:r>
          </w:p>
        </w:tc>
        <w:tc>
          <w:tcPr>
            <w:tcW w:w="143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D452CF" w:rsidRPr="00280470" w:rsidRDefault="00D452CF" w:rsidP="00D452CF">
            <w:pPr>
              <w:spacing w:after="0" w:line="240" w:lineRule="auto"/>
              <w:jc w:val="center"/>
              <w:rPr>
                <w:rFonts w:eastAsia="Times New Roman"/>
                <w:color w:val="222222"/>
                <w:lang w:eastAsia="es-CL"/>
              </w:rPr>
            </w:pPr>
            <w:r>
              <w:rPr>
                <w:rFonts w:eastAsia="Times New Roman"/>
                <w:color w:val="222222"/>
                <w:lang w:eastAsia="es-CL"/>
              </w:rPr>
              <w:t>740</w:t>
            </w:r>
          </w:p>
        </w:tc>
        <w:tc>
          <w:tcPr>
            <w:tcW w:w="12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D452CF" w:rsidRPr="00280470" w:rsidRDefault="00D452CF" w:rsidP="00D452CF">
            <w:pPr>
              <w:spacing w:after="0" w:line="240" w:lineRule="auto"/>
              <w:jc w:val="center"/>
              <w:rPr>
                <w:rFonts w:eastAsia="Times New Roman"/>
                <w:color w:val="222222"/>
                <w:lang w:eastAsia="es-CL"/>
              </w:rPr>
            </w:pPr>
            <w:r>
              <w:rPr>
                <w:rFonts w:eastAsia="Times New Roman"/>
                <w:color w:val="222222"/>
                <w:lang w:eastAsia="es-CL"/>
              </w:rPr>
              <w:t>782</w:t>
            </w:r>
          </w:p>
        </w:tc>
        <w:tc>
          <w:tcPr>
            <w:tcW w:w="155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452CF" w:rsidRPr="00280470" w:rsidRDefault="00D452CF" w:rsidP="00D452CF">
            <w:pPr>
              <w:spacing w:after="0" w:line="240" w:lineRule="auto"/>
              <w:jc w:val="center"/>
              <w:rPr>
                <w:rFonts w:eastAsia="Times New Roman"/>
                <w:color w:val="222222"/>
                <w:lang w:eastAsia="es-CL"/>
              </w:rPr>
            </w:pPr>
            <w:r>
              <w:rPr>
                <w:rFonts w:eastAsia="Times New Roman"/>
                <w:color w:val="222222"/>
                <w:lang w:eastAsia="es-CL"/>
              </w:rPr>
              <w:t>1522</w:t>
            </w:r>
          </w:p>
        </w:tc>
      </w:tr>
    </w:tbl>
    <w:p w:rsidR="00BC71AB" w:rsidRPr="000E4A15" w:rsidRDefault="00BC71AB" w:rsidP="00BC71AB">
      <w:pPr>
        <w:spacing w:after="0" w:line="240" w:lineRule="auto"/>
        <w:jc w:val="both"/>
        <w:rPr>
          <w:rFonts w:cs="Calibri"/>
          <w:b/>
          <w:i/>
        </w:rPr>
      </w:pPr>
    </w:p>
    <w:p w:rsidR="00BC71AB" w:rsidRDefault="00BC71AB" w:rsidP="00BC71AB">
      <w:pPr>
        <w:shd w:val="clear" w:color="auto" w:fill="FFFFFF"/>
        <w:spacing w:after="0" w:line="240" w:lineRule="auto"/>
        <w:rPr>
          <w:rFonts w:eastAsia="Times New Roman"/>
          <w:color w:val="222222"/>
          <w:lang w:eastAsia="es-CL"/>
        </w:rPr>
      </w:pPr>
    </w:p>
    <w:p w:rsidR="00BC71AB" w:rsidRDefault="00BC71AB" w:rsidP="00BC71AB">
      <w:pPr>
        <w:shd w:val="clear" w:color="auto" w:fill="FFFFFF"/>
        <w:spacing w:after="0" w:line="240" w:lineRule="auto"/>
        <w:rPr>
          <w:rFonts w:eastAsia="Times New Roman"/>
          <w:color w:val="222222"/>
          <w:lang w:eastAsia="es-CL"/>
        </w:rPr>
      </w:pPr>
    </w:p>
    <w:p w:rsidR="00BC71AB" w:rsidRDefault="00BC71AB" w:rsidP="00BC71AB">
      <w:pPr>
        <w:shd w:val="clear" w:color="auto" w:fill="FFFFFF"/>
        <w:spacing w:after="0" w:line="240" w:lineRule="auto"/>
        <w:rPr>
          <w:rFonts w:eastAsia="Times New Roman"/>
          <w:color w:val="222222"/>
          <w:lang w:eastAsia="es-CL"/>
        </w:rPr>
      </w:pPr>
    </w:p>
    <w:p w:rsidR="00BC71AB" w:rsidRDefault="00BC71AB" w:rsidP="00BC71AB">
      <w:pPr>
        <w:shd w:val="clear" w:color="auto" w:fill="FFFFFF"/>
        <w:spacing w:after="0" w:line="240" w:lineRule="auto"/>
        <w:rPr>
          <w:rFonts w:eastAsia="Times New Roman"/>
          <w:color w:val="222222"/>
          <w:lang w:eastAsia="es-CL"/>
        </w:rPr>
      </w:pPr>
    </w:p>
    <w:p w:rsidR="00BC71AB" w:rsidRDefault="00BC71AB" w:rsidP="00BC71AB">
      <w:pPr>
        <w:shd w:val="clear" w:color="auto" w:fill="FFFFFF"/>
        <w:spacing w:after="0" w:line="240" w:lineRule="auto"/>
        <w:rPr>
          <w:rFonts w:eastAsia="Times New Roman"/>
          <w:color w:val="222222"/>
          <w:lang w:eastAsia="es-CL"/>
        </w:rPr>
      </w:pPr>
    </w:p>
    <w:p w:rsidR="00BC71AB" w:rsidRDefault="00BC71AB" w:rsidP="00BC71AB">
      <w:pPr>
        <w:shd w:val="clear" w:color="auto" w:fill="FFFFFF"/>
        <w:spacing w:after="0" w:line="240" w:lineRule="auto"/>
        <w:rPr>
          <w:rFonts w:eastAsia="Times New Roman"/>
          <w:color w:val="222222"/>
          <w:lang w:eastAsia="es-CL"/>
        </w:rPr>
      </w:pPr>
    </w:p>
    <w:p w:rsidR="00BC71AB" w:rsidRDefault="00BC71AB" w:rsidP="00BC71AB">
      <w:pPr>
        <w:shd w:val="clear" w:color="auto" w:fill="FFFFFF"/>
        <w:spacing w:after="0" w:line="240" w:lineRule="auto"/>
        <w:rPr>
          <w:rFonts w:eastAsia="Times New Roman"/>
          <w:color w:val="222222"/>
          <w:lang w:eastAsia="es-CL"/>
        </w:rPr>
      </w:pPr>
    </w:p>
    <w:p w:rsidR="00BC71AB" w:rsidRDefault="00BC71AB" w:rsidP="00BC71AB">
      <w:pPr>
        <w:shd w:val="clear" w:color="auto" w:fill="FFFFFF"/>
        <w:spacing w:after="0" w:line="240" w:lineRule="auto"/>
        <w:rPr>
          <w:rFonts w:eastAsia="Times New Roman"/>
          <w:color w:val="222222"/>
          <w:lang w:eastAsia="es-CL"/>
        </w:rPr>
      </w:pPr>
    </w:p>
    <w:p w:rsidR="00BC71AB" w:rsidRDefault="00BC71AB" w:rsidP="00BC71AB">
      <w:pPr>
        <w:shd w:val="clear" w:color="auto" w:fill="FFFFFF"/>
        <w:spacing w:after="0" w:line="240" w:lineRule="auto"/>
        <w:rPr>
          <w:rFonts w:eastAsia="Times New Roman"/>
          <w:color w:val="222222"/>
          <w:lang w:eastAsia="es-CL"/>
        </w:rPr>
      </w:pPr>
    </w:p>
    <w:p w:rsidR="00BC71AB" w:rsidRDefault="00BC71AB" w:rsidP="00BC71AB">
      <w:pPr>
        <w:shd w:val="clear" w:color="auto" w:fill="FFFFFF"/>
        <w:spacing w:after="0" w:line="240" w:lineRule="auto"/>
        <w:rPr>
          <w:rFonts w:eastAsia="Times New Roman"/>
          <w:color w:val="222222"/>
          <w:lang w:eastAsia="es-CL"/>
        </w:rPr>
      </w:pPr>
    </w:p>
    <w:p w:rsidR="00BC71AB" w:rsidRDefault="00BC71AB" w:rsidP="00BC71AB">
      <w:pPr>
        <w:shd w:val="clear" w:color="auto" w:fill="FFFFFF"/>
        <w:spacing w:after="0" w:line="240" w:lineRule="auto"/>
        <w:rPr>
          <w:rFonts w:eastAsia="Times New Roman"/>
          <w:color w:val="222222"/>
          <w:lang w:eastAsia="es-CL"/>
        </w:rPr>
      </w:pPr>
    </w:p>
    <w:p w:rsidR="00BC71AB" w:rsidRDefault="00BC71AB" w:rsidP="00BC71AB">
      <w:pPr>
        <w:shd w:val="clear" w:color="auto" w:fill="FFFFFF"/>
        <w:spacing w:after="0" w:line="240" w:lineRule="auto"/>
        <w:rPr>
          <w:rFonts w:eastAsia="Times New Roman"/>
          <w:color w:val="222222"/>
          <w:lang w:eastAsia="es-CL"/>
        </w:rPr>
      </w:pPr>
    </w:p>
    <w:p w:rsidR="00BC71AB" w:rsidRDefault="00BC71AB" w:rsidP="00660278">
      <w:pPr>
        <w:shd w:val="clear" w:color="auto" w:fill="FFFFFF"/>
        <w:spacing w:after="0" w:line="240" w:lineRule="auto"/>
        <w:jc w:val="both"/>
        <w:rPr>
          <w:rFonts w:eastAsia="Times New Roman"/>
          <w:color w:val="222222"/>
          <w:lang w:eastAsia="es-CL"/>
        </w:rPr>
      </w:pPr>
      <w:r w:rsidRPr="00280470">
        <w:rPr>
          <w:rFonts w:eastAsia="Times New Roman"/>
          <w:color w:val="222222"/>
          <w:lang w:eastAsia="es-CL"/>
        </w:rPr>
        <w:t xml:space="preserve">Información proporcionada por Encargado de inscripción </w:t>
      </w:r>
      <w:proofErr w:type="spellStart"/>
      <w:r>
        <w:rPr>
          <w:rFonts w:eastAsia="Times New Roman"/>
          <w:color w:val="222222"/>
          <w:lang w:eastAsia="es-CL"/>
        </w:rPr>
        <w:t>percápita</w:t>
      </w:r>
      <w:proofErr w:type="spellEnd"/>
      <w:r>
        <w:rPr>
          <w:rFonts w:eastAsia="Times New Roman"/>
          <w:color w:val="222222"/>
          <w:lang w:eastAsia="es-CL"/>
        </w:rPr>
        <w:t xml:space="preserve">, </w:t>
      </w:r>
      <w:r w:rsidRPr="00280470">
        <w:rPr>
          <w:rFonts w:eastAsia="Times New Roman"/>
          <w:color w:val="222222"/>
          <w:lang w:eastAsia="es-CL"/>
        </w:rPr>
        <w:t>mayo 2019.La población de las postas se considera población rural.</w:t>
      </w:r>
    </w:p>
    <w:p w:rsidR="00386CE2" w:rsidRPr="00280470" w:rsidRDefault="00386CE2" w:rsidP="00660278">
      <w:pPr>
        <w:shd w:val="clear" w:color="auto" w:fill="FFFFFF"/>
        <w:spacing w:after="0" w:line="240" w:lineRule="auto"/>
        <w:jc w:val="both"/>
        <w:rPr>
          <w:rFonts w:eastAsia="Times New Roman"/>
          <w:color w:val="222222"/>
          <w:lang w:eastAsia="es-CL"/>
        </w:rPr>
      </w:pPr>
    </w:p>
    <w:tbl>
      <w:tblPr>
        <w:tblpPr w:leftFromText="141" w:rightFromText="141" w:vertAnchor="text" w:horzAnchor="margin" w:tblpY="67"/>
        <w:tblW w:w="0" w:type="auto"/>
        <w:shd w:val="clear" w:color="auto" w:fill="FFFFFF"/>
        <w:tblLayout w:type="fixed"/>
        <w:tblCellMar>
          <w:left w:w="0" w:type="dxa"/>
          <w:right w:w="0" w:type="dxa"/>
        </w:tblCellMar>
        <w:tblLook w:val="04A0"/>
      </w:tblPr>
      <w:tblGrid>
        <w:gridCol w:w="1975"/>
        <w:gridCol w:w="1984"/>
      </w:tblGrid>
      <w:tr w:rsidR="00D452CF" w:rsidRPr="00280470" w:rsidTr="00D452CF">
        <w:trPr>
          <w:trHeight w:val="551"/>
        </w:trPr>
        <w:tc>
          <w:tcPr>
            <w:tcW w:w="3959"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452CF" w:rsidRPr="000D1739" w:rsidRDefault="00D452CF" w:rsidP="00D452CF">
            <w:pPr>
              <w:spacing w:after="0" w:line="240" w:lineRule="auto"/>
              <w:jc w:val="center"/>
              <w:rPr>
                <w:rFonts w:eastAsia="Times New Roman"/>
                <w:b/>
                <w:color w:val="222222"/>
                <w:lang w:eastAsia="es-CL"/>
              </w:rPr>
            </w:pPr>
            <w:r w:rsidRPr="000D1739">
              <w:rPr>
                <w:rFonts w:eastAsia="Times New Roman"/>
                <w:b/>
                <w:color w:val="222222"/>
                <w:lang w:eastAsia="es-CL"/>
              </w:rPr>
              <w:t>POBLACIÓN ADULTO MAYOR CON DEPENDENCIA SEVERA A MAYO</w:t>
            </w:r>
            <w:r>
              <w:rPr>
                <w:rFonts w:eastAsia="Times New Roman"/>
                <w:b/>
                <w:color w:val="222222"/>
                <w:lang w:eastAsia="es-CL"/>
              </w:rPr>
              <w:t xml:space="preserve"> </w:t>
            </w:r>
            <w:r w:rsidRPr="000D1739">
              <w:rPr>
                <w:rFonts w:eastAsia="Times New Roman"/>
                <w:b/>
                <w:color w:val="222222"/>
                <w:lang w:eastAsia="es-CL"/>
              </w:rPr>
              <w:t>2019</w:t>
            </w:r>
          </w:p>
        </w:tc>
      </w:tr>
      <w:tr w:rsidR="00D452CF" w:rsidRPr="00280470" w:rsidTr="00D452CF">
        <w:trPr>
          <w:trHeight w:val="270"/>
        </w:trPr>
        <w:tc>
          <w:tcPr>
            <w:tcW w:w="197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452CF" w:rsidRPr="00280470" w:rsidRDefault="00D452CF" w:rsidP="00D452CF">
            <w:pPr>
              <w:spacing w:after="0" w:line="240" w:lineRule="auto"/>
              <w:rPr>
                <w:rFonts w:eastAsia="Times New Roman"/>
                <w:color w:val="222222"/>
                <w:lang w:eastAsia="es-CL"/>
              </w:rPr>
            </w:pPr>
            <w:r w:rsidRPr="00280470">
              <w:rPr>
                <w:rFonts w:eastAsia="Times New Roman"/>
                <w:color w:val="222222"/>
                <w:lang w:eastAsia="es-CL"/>
              </w:rPr>
              <w:t>Establecimiento</w:t>
            </w:r>
          </w:p>
        </w:tc>
        <w:tc>
          <w:tcPr>
            <w:tcW w:w="198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452CF" w:rsidRPr="00280470" w:rsidRDefault="00D452CF" w:rsidP="00D452CF">
            <w:pPr>
              <w:spacing w:after="0" w:line="240" w:lineRule="auto"/>
              <w:rPr>
                <w:rFonts w:eastAsia="Times New Roman"/>
                <w:color w:val="222222"/>
                <w:lang w:eastAsia="es-CL"/>
              </w:rPr>
            </w:pPr>
            <w:r w:rsidRPr="00280470">
              <w:rPr>
                <w:rFonts w:eastAsia="Times New Roman"/>
                <w:color w:val="222222"/>
                <w:lang w:eastAsia="es-CL"/>
              </w:rPr>
              <w:t>masculino</w:t>
            </w:r>
          </w:p>
        </w:tc>
      </w:tr>
      <w:tr w:rsidR="00D452CF" w:rsidRPr="00280470" w:rsidTr="00D452CF">
        <w:trPr>
          <w:trHeight w:val="270"/>
        </w:trPr>
        <w:tc>
          <w:tcPr>
            <w:tcW w:w="19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452CF" w:rsidRPr="00280470" w:rsidRDefault="00D452CF" w:rsidP="00D452CF">
            <w:pPr>
              <w:spacing w:after="0" w:line="240" w:lineRule="auto"/>
              <w:rPr>
                <w:rFonts w:eastAsia="Times New Roman"/>
                <w:color w:val="222222"/>
                <w:lang w:eastAsia="es-CL"/>
              </w:rPr>
            </w:pPr>
            <w:r w:rsidRPr="00280470">
              <w:rPr>
                <w:rFonts w:eastAsia="Times New Roman"/>
                <w:color w:val="222222"/>
                <w:lang w:eastAsia="es-CL"/>
              </w:rPr>
              <w:t>Cesfam</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452CF" w:rsidRPr="00280470" w:rsidRDefault="00D452CF" w:rsidP="00D452CF">
            <w:pPr>
              <w:spacing w:after="0" w:line="240" w:lineRule="auto"/>
              <w:jc w:val="center"/>
              <w:rPr>
                <w:rFonts w:eastAsia="Times New Roman"/>
                <w:color w:val="222222"/>
                <w:lang w:eastAsia="es-CL"/>
              </w:rPr>
            </w:pPr>
            <w:r>
              <w:rPr>
                <w:rFonts w:eastAsia="Times New Roman"/>
                <w:color w:val="222222"/>
                <w:lang w:eastAsia="es-CL"/>
              </w:rPr>
              <w:t>14</w:t>
            </w:r>
          </w:p>
        </w:tc>
      </w:tr>
      <w:tr w:rsidR="00D452CF" w:rsidRPr="00280470" w:rsidTr="00D452CF">
        <w:trPr>
          <w:trHeight w:val="285"/>
        </w:trPr>
        <w:tc>
          <w:tcPr>
            <w:tcW w:w="19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452CF" w:rsidRPr="00280470" w:rsidRDefault="00D452CF" w:rsidP="00D452CF">
            <w:pPr>
              <w:spacing w:after="0" w:line="240" w:lineRule="auto"/>
              <w:rPr>
                <w:rFonts w:eastAsia="Times New Roman"/>
                <w:color w:val="222222"/>
                <w:lang w:eastAsia="es-CL"/>
              </w:rPr>
            </w:pPr>
            <w:r w:rsidRPr="00280470">
              <w:rPr>
                <w:rFonts w:eastAsia="Times New Roman"/>
                <w:color w:val="222222"/>
                <w:lang w:eastAsia="es-CL"/>
              </w:rPr>
              <w:t>La Aguada</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452CF" w:rsidRPr="00280470" w:rsidRDefault="00D452CF" w:rsidP="00D452CF">
            <w:pPr>
              <w:spacing w:after="0" w:line="240" w:lineRule="auto"/>
              <w:jc w:val="center"/>
              <w:rPr>
                <w:rFonts w:eastAsia="Times New Roman"/>
                <w:color w:val="222222"/>
                <w:lang w:eastAsia="es-CL"/>
              </w:rPr>
            </w:pPr>
            <w:r>
              <w:rPr>
                <w:rFonts w:eastAsia="Times New Roman"/>
                <w:color w:val="222222"/>
                <w:lang w:eastAsia="es-CL"/>
              </w:rPr>
              <w:t>2</w:t>
            </w:r>
          </w:p>
        </w:tc>
      </w:tr>
      <w:tr w:rsidR="00D452CF" w:rsidRPr="00280470" w:rsidTr="00D452CF">
        <w:trPr>
          <w:trHeight w:val="270"/>
        </w:trPr>
        <w:tc>
          <w:tcPr>
            <w:tcW w:w="19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452CF" w:rsidRPr="00280470" w:rsidRDefault="00D452CF" w:rsidP="00D452CF">
            <w:pPr>
              <w:spacing w:after="0" w:line="240" w:lineRule="auto"/>
              <w:rPr>
                <w:rFonts w:eastAsia="Times New Roman"/>
                <w:color w:val="222222"/>
                <w:lang w:eastAsia="es-CL"/>
              </w:rPr>
            </w:pPr>
            <w:proofErr w:type="spellStart"/>
            <w:r w:rsidRPr="00280470">
              <w:rPr>
                <w:rFonts w:eastAsia="Times New Roman"/>
                <w:color w:val="222222"/>
                <w:lang w:eastAsia="es-CL"/>
              </w:rPr>
              <w:t>Rere</w:t>
            </w:r>
            <w:proofErr w:type="spellEnd"/>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452CF" w:rsidRPr="00280470" w:rsidRDefault="00D452CF" w:rsidP="00D452CF">
            <w:pPr>
              <w:spacing w:after="0" w:line="240" w:lineRule="auto"/>
              <w:jc w:val="center"/>
              <w:rPr>
                <w:rFonts w:eastAsia="Times New Roman"/>
                <w:color w:val="222222"/>
                <w:lang w:eastAsia="es-CL"/>
              </w:rPr>
            </w:pPr>
            <w:r>
              <w:rPr>
                <w:rFonts w:eastAsia="Times New Roman"/>
                <w:color w:val="222222"/>
                <w:lang w:eastAsia="es-CL"/>
              </w:rPr>
              <w:t>2</w:t>
            </w:r>
          </w:p>
        </w:tc>
      </w:tr>
      <w:tr w:rsidR="00D452CF" w:rsidRPr="00280470" w:rsidTr="00D452CF">
        <w:trPr>
          <w:trHeight w:val="270"/>
        </w:trPr>
        <w:tc>
          <w:tcPr>
            <w:tcW w:w="19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452CF" w:rsidRPr="00280470" w:rsidRDefault="00D452CF" w:rsidP="00D452CF">
            <w:pPr>
              <w:spacing w:after="0" w:line="240" w:lineRule="auto"/>
              <w:rPr>
                <w:rFonts w:eastAsia="Times New Roman"/>
                <w:color w:val="222222"/>
                <w:lang w:eastAsia="es-CL"/>
              </w:rPr>
            </w:pPr>
            <w:r w:rsidRPr="00280470">
              <w:rPr>
                <w:rFonts w:eastAsia="Times New Roman"/>
                <w:color w:val="222222"/>
                <w:lang w:eastAsia="es-CL"/>
              </w:rPr>
              <w:t>Rio Claro</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452CF" w:rsidRPr="00280470" w:rsidRDefault="00D452CF" w:rsidP="00D452CF">
            <w:pPr>
              <w:spacing w:after="0" w:line="240" w:lineRule="auto"/>
              <w:jc w:val="center"/>
              <w:rPr>
                <w:rFonts w:eastAsia="Times New Roman"/>
                <w:color w:val="222222"/>
                <w:lang w:eastAsia="es-CL"/>
              </w:rPr>
            </w:pPr>
            <w:r>
              <w:rPr>
                <w:rFonts w:eastAsia="Times New Roman"/>
                <w:color w:val="222222"/>
                <w:lang w:eastAsia="es-CL"/>
              </w:rPr>
              <w:t>1</w:t>
            </w:r>
          </w:p>
        </w:tc>
      </w:tr>
      <w:tr w:rsidR="00D452CF" w:rsidRPr="00280470" w:rsidTr="00D452CF">
        <w:trPr>
          <w:trHeight w:val="270"/>
        </w:trPr>
        <w:tc>
          <w:tcPr>
            <w:tcW w:w="19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452CF" w:rsidRPr="00280470" w:rsidRDefault="00D452CF" w:rsidP="00D452CF">
            <w:pPr>
              <w:spacing w:after="0" w:line="240" w:lineRule="auto"/>
              <w:rPr>
                <w:rFonts w:eastAsia="Times New Roman"/>
                <w:color w:val="222222"/>
                <w:lang w:eastAsia="es-CL"/>
              </w:rPr>
            </w:pPr>
            <w:r w:rsidRPr="00280470">
              <w:rPr>
                <w:rFonts w:eastAsia="Times New Roman"/>
                <w:color w:val="222222"/>
                <w:lang w:eastAsia="es-CL"/>
              </w:rPr>
              <w:t>Tomeco</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452CF" w:rsidRPr="00280470" w:rsidRDefault="00D452CF" w:rsidP="00D452CF">
            <w:pPr>
              <w:spacing w:after="0" w:line="240" w:lineRule="auto"/>
              <w:jc w:val="center"/>
              <w:rPr>
                <w:rFonts w:eastAsia="Times New Roman"/>
                <w:color w:val="222222"/>
                <w:lang w:eastAsia="es-CL"/>
              </w:rPr>
            </w:pPr>
            <w:r>
              <w:rPr>
                <w:rFonts w:eastAsia="Times New Roman"/>
                <w:color w:val="222222"/>
                <w:lang w:eastAsia="es-CL"/>
              </w:rPr>
              <w:t>2</w:t>
            </w:r>
          </w:p>
        </w:tc>
      </w:tr>
      <w:tr w:rsidR="00D452CF" w:rsidRPr="00280470" w:rsidTr="00D452CF">
        <w:trPr>
          <w:trHeight w:val="270"/>
        </w:trPr>
        <w:tc>
          <w:tcPr>
            <w:tcW w:w="197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452CF" w:rsidRPr="00280470" w:rsidRDefault="00D452CF" w:rsidP="00D452CF">
            <w:pPr>
              <w:spacing w:after="0" w:line="240" w:lineRule="auto"/>
              <w:rPr>
                <w:rFonts w:eastAsia="Times New Roman"/>
                <w:color w:val="222222"/>
                <w:lang w:eastAsia="es-CL"/>
              </w:rPr>
            </w:pPr>
            <w:r w:rsidRPr="00280470">
              <w:rPr>
                <w:rFonts w:eastAsia="Times New Roman"/>
                <w:color w:val="222222"/>
                <w:lang w:eastAsia="es-CL"/>
              </w:rPr>
              <w:t>Canchilla</w:t>
            </w:r>
          </w:p>
        </w:tc>
        <w:tc>
          <w:tcPr>
            <w:tcW w:w="198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452CF" w:rsidRPr="00280470" w:rsidRDefault="00D452CF" w:rsidP="00D452CF">
            <w:pPr>
              <w:spacing w:after="0" w:line="240" w:lineRule="auto"/>
              <w:jc w:val="center"/>
              <w:rPr>
                <w:rFonts w:eastAsia="Times New Roman"/>
                <w:color w:val="222222"/>
                <w:lang w:eastAsia="es-CL"/>
              </w:rPr>
            </w:pPr>
            <w:r>
              <w:rPr>
                <w:rFonts w:eastAsia="Times New Roman"/>
                <w:color w:val="222222"/>
                <w:lang w:eastAsia="es-CL"/>
              </w:rPr>
              <w:t>2</w:t>
            </w:r>
          </w:p>
        </w:tc>
      </w:tr>
      <w:tr w:rsidR="00D452CF" w:rsidRPr="00280470" w:rsidTr="00D452CF">
        <w:trPr>
          <w:trHeight w:val="270"/>
        </w:trPr>
        <w:tc>
          <w:tcPr>
            <w:tcW w:w="197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452CF" w:rsidRPr="00280470" w:rsidRDefault="00D452CF" w:rsidP="00D452CF">
            <w:pPr>
              <w:spacing w:after="0" w:line="240" w:lineRule="auto"/>
              <w:rPr>
                <w:rFonts w:eastAsia="Times New Roman"/>
                <w:color w:val="222222"/>
                <w:lang w:eastAsia="es-CL"/>
              </w:rPr>
            </w:pPr>
            <w:r>
              <w:rPr>
                <w:rFonts w:eastAsia="Times New Roman"/>
                <w:color w:val="222222"/>
                <w:lang w:eastAsia="es-CL"/>
              </w:rPr>
              <w:t>Total</w:t>
            </w:r>
          </w:p>
        </w:tc>
        <w:tc>
          <w:tcPr>
            <w:tcW w:w="198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D452CF" w:rsidRPr="00280470" w:rsidRDefault="00D452CF" w:rsidP="00D452CF">
            <w:pPr>
              <w:spacing w:after="0" w:line="240" w:lineRule="auto"/>
              <w:jc w:val="center"/>
              <w:rPr>
                <w:rFonts w:eastAsia="Times New Roman"/>
                <w:color w:val="222222"/>
                <w:lang w:eastAsia="es-CL"/>
              </w:rPr>
            </w:pPr>
            <w:r>
              <w:rPr>
                <w:rFonts w:eastAsia="Times New Roman"/>
                <w:color w:val="222222"/>
                <w:lang w:eastAsia="es-CL"/>
              </w:rPr>
              <w:t>24</w:t>
            </w:r>
          </w:p>
        </w:tc>
      </w:tr>
    </w:tbl>
    <w:p w:rsidR="00BC71AB" w:rsidRDefault="00BC71AB" w:rsidP="00BC71AB">
      <w:pPr>
        <w:shd w:val="clear" w:color="auto" w:fill="FFFFFF"/>
        <w:spacing w:line="253" w:lineRule="atLeast"/>
        <w:rPr>
          <w:rFonts w:eastAsia="Times New Roman"/>
          <w:color w:val="222222"/>
          <w:lang w:eastAsia="es-CL"/>
        </w:rPr>
      </w:pPr>
    </w:p>
    <w:p w:rsidR="00BC71AB" w:rsidRPr="00280470" w:rsidRDefault="00BC71AB" w:rsidP="00BC71AB">
      <w:pPr>
        <w:shd w:val="clear" w:color="auto" w:fill="FFFFFF"/>
        <w:spacing w:line="253" w:lineRule="atLeast"/>
        <w:rPr>
          <w:rFonts w:eastAsia="Times New Roman"/>
          <w:color w:val="222222"/>
          <w:lang w:eastAsia="es-CL"/>
        </w:rPr>
      </w:pPr>
    </w:p>
    <w:p w:rsidR="00BC71AB" w:rsidRPr="000E4A15" w:rsidRDefault="00BC71AB" w:rsidP="00BC71AB">
      <w:pPr>
        <w:jc w:val="both"/>
        <w:rPr>
          <w:rFonts w:cs="Calibri"/>
        </w:rPr>
      </w:pPr>
    </w:p>
    <w:p w:rsidR="00BC71AB" w:rsidRPr="000E4A15" w:rsidRDefault="00BC71AB" w:rsidP="00BC71AB">
      <w:pPr>
        <w:jc w:val="both"/>
      </w:pPr>
    </w:p>
    <w:p w:rsidR="00BC71AB" w:rsidRPr="000E4A15" w:rsidRDefault="00BC71AB" w:rsidP="00BC71AB">
      <w:pPr>
        <w:jc w:val="both"/>
      </w:pPr>
    </w:p>
    <w:p w:rsidR="00BC71AB" w:rsidRPr="000E4A15" w:rsidRDefault="00BC71AB" w:rsidP="00BC71AB">
      <w:pPr>
        <w:jc w:val="both"/>
      </w:pPr>
    </w:p>
    <w:p w:rsidR="00BC71AB" w:rsidRDefault="00BC71AB" w:rsidP="00BC71AB">
      <w:pPr>
        <w:jc w:val="both"/>
      </w:pPr>
    </w:p>
    <w:p w:rsidR="00386CE2" w:rsidRDefault="00386CE2" w:rsidP="00386CE2">
      <w:pPr>
        <w:shd w:val="clear" w:color="auto" w:fill="FFFFFF"/>
        <w:spacing w:after="0" w:line="190" w:lineRule="atLeast"/>
        <w:rPr>
          <w:rFonts w:asciiTheme="minorHAnsi" w:eastAsia="Times New Roman" w:hAnsiTheme="minorHAnsi" w:cs="Arial"/>
          <w:color w:val="222222"/>
          <w:lang w:val="es-MX" w:eastAsia="es-MX"/>
        </w:rPr>
      </w:pPr>
    </w:p>
    <w:p w:rsidR="00386CE2" w:rsidRPr="00D70A3C" w:rsidRDefault="00386CE2" w:rsidP="004654C6">
      <w:pPr>
        <w:shd w:val="clear" w:color="auto" w:fill="FFFFFF"/>
        <w:spacing w:after="0" w:line="190" w:lineRule="atLeast"/>
        <w:jc w:val="both"/>
        <w:rPr>
          <w:rFonts w:asciiTheme="minorHAnsi" w:eastAsia="Times New Roman" w:hAnsiTheme="minorHAnsi" w:cs="Arial"/>
          <w:color w:val="222222"/>
          <w:lang w:val="es-MX" w:eastAsia="es-MX"/>
        </w:rPr>
      </w:pPr>
      <w:r>
        <w:rPr>
          <w:rFonts w:asciiTheme="minorHAnsi" w:eastAsia="Times New Roman" w:hAnsiTheme="minorHAnsi" w:cs="Arial"/>
          <w:color w:val="222222"/>
          <w:lang w:val="es-MX" w:eastAsia="es-MX"/>
        </w:rPr>
        <w:t>En relación a C</w:t>
      </w:r>
      <w:r w:rsidRPr="00D70A3C">
        <w:rPr>
          <w:rFonts w:asciiTheme="minorHAnsi" w:eastAsia="Times New Roman" w:hAnsiTheme="minorHAnsi" w:cs="Arial"/>
          <w:color w:val="222222"/>
          <w:lang w:val="es-MX" w:eastAsia="es-MX"/>
        </w:rPr>
        <w:t xml:space="preserve">lub cardiovascular solo existe en </w:t>
      </w:r>
      <w:r>
        <w:rPr>
          <w:rFonts w:asciiTheme="minorHAnsi" w:eastAsia="Times New Roman" w:hAnsiTheme="minorHAnsi" w:cs="Arial"/>
          <w:color w:val="222222"/>
          <w:lang w:val="es-MX" w:eastAsia="es-MX"/>
        </w:rPr>
        <w:t xml:space="preserve">el </w:t>
      </w:r>
      <w:r w:rsidRPr="00D70A3C">
        <w:rPr>
          <w:rFonts w:asciiTheme="minorHAnsi" w:eastAsia="Times New Roman" w:hAnsiTheme="minorHAnsi" w:cs="Arial"/>
          <w:color w:val="222222"/>
          <w:lang w:val="es-MX" w:eastAsia="es-MX"/>
        </w:rPr>
        <w:t>Cesfam de Estación Yumbel, hay un 60 % aproximado  d</w:t>
      </w:r>
      <w:r w:rsidRPr="00D452CF">
        <w:rPr>
          <w:rFonts w:asciiTheme="minorHAnsi" w:eastAsia="Times New Roman" w:hAnsiTheme="minorHAnsi" w:cs="Arial"/>
          <w:color w:val="222222"/>
          <w:lang w:val="es-MX" w:eastAsia="es-MX"/>
        </w:rPr>
        <w:t xml:space="preserve">e adultos mayores en este club que </w:t>
      </w:r>
      <w:r w:rsidRPr="00D70A3C">
        <w:rPr>
          <w:rFonts w:asciiTheme="minorHAnsi" w:eastAsia="Times New Roman" w:hAnsiTheme="minorHAnsi" w:cs="Arial"/>
          <w:color w:val="222222"/>
          <w:lang w:val="es-MX" w:eastAsia="es-MX"/>
        </w:rPr>
        <w:t xml:space="preserve"> reciben talleres educativos</w:t>
      </w:r>
      <w:r>
        <w:rPr>
          <w:rFonts w:asciiTheme="minorHAnsi" w:eastAsia="Times New Roman" w:hAnsiTheme="minorHAnsi" w:cs="Arial"/>
          <w:color w:val="222222"/>
          <w:lang w:val="es-MX" w:eastAsia="es-MX"/>
        </w:rPr>
        <w:t>.</w:t>
      </w:r>
    </w:p>
    <w:p w:rsidR="00386CE2" w:rsidRDefault="00386CE2" w:rsidP="00BC71AB">
      <w:pPr>
        <w:shd w:val="clear" w:color="auto" w:fill="FFFFFF"/>
        <w:spacing w:after="0" w:line="210" w:lineRule="atLeast"/>
        <w:rPr>
          <w:rFonts w:eastAsia="Times New Roman" w:cs="Arial"/>
          <w:color w:val="222222"/>
          <w:lang w:val="es-MX" w:eastAsia="es-MX"/>
        </w:rPr>
      </w:pPr>
    </w:p>
    <w:p w:rsidR="004654C6" w:rsidRPr="004654C6" w:rsidRDefault="004654C6" w:rsidP="004654C6">
      <w:pPr>
        <w:shd w:val="clear" w:color="auto" w:fill="FFFFFF"/>
        <w:spacing w:after="0" w:line="210" w:lineRule="atLeast"/>
        <w:jc w:val="center"/>
        <w:rPr>
          <w:rFonts w:eastAsia="Times New Roman" w:cs="Arial"/>
          <w:b/>
          <w:color w:val="222222"/>
          <w:u w:val="single"/>
          <w:lang w:val="es-MX" w:eastAsia="es-MX"/>
        </w:rPr>
      </w:pPr>
      <w:r w:rsidRPr="004654C6">
        <w:rPr>
          <w:rFonts w:eastAsia="Times New Roman" w:cs="Arial"/>
          <w:b/>
          <w:color w:val="222222"/>
          <w:u w:val="single"/>
          <w:lang w:val="es-MX" w:eastAsia="es-MX"/>
        </w:rPr>
        <w:t>INFORMACIÓN DE ADULTOS MAYORES PROPORCION</w:t>
      </w:r>
      <w:r>
        <w:rPr>
          <w:rFonts w:eastAsia="Times New Roman" w:cs="Arial"/>
          <w:b/>
          <w:color w:val="222222"/>
          <w:u w:val="single"/>
          <w:lang w:val="es-MX" w:eastAsia="es-MX"/>
        </w:rPr>
        <w:t>ADA POR EL HOSPITAL DE YUMBEL</w:t>
      </w:r>
    </w:p>
    <w:p w:rsidR="004654C6" w:rsidRDefault="004654C6" w:rsidP="00BC71AB">
      <w:pPr>
        <w:shd w:val="clear" w:color="auto" w:fill="FFFFFF"/>
        <w:spacing w:after="0" w:line="210" w:lineRule="atLeast"/>
        <w:rPr>
          <w:rFonts w:eastAsia="Times New Roman" w:cs="Arial"/>
          <w:color w:val="222222"/>
          <w:lang w:val="es-MX" w:eastAsia="es-MX"/>
        </w:rPr>
      </w:pPr>
      <w:r>
        <w:rPr>
          <w:rFonts w:eastAsia="Times New Roman" w:cs="Arial"/>
          <w:color w:val="222222"/>
          <w:lang w:val="es-MX" w:eastAsia="es-MX"/>
        </w:rPr>
        <w:t xml:space="preserve"> </w:t>
      </w:r>
    </w:p>
    <w:p w:rsidR="00386CE2" w:rsidRDefault="004654C6" w:rsidP="004654C6">
      <w:pPr>
        <w:shd w:val="clear" w:color="auto" w:fill="FFFFFF"/>
        <w:spacing w:after="0" w:line="210" w:lineRule="atLeast"/>
        <w:jc w:val="both"/>
        <w:rPr>
          <w:rFonts w:eastAsia="Times New Roman" w:cs="Arial"/>
          <w:color w:val="222222"/>
          <w:lang w:val="es-MX" w:eastAsia="es-MX"/>
        </w:rPr>
      </w:pPr>
      <w:r>
        <w:rPr>
          <w:rFonts w:eastAsia="Times New Roman" w:cs="Arial"/>
          <w:color w:val="222222"/>
          <w:lang w:val="es-MX" w:eastAsia="es-MX"/>
        </w:rPr>
        <w:t xml:space="preserve">            S</w:t>
      </w:r>
      <w:r w:rsidR="00BC71AB">
        <w:rPr>
          <w:rFonts w:eastAsia="Times New Roman" w:cs="Arial"/>
          <w:color w:val="222222"/>
          <w:lang w:val="es-MX" w:eastAsia="es-MX"/>
        </w:rPr>
        <w:t>egún</w:t>
      </w:r>
      <w:r w:rsidR="00386CE2">
        <w:rPr>
          <w:rFonts w:eastAsia="Times New Roman" w:cs="Arial"/>
          <w:color w:val="222222"/>
          <w:lang w:val="es-MX" w:eastAsia="es-MX"/>
        </w:rPr>
        <w:t xml:space="preserve"> la base</w:t>
      </w:r>
      <w:r w:rsidR="00BC71AB">
        <w:rPr>
          <w:rFonts w:eastAsia="Times New Roman" w:cs="Arial"/>
          <w:color w:val="222222"/>
          <w:lang w:val="es-MX" w:eastAsia="es-MX"/>
        </w:rPr>
        <w:t xml:space="preserve"> de datos del Hospital de Yumbel,</w:t>
      </w:r>
      <w:r w:rsidR="00386CE2">
        <w:rPr>
          <w:rFonts w:eastAsia="Times New Roman" w:cs="Arial"/>
          <w:color w:val="222222"/>
          <w:lang w:val="es-MX" w:eastAsia="es-MX"/>
        </w:rPr>
        <w:t xml:space="preserve"> durante </w:t>
      </w:r>
      <w:r>
        <w:rPr>
          <w:rFonts w:eastAsia="Times New Roman" w:cs="Arial"/>
          <w:color w:val="222222"/>
          <w:lang w:val="es-MX" w:eastAsia="es-MX"/>
        </w:rPr>
        <w:t>el año 2018, con algún tipo de dependencia es la siguiente:</w:t>
      </w:r>
    </w:p>
    <w:p w:rsidR="00BC71AB" w:rsidRPr="00386CE2" w:rsidRDefault="00D81D52" w:rsidP="004654C6">
      <w:pPr>
        <w:pStyle w:val="Prrafodelista"/>
        <w:numPr>
          <w:ilvl w:val="0"/>
          <w:numId w:val="5"/>
        </w:numPr>
        <w:shd w:val="clear" w:color="auto" w:fill="FFFFFF"/>
        <w:spacing w:line="210" w:lineRule="atLeast"/>
        <w:ind w:left="414" w:hanging="357"/>
        <w:rPr>
          <w:rFonts w:asciiTheme="minorHAnsi" w:hAnsiTheme="minorHAnsi" w:cs="Arial"/>
          <w:color w:val="222222"/>
          <w:sz w:val="22"/>
          <w:szCs w:val="22"/>
          <w:lang w:val="es-MX" w:eastAsia="es-MX"/>
        </w:rPr>
      </w:pPr>
      <w:r w:rsidRPr="00386CE2">
        <w:rPr>
          <w:rFonts w:asciiTheme="minorHAnsi" w:hAnsiTheme="minorHAnsi" w:cs="Arial"/>
          <w:color w:val="222222"/>
          <w:sz w:val="22"/>
          <w:szCs w:val="22"/>
          <w:lang w:val="es-MX" w:eastAsia="es-MX"/>
        </w:rPr>
        <w:t xml:space="preserve">las </w:t>
      </w:r>
      <w:r w:rsidR="00BC71AB" w:rsidRPr="00386CE2">
        <w:rPr>
          <w:rFonts w:asciiTheme="minorHAnsi" w:hAnsiTheme="minorHAnsi" w:cs="Arial"/>
          <w:color w:val="222222"/>
          <w:sz w:val="22"/>
          <w:szCs w:val="22"/>
          <w:lang w:val="es-MX" w:eastAsia="es-MX"/>
        </w:rPr>
        <w:t xml:space="preserve"> personas mayores bajo control </w:t>
      </w:r>
      <w:r w:rsidRPr="00386CE2">
        <w:rPr>
          <w:rFonts w:asciiTheme="minorHAnsi" w:hAnsiTheme="minorHAnsi" w:cs="Arial"/>
          <w:color w:val="222222"/>
          <w:sz w:val="22"/>
          <w:szCs w:val="22"/>
          <w:lang w:val="es-MX" w:eastAsia="es-MX"/>
        </w:rPr>
        <w:t>son</w:t>
      </w:r>
      <w:r w:rsidR="00BC71AB" w:rsidRPr="00386CE2">
        <w:rPr>
          <w:rFonts w:asciiTheme="minorHAnsi" w:hAnsiTheme="minorHAnsi" w:cs="Arial"/>
          <w:color w:val="222222"/>
          <w:sz w:val="22"/>
          <w:szCs w:val="22"/>
          <w:lang w:val="es-MX" w:eastAsia="es-MX"/>
        </w:rPr>
        <w:t xml:space="preserve"> 577.</w:t>
      </w:r>
    </w:p>
    <w:p w:rsidR="00BC71AB" w:rsidRPr="00D452CF" w:rsidRDefault="00BC71AB" w:rsidP="004654C6">
      <w:pPr>
        <w:pStyle w:val="Prrafodelista"/>
        <w:numPr>
          <w:ilvl w:val="0"/>
          <w:numId w:val="5"/>
        </w:numPr>
        <w:shd w:val="clear" w:color="auto" w:fill="FFFFFF"/>
        <w:spacing w:line="210" w:lineRule="atLeast"/>
        <w:ind w:left="414" w:hanging="357"/>
        <w:rPr>
          <w:rFonts w:asciiTheme="minorHAnsi" w:hAnsiTheme="minorHAnsi" w:cs="Arial"/>
          <w:color w:val="222222"/>
          <w:sz w:val="22"/>
          <w:szCs w:val="22"/>
          <w:lang w:val="es-MX" w:eastAsia="es-MX"/>
        </w:rPr>
      </w:pPr>
      <w:r w:rsidRPr="00D452CF">
        <w:rPr>
          <w:rFonts w:asciiTheme="minorHAnsi" w:hAnsiTheme="minorHAnsi" w:cs="Arial"/>
          <w:color w:val="222222"/>
          <w:sz w:val="22"/>
          <w:szCs w:val="22"/>
          <w:lang w:val="es-MX" w:eastAsia="es-MX"/>
        </w:rPr>
        <w:t xml:space="preserve">Personas mayores </w:t>
      </w:r>
      <w:r w:rsidR="00386CE2">
        <w:rPr>
          <w:rFonts w:asciiTheme="minorHAnsi" w:hAnsiTheme="minorHAnsi" w:cs="Arial"/>
          <w:color w:val="222222"/>
          <w:sz w:val="22"/>
          <w:szCs w:val="22"/>
          <w:lang w:val="es-MX" w:eastAsia="es-MX"/>
        </w:rPr>
        <w:t>con algún riesgo de dependencia son</w:t>
      </w:r>
      <w:r w:rsidRPr="00D452CF">
        <w:rPr>
          <w:rFonts w:asciiTheme="minorHAnsi" w:hAnsiTheme="minorHAnsi" w:cs="Arial"/>
          <w:color w:val="222222"/>
          <w:sz w:val="22"/>
          <w:szCs w:val="22"/>
          <w:lang w:val="es-MX" w:eastAsia="es-MX"/>
        </w:rPr>
        <w:t xml:space="preserve"> 179</w:t>
      </w:r>
    </w:p>
    <w:p w:rsidR="00BC71AB" w:rsidRPr="00D452CF" w:rsidRDefault="00BC71AB" w:rsidP="004654C6">
      <w:pPr>
        <w:pStyle w:val="Prrafodelista"/>
        <w:numPr>
          <w:ilvl w:val="0"/>
          <w:numId w:val="5"/>
        </w:numPr>
        <w:shd w:val="clear" w:color="auto" w:fill="FFFFFF"/>
        <w:spacing w:line="210" w:lineRule="atLeast"/>
        <w:ind w:left="414" w:hanging="357"/>
        <w:rPr>
          <w:rFonts w:asciiTheme="minorHAnsi" w:hAnsiTheme="minorHAnsi" w:cs="Arial"/>
          <w:color w:val="222222"/>
          <w:sz w:val="22"/>
          <w:szCs w:val="22"/>
          <w:lang w:val="es-MX" w:eastAsia="es-MX"/>
        </w:rPr>
      </w:pPr>
      <w:r w:rsidRPr="00D452CF">
        <w:rPr>
          <w:rFonts w:asciiTheme="minorHAnsi" w:hAnsiTheme="minorHAnsi" w:cs="Arial"/>
          <w:color w:val="222222"/>
          <w:sz w:val="22"/>
          <w:szCs w:val="22"/>
          <w:lang w:val="es-MX" w:eastAsia="es-MX"/>
        </w:rPr>
        <w:t>Personas mayores con algún tipo de dependencia</w:t>
      </w:r>
      <w:r w:rsidR="00386CE2">
        <w:rPr>
          <w:rFonts w:asciiTheme="minorHAnsi" w:hAnsiTheme="minorHAnsi" w:cs="Arial"/>
          <w:color w:val="222222"/>
          <w:sz w:val="22"/>
          <w:szCs w:val="22"/>
          <w:lang w:val="es-MX" w:eastAsia="es-MX"/>
        </w:rPr>
        <w:t xml:space="preserve"> son</w:t>
      </w:r>
      <w:r w:rsidRPr="00D452CF">
        <w:rPr>
          <w:rFonts w:asciiTheme="minorHAnsi" w:hAnsiTheme="minorHAnsi" w:cs="Arial"/>
          <w:color w:val="222222"/>
          <w:sz w:val="22"/>
          <w:szCs w:val="22"/>
          <w:lang w:val="es-MX" w:eastAsia="es-MX"/>
        </w:rPr>
        <w:t xml:space="preserve"> 131</w:t>
      </w:r>
    </w:p>
    <w:p w:rsidR="00BC71AB" w:rsidRPr="00D452CF" w:rsidRDefault="00BC71AB" w:rsidP="004654C6">
      <w:pPr>
        <w:pStyle w:val="Prrafodelista"/>
        <w:numPr>
          <w:ilvl w:val="0"/>
          <w:numId w:val="5"/>
        </w:numPr>
        <w:shd w:val="clear" w:color="auto" w:fill="FFFFFF"/>
        <w:spacing w:line="210" w:lineRule="atLeast"/>
        <w:ind w:left="414" w:hanging="357"/>
        <w:rPr>
          <w:rFonts w:asciiTheme="minorHAnsi" w:hAnsiTheme="minorHAnsi" w:cs="Arial"/>
          <w:color w:val="222222"/>
          <w:sz w:val="22"/>
          <w:szCs w:val="22"/>
          <w:lang w:val="es-MX" w:eastAsia="es-MX"/>
        </w:rPr>
      </w:pPr>
      <w:r w:rsidRPr="00D452CF">
        <w:rPr>
          <w:rFonts w:asciiTheme="minorHAnsi" w:hAnsiTheme="minorHAnsi" w:cs="Arial"/>
          <w:color w:val="222222"/>
          <w:sz w:val="22"/>
          <w:szCs w:val="22"/>
          <w:lang w:val="es-MX" w:eastAsia="es-MX"/>
        </w:rPr>
        <w:t>Personas mayores autovalentes</w:t>
      </w:r>
      <w:r w:rsidR="00386CE2">
        <w:rPr>
          <w:rFonts w:asciiTheme="minorHAnsi" w:hAnsiTheme="minorHAnsi" w:cs="Arial"/>
          <w:color w:val="222222"/>
          <w:sz w:val="22"/>
          <w:szCs w:val="22"/>
          <w:lang w:val="es-MX" w:eastAsia="es-MX"/>
        </w:rPr>
        <w:t xml:space="preserve"> son</w:t>
      </w:r>
      <w:r w:rsidRPr="00D452CF">
        <w:rPr>
          <w:rFonts w:asciiTheme="minorHAnsi" w:hAnsiTheme="minorHAnsi" w:cs="Arial"/>
          <w:color w:val="222222"/>
          <w:sz w:val="22"/>
          <w:szCs w:val="22"/>
          <w:lang w:val="es-MX" w:eastAsia="es-MX"/>
        </w:rPr>
        <w:t xml:space="preserve"> 267</w:t>
      </w:r>
    </w:p>
    <w:p w:rsidR="00D452CF" w:rsidRPr="004654C6" w:rsidRDefault="00BC71AB" w:rsidP="004654C6">
      <w:pPr>
        <w:pStyle w:val="Prrafodelista"/>
        <w:numPr>
          <w:ilvl w:val="0"/>
          <w:numId w:val="5"/>
        </w:numPr>
        <w:shd w:val="clear" w:color="auto" w:fill="FFFFFF"/>
        <w:ind w:left="414" w:hanging="357"/>
        <w:jc w:val="both"/>
        <w:rPr>
          <w:lang w:val="es-MX"/>
        </w:rPr>
      </w:pPr>
      <w:r w:rsidRPr="004654C6">
        <w:rPr>
          <w:rFonts w:asciiTheme="minorHAnsi" w:hAnsiTheme="minorHAnsi" w:cs="Arial"/>
          <w:color w:val="222222"/>
          <w:sz w:val="22"/>
          <w:szCs w:val="22"/>
          <w:lang w:val="es-MX" w:eastAsia="es-MX"/>
        </w:rPr>
        <w:t>Pacientes dependencia severa en total en</w:t>
      </w:r>
      <w:r w:rsidR="00386CE2" w:rsidRPr="004654C6">
        <w:rPr>
          <w:rFonts w:asciiTheme="minorHAnsi" w:hAnsiTheme="minorHAnsi" w:cs="Arial"/>
          <w:color w:val="222222"/>
          <w:sz w:val="22"/>
          <w:szCs w:val="22"/>
          <w:lang w:val="es-MX" w:eastAsia="es-MX"/>
        </w:rPr>
        <w:t xml:space="preserve"> el </w:t>
      </w:r>
      <w:r w:rsidRPr="004654C6">
        <w:rPr>
          <w:rFonts w:asciiTheme="minorHAnsi" w:hAnsiTheme="minorHAnsi" w:cs="Arial"/>
          <w:color w:val="222222"/>
          <w:sz w:val="22"/>
          <w:szCs w:val="22"/>
          <w:lang w:val="es-MX" w:eastAsia="es-MX"/>
        </w:rPr>
        <w:t xml:space="preserve"> hospital </w:t>
      </w:r>
      <w:r w:rsidR="00386CE2" w:rsidRPr="004654C6">
        <w:rPr>
          <w:rFonts w:asciiTheme="minorHAnsi" w:hAnsiTheme="minorHAnsi" w:cs="Arial"/>
          <w:color w:val="222222"/>
          <w:sz w:val="22"/>
          <w:szCs w:val="22"/>
          <w:lang w:val="es-MX" w:eastAsia="es-MX"/>
        </w:rPr>
        <w:t xml:space="preserve">de Yumbel </w:t>
      </w:r>
      <w:r w:rsidRPr="004654C6">
        <w:rPr>
          <w:rFonts w:asciiTheme="minorHAnsi" w:hAnsiTheme="minorHAnsi" w:cs="Arial"/>
          <w:color w:val="222222"/>
          <w:sz w:val="22"/>
          <w:szCs w:val="22"/>
          <w:lang w:val="es-MX" w:eastAsia="es-MX"/>
        </w:rPr>
        <w:t>son 48 </w:t>
      </w:r>
    </w:p>
    <w:sectPr w:rsidR="00D452CF" w:rsidRPr="004654C6" w:rsidSect="00D452CF">
      <w:pgSz w:w="12240" w:h="15840" w:code="1"/>
      <w:pgMar w:top="1247" w:right="1418" w:bottom="124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6548F"/>
    <w:multiLevelType w:val="hybridMultilevel"/>
    <w:tmpl w:val="2B721D6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3CF7131E"/>
    <w:multiLevelType w:val="hybridMultilevel"/>
    <w:tmpl w:val="11CAB2F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455B7C1F"/>
    <w:multiLevelType w:val="hybridMultilevel"/>
    <w:tmpl w:val="08E215E4"/>
    <w:lvl w:ilvl="0" w:tplc="119278F2">
      <w:start w:val="1"/>
      <w:numFmt w:val="lowerLetter"/>
      <w:lvlText w:val="%1)"/>
      <w:lvlJc w:val="left"/>
      <w:pPr>
        <w:ind w:left="786"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6BE91AA2"/>
    <w:multiLevelType w:val="hybridMultilevel"/>
    <w:tmpl w:val="1FA08BFE"/>
    <w:lvl w:ilvl="0" w:tplc="BF3E2872">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4">
    <w:nsid w:val="6CAA767B"/>
    <w:multiLevelType w:val="hybridMultilevel"/>
    <w:tmpl w:val="A9861404"/>
    <w:lvl w:ilvl="0" w:tplc="9668BB6C">
      <w:start w:val="6"/>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6DAD4FEF"/>
    <w:multiLevelType w:val="hybridMultilevel"/>
    <w:tmpl w:val="650838EC"/>
    <w:lvl w:ilvl="0" w:tplc="B9DE1342">
      <w:start w:val="1"/>
      <w:numFmt w:val="bullet"/>
      <w:lvlText w:val=""/>
      <w:lvlJc w:val="left"/>
      <w:pPr>
        <w:ind w:left="720" w:hanging="360"/>
      </w:pPr>
      <w:rPr>
        <w:rFonts w:ascii="Symbol" w:hAnsi="Symbol" w:hint="default"/>
        <w:sz w:val="16"/>
        <w:szCs w:val="16"/>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4"/>
  <w:proofState w:spelling="clean" w:grammar="clean"/>
  <w:defaultTabStop w:val="708"/>
  <w:hyphenationZone w:val="425"/>
  <w:drawingGridHorizontalSpacing w:val="110"/>
  <w:displayHorizontalDrawingGridEvery w:val="2"/>
  <w:characterSpacingControl w:val="doNotCompress"/>
  <w:compat/>
  <w:rsids>
    <w:rsidRoot w:val="00BC71AB"/>
    <w:rsid w:val="00364C5A"/>
    <w:rsid w:val="00386CE2"/>
    <w:rsid w:val="004654C6"/>
    <w:rsid w:val="00660278"/>
    <w:rsid w:val="008F264D"/>
    <w:rsid w:val="00B957E7"/>
    <w:rsid w:val="00BB28E5"/>
    <w:rsid w:val="00BC71AB"/>
    <w:rsid w:val="00BD4814"/>
    <w:rsid w:val="00D452CF"/>
    <w:rsid w:val="00D70A3C"/>
    <w:rsid w:val="00D81D52"/>
    <w:rsid w:val="00DB4F5F"/>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71AB"/>
    <w:pPr>
      <w:spacing w:after="160" w:line="259" w:lineRule="auto"/>
    </w:pPr>
    <w:rPr>
      <w:rFonts w:ascii="Calibri" w:eastAsia="Batang" w:hAnsi="Calibri" w:cs="Times New Roman"/>
      <w:lang w:val="es-CL"/>
    </w:rPr>
  </w:style>
  <w:style w:type="paragraph" w:styleId="Ttulo2">
    <w:name w:val="heading 2"/>
    <w:basedOn w:val="Normal"/>
    <w:next w:val="Normal"/>
    <w:link w:val="Ttulo2Car"/>
    <w:uiPriority w:val="9"/>
    <w:semiHidden/>
    <w:unhideWhenUsed/>
    <w:qFormat/>
    <w:rsid w:val="00BC71AB"/>
    <w:pPr>
      <w:keepNext/>
      <w:spacing w:before="240" w:after="60"/>
      <w:outlineLvl w:val="1"/>
    </w:pPr>
    <w:rPr>
      <w:rFonts w:ascii="Cambria" w:eastAsia="Times New Roman" w:hAnsi="Cambria"/>
      <w:b/>
      <w:bCs/>
      <w:i/>
      <w:iCs/>
      <w:sz w:val="28"/>
      <w:szCs w:val="28"/>
    </w:rPr>
  </w:style>
  <w:style w:type="paragraph" w:styleId="Ttulo3">
    <w:name w:val="heading 3"/>
    <w:basedOn w:val="Normal"/>
    <w:next w:val="Normal"/>
    <w:link w:val="Ttulo3Car"/>
    <w:uiPriority w:val="9"/>
    <w:semiHidden/>
    <w:unhideWhenUsed/>
    <w:qFormat/>
    <w:rsid w:val="00BC71AB"/>
    <w:pPr>
      <w:keepNext/>
      <w:spacing w:before="240" w:after="60"/>
      <w:outlineLvl w:val="2"/>
    </w:pPr>
    <w:rPr>
      <w:rFonts w:ascii="Cambria" w:eastAsia="Times New Roman" w:hAnsi="Cambria"/>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semiHidden/>
    <w:rsid w:val="00BC71AB"/>
    <w:rPr>
      <w:rFonts w:ascii="Cambria" w:eastAsia="Times New Roman" w:hAnsi="Cambria" w:cs="Times New Roman"/>
      <w:b/>
      <w:bCs/>
      <w:i/>
      <w:iCs/>
      <w:sz w:val="28"/>
      <w:szCs w:val="28"/>
      <w:lang w:val="es-CL"/>
    </w:rPr>
  </w:style>
  <w:style w:type="character" w:customStyle="1" w:styleId="Ttulo3Car">
    <w:name w:val="Título 3 Car"/>
    <w:basedOn w:val="Fuentedeprrafopredeter"/>
    <w:link w:val="Ttulo3"/>
    <w:uiPriority w:val="9"/>
    <w:semiHidden/>
    <w:rsid w:val="00BC71AB"/>
    <w:rPr>
      <w:rFonts w:ascii="Cambria" w:eastAsia="Times New Roman" w:hAnsi="Cambria" w:cs="Times New Roman"/>
      <w:b/>
      <w:bCs/>
      <w:sz w:val="26"/>
      <w:szCs w:val="26"/>
      <w:lang w:val="es-CL"/>
    </w:rPr>
  </w:style>
  <w:style w:type="paragraph" w:styleId="Prrafodelista">
    <w:name w:val="List Paragraph"/>
    <w:basedOn w:val="Normal"/>
    <w:uiPriority w:val="34"/>
    <w:qFormat/>
    <w:rsid w:val="00BC71AB"/>
    <w:pPr>
      <w:spacing w:after="0" w:line="240" w:lineRule="auto"/>
      <w:ind w:left="720"/>
      <w:contextualSpacing/>
    </w:pPr>
    <w:rPr>
      <w:rFonts w:ascii="Times New Roman" w:eastAsia="Times New Roman" w:hAnsi="Times New Roman"/>
      <w:sz w:val="24"/>
      <w:szCs w:val="24"/>
      <w:lang w:eastAsia="es-CL"/>
    </w:rPr>
  </w:style>
  <w:style w:type="paragraph" w:styleId="Epgrafe">
    <w:name w:val="caption"/>
    <w:basedOn w:val="Normal"/>
    <w:next w:val="Normal"/>
    <w:uiPriority w:val="35"/>
    <w:unhideWhenUsed/>
    <w:qFormat/>
    <w:rsid w:val="00BC71AB"/>
    <w:pPr>
      <w:spacing w:after="200" w:line="240" w:lineRule="auto"/>
    </w:pPr>
    <w:rPr>
      <w:rFonts w:eastAsia="Calibri"/>
      <w:i/>
      <w:iCs/>
      <w:color w:val="1F497D"/>
      <w:sz w:val="18"/>
      <w:szCs w:val="18"/>
    </w:rPr>
  </w:style>
  <w:style w:type="paragraph" w:styleId="Textodeglobo">
    <w:name w:val="Balloon Text"/>
    <w:basedOn w:val="Normal"/>
    <w:link w:val="TextodegloboCar"/>
    <w:uiPriority w:val="99"/>
    <w:semiHidden/>
    <w:unhideWhenUsed/>
    <w:rsid w:val="00BC71A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C71AB"/>
    <w:rPr>
      <w:rFonts w:ascii="Tahoma" w:eastAsia="Batang" w:hAnsi="Tahoma" w:cs="Tahoma"/>
      <w:sz w:val="16"/>
      <w:szCs w:val="16"/>
      <w:lang w:val="es-CL"/>
    </w:rPr>
  </w:style>
</w:styles>
</file>

<file path=word/webSettings.xml><?xml version="1.0" encoding="utf-8"?>
<w:webSettings xmlns:r="http://schemas.openxmlformats.org/officeDocument/2006/relationships" xmlns:w="http://schemas.openxmlformats.org/wordprocessingml/2006/main">
  <w:divs>
    <w:div w:id="1853256318">
      <w:bodyDiv w:val="1"/>
      <w:marLeft w:val="0"/>
      <w:marRight w:val="0"/>
      <w:marTop w:val="0"/>
      <w:marBottom w:val="0"/>
      <w:divBdr>
        <w:top w:val="none" w:sz="0" w:space="0" w:color="auto"/>
        <w:left w:val="none" w:sz="0" w:space="0" w:color="auto"/>
        <w:bottom w:val="none" w:sz="0" w:space="0" w:color="auto"/>
        <w:right w:val="none" w:sz="0" w:space="0" w:color="auto"/>
      </w:divBdr>
      <w:divsChild>
        <w:div w:id="31930677">
          <w:marLeft w:val="0"/>
          <w:marRight w:val="0"/>
          <w:marTop w:val="0"/>
          <w:marBottom w:val="0"/>
          <w:divBdr>
            <w:top w:val="none" w:sz="0" w:space="0" w:color="auto"/>
            <w:left w:val="none" w:sz="0" w:space="0" w:color="auto"/>
            <w:bottom w:val="none" w:sz="0" w:space="0" w:color="auto"/>
            <w:right w:val="none" w:sz="0" w:space="0" w:color="auto"/>
          </w:divBdr>
        </w:div>
        <w:div w:id="10124924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1" Type="http://schemas.openxmlformats.org/officeDocument/2006/relationships/package" Target="../embeddings/Hoja_de_c_lculo_de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Hoja_de_c_lculo_de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s-MX"/>
  <c:chart>
    <c:title>
      <c:tx>
        <c:rich>
          <a:bodyPr rot="0" spcFirstLastPara="1" vertOverflow="ellipsis" vert="horz" wrap="square" anchor="ctr" anchorCtr="1"/>
          <a:lstStyle/>
          <a:p>
            <a:pPr>
              <a:defRPr sz="1192" b="1" i="0" u="none" strike="noStrike" kern="1200" baseline="0">
                <a:solidFill>
                  <a:schemeClr val="tx1">
                    <a:lumMod val="65000"/>
                    <a:lumOff val="35000"/>
                  </a:schemeClr>
                </a:solidFill>
                <a:latin typeface="+mn-lt"/>
                <a:ea typeface="+mn-ea"/>
                <a:cs typeface="+mn-cs"/>
              </a:defRPr>
            </a:pPr>
            <a:r>
              <a:rPr lang="es-CL" sz="1196"/>
              <a:t>Poblacion adulta mayor segun funcionalidad dic 2017, </a:t>
            </a:r>
          </a:p>
          <a:p>
            <a:pPr>
              <a:defRPr sz="1192" b="1" i="0" u="none" strike="noStrike" kern="1200" baseline="0">
                <a:solidFill>
                  <a:schemeClr val="tx1">
                    <a:lumMod val="65000"/>
                    <a:lumOff val="35000"/>
                  </a:schemeClr>
                </a:solidFill>
                <a:latin typeface="+mn-lt"/>
                <a:ea typeface="+mn-ea"/>
                <a:cs typeface="+mn-cs"/>
              </a:defRPr>
            </a:pPr>
            <a:r>
              <a:rPr lang="es-CL" sz="1196"/>
              <a:t>DSM YUMBEL</a:t>
            </a:r>
          </a:p>
        </c:rich>
      </c:tx>
      <c:spPr>
        <a:noFill/>
        <a:ln w="25314">
          <a:noFill/>
        </a:ln>
      </c:spPr>
    </c:title>
    <c:plotArea>
      <c:layout>
        <c:manualLayout>
          <c:layoutTarget val="inner"/>
          <c:xMode val="edge"/>
          <c:yMode val="edge"/>
          <c:x val="0.11141176854092957"/>
          <c:y val="0.30333329496464057"/>
          <c:w val="0.84792817052427938"/>
          <c:h val="0.30825098083660885"/>
        </c:manualLayout>
      </c:layout>
      <c:barChart>
        <c:barDir val="col"/>
        <c:grouping val="clustered"/>
        <c:ser>
          <c:idx val="0"/>
          <c:order val="0"/>
          <c:tx>
            <c:strRef>
              <c:f>Hoja1!$B$1</c:f>
              <c:strCache>
                <c:ptCount val="1"/>
                <c:pt idx="0">
                  <c:v>sector 1</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cat>
            <c:strRef>
              <c:f>Hoja1!$A$2:$A$9</c:f>
              <c:strCache>
                <c:ptCount val="8"/>
                <c:pt idx="0">
                  <c:v>autovalente sin riesgo</c:v>
                </c:pt>
                <c:pt idx="1">
                  <c:v>autovalente con riesgo</c:v>
                </c:pt>
                <c:pt idx="2">
                  <c:v>riesgo dependencia</c:v>
                </c:pt>
                <c:pt idx="3">
                  <c:v>dependencia leve</c:v>
                </c:pt>
                <c:pt idx="4">
                  <c:v>dependencia moderada</c:v>
                </c:pt>
                <c:pt idx="5">
                  <c:v>dependencia grave</c:v>
                </c:pt>
                <c:pt idx="6">
                  <c:v>dependencia total</c:v>
                </c:pt>
                <c:pt idx="7">
                  <c:v>total </c:v>
                </c:pt>
              </c:strCache>
            </c:strRef>
          </c:cat>
          <c:val>
            <c:numRef>
              <c:f>Hoja1!$B$2:$B$9</c:f>
              <c:numCache>
                <c:formatCode>General</c:formatCode>
                <c:ptCount val="8"/>
                <c:pt idx="0">
                  <c:v>219</c:v>
                </c:pt>
                <c:pt idx="1">
                  <c:v>173</c:v>
                </c:pt>
                <c:pt idx="2">
                  <c:v>49</c:v>
                </c:pt>
                <c:pt idx="3">
                  <c:v>104</c:v>
                </c:pt>
                <c:pt idx="4">
                  <c:v>6</c:v>
                </c:pt>
                <c:pt idx="5">
                  <c:v>6</c:v>
                </c:pt>
                <c:pt idx="6">
                  <c:v>15</c:v>
                </c:pt>
                <c:pt idx="7">
                  <c:v>572</c:v>
                </c:pt>
              </c:numCache>
            </c:numRef>
          </c:val>
        </c:ser>
        <c:ser>
          <c:idx val="1"/>
          <c:order val="1"/>
          <c:tx>
            <c:strRef>
              <c:f>Hoja1!$C$1</c:f>
              <c:strCache>
                <c:ptCount val="1"/>
                <c:pt idx="0">
                  <c:v>sector 2</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cat>
            <c:strRef>
              <c:f>Hoja1!$A$2:$A$9</c:f>
              <c:strCache>
                <c:ptCount val="8"/>
                <c:pt idx="0">
                  <c:v>autovalente sin riesgo</c:v>
                </c:pt>
                <c:pt idx="1">
                  <c:v>autovalente con riesgo</c:v>
                </c:pt>
                <c:pt idx="2">
                  <c:v>riesgo dependencia</c:v>
                </c:pt>
                <c:pt idx="3">
                  <c:v>dependencia leve</c:v>
                </c:pt>
                <c:pt idx="4">
                  <c:v>dependencia moderada</c:v>
                </c:pt>
                <c:pt idx="5">
                  <c:v>dependencia grave</c:v>
                </c:pt>
                <c:pt idx="6">
                  <c:v>dependencia total</c:v>
                </c:pt>
                <c:pt idx="7">
                  <c:v>total </c:v>
                </c:pt>
              </c:strCache>
            </c:strRef>
          </c:cat>
          <c:val>
            <c:numRef>
              <c:f>Hoja1!$C$2:$C$9</c:f>
              <c:numCache>
                <c:formatCode>General</c:formatCode>
                <c:ptCount val="8"/>
                <c:pt idx="0">
                  <c:v>198</c:v>
                </c:pt>
                <c:pt idx="1">
                  <c:v>114</c:v>
                </c:pt>
                <c:pt idx="2">
                  <c:v>118</c:v>
                </c:pt>
                <c:pt idx="3">
                  <c:v>61</c:v>
                </c:pt>
                <c:pt idx="4">
                  <c:v>4</c:v>
                </c:pt>
                <c:pt idx="5">
                  <c:v>2</c:v>
                </c:pt>
                <c:pt idx="6">
                  <c:v>0</c:v>
                </c:pt>
                <c:pt idx="7">
                  <c:v>497</c:v>
                </c:pt>
              </c:numCache>
            </c:numRef>
          </c:val>
        </c:ser>
        <c:ser>
          <c:idx val="2"/>
          <c:order val="2"/>
          <c:tx>
            <c:strRef>
              <c:f>Hoja1!$D$1</c:f>
              <c:strCache>
                <c:ptCount val="1"/>
                <c:pt idx="0">
                  <c:v>total</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cat>
            <c:strRef>
              <c:f>Hoja1!$A$2:$A$9</c:f>
              <c:strCache>
                <c:ptCount val="8"/>
                <c:pt idx="0">
                  <c:v>autovalente sin riesgo</c:v>
                </c:pt>
                <c:pt idx="1">
                  <c:v>autovalente con riesgo</c:v>
                </c:pt>
                <c:pt idx="2">
                  <c:v>riesgo dependencia</c:v>
                </c:pt>
                <c:pt idx="3">
                  <c:v>dependencia leve</c:v>
                </c:pt>
                <c:pt idx="4">
                  <c:v>dependencia moderada</c:v>
                </c:pt>
                <c:pt idx="5">
                  <c:v>dependencia grave</c:v>
                </c:pt>
                <c:pt idx="6">
                  <c:v>dependencia total</c:v>
                </c:pt>
                <c:pt idx="7">
                  <c:v>total </c:v>
                </c:pt>
              </c:strCache>
            </c:strRef>
          </c:cat>
          <c:val>
            <c:numRef>
              <c:f>Hoja1!$D$2:$D$9</c:f>
              <c:numCache>
                <c:formatCode>General</c:formatCode>
                <c:ptCount val="8"/>
                <c:pt idx="0">
                  <c:v>417</c:v>
                </c:pt>
                <c:pt idx="1">
                  <c:v>287</c:v>
                </c:pt>
                <c:pt idx="2">
                  <c:v>167</c:v>
                </c:pt>
                <c:pt idx="3">
                  <c:v>165</c:v>
                </c:pt>
                <c:pt idx="4">
                  <c:v>10</c:v>
                </c:pt>
                <c:pt idx="5">
                  <c:v>8</c:v>
                </c:pt>
                <c:pt idx="6">
                  <c:v>15</c:v>
                </c:pt>
                <c:pt idx="7">
                  <c:v>1069</c:v>
                </c:pt>
              </c:numCache>
            </c:numRef>
          </c:val>
        </c:ser>
        <c:ser>
          <c:idx val="3"/>
          <c:order val="3"/>
          <c:tx>
            <c:strRef>
              <c:f>Hoja1!$E$1</c:f>
              <c:strCache>
                <c:ptCount val="1"/>
                <c:pt idx="0">
                  <c:v>%</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cat>
            <c:strRef>
              <c:f>Hoja1!$A$2:$A$9</c:f>
              <c:strCache>
                <c:ptCount val="8"/>
                <c:pt idx="0">
                  <c:v>autovalente sin riesgo</c:v>
                </c:pt>
                <c:pt idx="1">
                  <c:v>autovalente con riesgo</c:v>
                </c:pt>
                <c:pt idx="2">
                  <c:v>riesgo dependencia</c:v>
                </c:pt>
                <c:pt idx="3">
                  <c:v>dependencia leve</c:v>
                </c:pt>
                <c:pt idx="4">
                  <c:v>dependencia moderada</c:v>
                </c:pt>
                <c:pt idx="5">
                  <c:v>dependencia grave</c:v>
                </c:pt>
                <c:pt idx="6">
                  <c:v>dependencia total</c:v>
                </c:pt>
                <c:pt idx="7">
                  <c:v>total </c:v>
                </c:pt>
              </c:strCache>
            </c:strRef>
          </c:cat>
          <c:val>
            <c:numRef>
              <c:f>Hoja1!$E$2:$E$9</c:f>
              <c:numCache>
                <c:formatCode>General</c:formatCode>
                <c:ptCount val="8"/>
                <c:pt idx="0">
                  <c:v>39</c:v>
                </c:pt>
                <c:pt idx="1">
                  <c:v>0</c:v>
                </c:pt>
                <c:pt idx="2">
                  <c:v>0</c:v>
                </c:pt>
                <c:pt idx="3">
                  <c:v>0</c:v>
                </c:pt>
                <c:pt idx="4">
                  <c:v>0</c:v>
                </c:pt>
                <c:pt idx="5">
                  <c:v>0</c:v>
                </c:pt>
                <c:pt idx="6">
                  <c:v>0</c:v>
                </c:pt>
                <c:pt idx="7">
                  <c:v>100</c:v>
                </c:pt>
              </c:numCache>
            </c:numRef>
          </c:val>
        </c:ser>
        <c:gapWidth val="100"/>
        <c:overlap val="-24"/>
        <c:axId val="178594560"/>
        <c:axId val="178596096"/>
      </c:barChart>
      <c:catAx>
        <c:axId val="178594560"/>
        <c:scaling>
          <c:orientation val="minMax"/>
        </c:scaling>
        <c:axPos val="b"/>
        <c:numFmt formatCode="General" sourceLinked="1"/>
        <c:majorTickMark val="none"/>
        <c:tickLblPos val="nextTo"/>
        <c:spPr>
          <a:noFill/>
          <a:ln w="12657" cap="flat" cmpd="sng" algn="ctr">
            <a:solidFill>
              <a:schemeClr val="tx1">
                <a:lumMod val="15000"/>
                <a:lumOff val="85000"/>
              </a:schemeClr>
            </a:solidFill>
            <a:round/>
          </a:ln>
          <a:effectLst/>
        </c:spPr>
        <c:txPr>
          <a:bodyPr rot="-60000000" spcFirstLastPara="1" vertOverflow="ellipsis" vert="horz" wrap="square" anchor="ctr" anchorCtr="1"/>
          <a:lstStyle/>
          <a:p>
            <a:pPr>
              <a:defRPr sz="797" b="0" i="0" u="none" strike="noStrike" kern="1200" baseline="0">
                <a:solidFill>
                  <a:schemeClr val="tx1">
                    <a:lumMod val="65000"/>
                    <a:lumOff val="35000"/>
                  </a:schemeClr>
                </a:solidFill>
                <a:latin typeface="+mn-lt"/>
                <a:ea typeface="+mn-ea"/>
                <a:cs typeface="+mn-cs"/>
              </a:defRPr>
            </a:pPr>
            <a:endParaRPr lang="es-MX"/>
          </a:p>
        </c:txPr>
        <c:crossAx val="178596096"/>
        <c:crosses val="autoZero"/>
        <c:auto val="1"/>
        <c:lblAlgn val="ctr"/>
        <c:lblOffset val="100"/>
      </c:catAx>
      <c:valAx>
        <c:axId val="178596096"/>
        <c:scaling>
          <c:orientation val="minMax"/>
        </c:scaling>
        <c:axPos val="l"/>
        <c:majorGridlines>
          <c:spPr>
            <a:ln w="9493" cap="flat" cmpd="sng" algn="ctr">
              <a:solidFill>
                <a:schemeClr val="tx1">
                  <a:lumMod val="15000"/>
                  <a:lumOff val="85000"/>
                </a:schemeClr>
              </a:solidFill>
              <a:round/>
            </a:ln>
            <a:effectLst/>
          </c:spPr>
        </c:majorGridlines>
        <c:numFmt formatCode="General" sourceLinked="1"/>
        <c:majorTickMark val="none"/>
        <c:tickLblPos val="nextTo"/>
        <c:spPr>
          <a:ln w="9493">
            <a:noFill/>
          </a:ln>
        </c:spPr>
        <c:txPr>
          <a:bodyPr rot="-60000000" spcFirstLastPara="1" vertOverflow="ellipsis" vert="horz" wrap="square" anchor="ctr" anchorCtr="1"/>
          <a:lstStyle/>
          <a:p>
            <a:pPr>
              <a:defRPr sz="797" b="0" i="0" u="none" strike="noStrike" kern="1200" baseline="0">
                <a:solidFill>
                  <a:schemeClr val="tx1">
                    <a:lumMod val="65000"/>
                    <a:lumOff val="35000"/>
                  </a:schemeClr>
                </a:solidFill>
                <a:latin typeface="+mn-lt"/>
                <a:ea typeface="+mn-ea"/>
                <a:cs typeface="+mn-cs"/>
              </a:defRPr>
            </a:pPr>
            <a:endParaRPr lang="es-MX"/>
          </a:p>
        </c:txPr>
        <c:crossAx val="178594560"/>
        <c:crosses val="autoZero"/>
        <c:crossBetween val="between"/>
      </c:valAx>
      <c:spPr>
        <a:noFill/>
        <a:ln w="25314">
          <a:noFill/>
        </a:ln>
      </c:spPr>
    </c:plotArea>
    <c:legend>
      <c:legendPos val="b"/>
      <c:layout>
        <c:manualLayout>
          <c:xMode val="edge"/>
          <c:yMode val="edge"/>
          <c:x val="0.23002185223604138"/>
          <c:y val="0.90511982985550643"/>
          <c:w val="0.53995600447522629"/>
          <c:h val="9.4880170144493597E-2"/>
        </c:manualLayout>
      </c:layout>
      <c:spPr>
        <a:noFill/>
        <a:ln w="25314">
          <a:noFill/>
        </a:ln>
      </c:spPr>
      <c:txPr>
        <a:bodyPr rot="0" spcFirstLastPara="1" vertOverflow="ellipsis" vert="horz" wrap="square" anchor="ctr" anchorCtr="1"/>
        <a:lstStyle/>
        <a:p>
          <a:pPr>
            <a:defRPr sz="897" b="0" i="0" u="none" strike="noStrike" kern="1200" baseline="0">
              <a:solidFill>
                <a:schemeClr val="tx1">
                  <a:lumMod val="65000"/>
                  <a:lumOff val="35000"/>
                </a:schemeClr>
              </a:solidFill>
              <a:latin typeface="+mn-lt"/>
              <a:ea typeface="+mn-ea"/>
              <a:cs typeface="+mn-cs"/>
            </a:defRPr>
          </a:pPr>
          <a:endParaRPr lang="es-MX"/>
        </a:p>
      </c:txPr>
    </c:legend>
    <c:plotVisOnly val="1"/>
    <c:dispBlanksAs val="gap"/>
  </c:chart>
  <c:spPr>
    <a:solidFill>
      <a:schemeClr val="accent3">
        <a:lumMod val="60000"/>
        <a:lumOff val="40000"/>
      </a:schemeClr>
    </a:solidFill>
    <a:ln w="9493" cap="flat" cmpd="sng" algn="ctr">
      <a:solidFill>
        <a:schemeClr val="accent3">
          <a:lumMod val="50000"/>
        </a:schemeClr>
      </a:solidFill>
      <a:round/>
    </a:ln>
    <a:effectLst/>
  </c:spPr>
  <c:txPr>
    <a:bodyPr/>
    <a:lstStyle/>
    <a:p>
      <a:pPr>
        <a:defRPr/>
      </a:pPr>
      <a:endParaRPr lang="es-MX"/>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s-MX"/>
  <c:chart>
    <c:title>
      <c:tx>
        <c:rich>
          <a:bodyPr/>
          <a:lstStyle/>
          <a:p>
            <a:pPr>
              <a:defRPr sz="1195"/>
            </a:pPr>
            <a:r>
              <a:rPr lang="es-CL" sz="996">
                <a:solidFill>
                  <a:sysClr val="windowText" lastClr="000000"/>
                </a:solidFill>
              </a:rPr>
              <a:t>DIAGNOSTICO</a:t>
            </a:r>
            <a:r>
              <a:rPr lang="es-CL" sz="996" baseline="0">
                <a:solidFill>
                  <a:sysClr val="windowText" lastClr="000000"/>
                </a:solidFill>
              </a:rPr>
              <a:t> NUTRICIONAL ADULTOS MAYORES DSM YUMBEL, DIC 2017.</a:t>
            </a:r>
            <a:endParaRPr lang="es-CL" sz="1000">
              <a:solidFill>
                <a:schemeClr val="tx2"/>
              </a:solidFill>
            </a:endParaRPr>
          </a:p>
        </c:rich>
      </c:tx>
      <c:layout>
        <c:manualLayout>
          <c:xMode val="edge"/>
          <c:yMode val="edge"/>
          <c:x val="0.17583900266547514"/>
          <c:y val="0"/>
        </c:manualLayout>
      </c:layout>
    </c:title>
    <c:view3D>
      <c:rotX val="30"/>
      <c:perspective val="30"/>
    </c:view3D>
    <c:plotArea>
      <c:layout>
        <c:manualLayout>
          <c:layoutTarget val="inner"/>
          <c:xMode val="edge"/>
          <c:yMode val="edge"/>
          <c:x val="0.1110315781134302"/>
          <c:y val="0.27064468503937045"/>
          <c:w val="0.73254176380020086"/>
          <c:h val="0.5512735170644486"/>
        </c:manualLayout>
      </c:layout>
      <c:pie3DChart>
        <c:varyColors val="1"/>
        <c:ser>
          <c:idx val="0"/>
          <c:order val="0"/>
          <c:tx>
            <c:strRef>
              <c:f>Hoja1!$B$1</c:f>
              <c:strCache>
                <c:ptCount val="1"/>
                <c:pt idx="0">
                  <c:v>DIAG. NUTRICIONAL INTEGRADO</c:v>
                </c:pt>
              </c:strCache>
            </c:strRef>
          </c:tx>
          <c:explosion val="13"/>
          <c:dLbls>
            <c:dLbl>
              <c:idx val="0"/>
              <c:layout>
                <c:manualLayout>
                  <c:x val="-4.1665514508759202E-2"/>
                  <c:y val="2.3012055826598845E-2"/>
                </c:manualLayout>
              </c:layout>
              <c:dLblPos val="bestFit"/>
              <c:showVal val="1"/>
              <c:showPercent val="1"/>
            </c:dLbl>
            <c:dLbl>
              <c:idx val="3"/>
              <c:layout>
                <c:manualLayout>
                  <c:x val="6.1983172874268667E-2"/>
                  <c:y val="-2.6265343386575591E-2"/>
                </c:manualLayout>
              </c:layout>
              <c:dLblPos val="bestFit"/>
              <c:showVal val="1"/>
              <c:showPercent val="1"/>
            </c:dLbl>
            <c:spPr>
              <a:noFill/>
              <a:ln w="25299">
                <a:noFill/>
              </a:ln>
            </c:spPr>
            <c:txPr>
              <a:bodyPr/>
              <a:lstStyle/>
              <a:p>
                <a:pPr>
                  <a:defRPr sz="797"/>
                </a:pPr>
                <a:endParaRPr lang="es-MX"/>
              </a:p>
            </c:txPr>
            <c:showVal val="1"/>
            <c:showPercent val="1"/>
          </c:dLbls>
          <c:cat>
            <c:strRef>
              <c:f>Hoja1!$A$2:$A$5</c:f>
              <c:strCache>
                <c:ptCount val="4"/>
                <c:pt idx="0">
                  <c:v>BAJO PESO </c:v>
                </c:pt>
                <c:pt idx="1">
                  <c:v>NORMAL</c:v>
                </c:pt>
                <c:pt idx="2">
                  <c:v>SOBREPESO</c:v>
                </c:pt>
                <c:pt idx="3">
                  <c:v>OBESIDAD</c:v>
                </c:pt>
              </c:strCache>
            </c:strRef>
          </c:cat>
          <c:val>
            <c:numRef>
              <c:f>Hoja1!$B$2:$B$5</c:f>
              <c:numCache>
                <c:formatCode>General</c:formatCode>
                <c:ptCount val="4"/>
                <c:pt idx="0">
                  <c:v>118</c:v>
                </c:pt>
                <c:pt idx="1">
                  <c:v>371</c:v>
                </c:pt>
                <c:pt idx="2">
                  <c:v>301</c:v>
                </c:pt>
                <c:pt idx="3">
                  <c:v>279</c:v>
                </c:pt>
              </c:numCache>
            </c:numRef>
          </c:val>
        </c:ser>
        <c:ser>
          <c:idx val="1"/>
          <c:order val="1"/>
          <c:tx>
            <c:strRef>
              <c:f>Hoja1!$C$1</c:f>
              <c:strCache>
                <c:ptCount val="1"/>
                <c:pt idx="0">
                  <c:v>  %</c:v>
                </c:pt>
              </c:strCache>
            </c:strRef>
          </c:tx>
          <c:cat>
            <c:strRef>
              <c:f>Hoja1!$A$2:$A$5</c:f>
              <c:strCache>
                <c:ptCount val="4"/>
                <c:pt idx="0">
                  <c:v>BAJO PESO </c:v>
                </c:pt>
                <c:pt idx="1">
                  <c:v>NORMAL</c:v>
                </c:pt>
                <c:pt idx="2">
                  <c:v>SOBREPESO</c:v>
                </c:pt>
                <c:pt idx="3">
                  <c:v>OBESIDAD</c:v>
                </c:pt>
              </c:strCache>
            </c:strRef>
          </c:cat>
          <c:val>
            <c:numRef>
              <c:f>Hoja1!$C$2:$C$5</c:f>
              <c:numCache>
                <c:formatCode>0.00%</c:formatCode>
                <c:ptCount val="4"/>
                <c:pt idx="0" formatCode="General">
                  <c:v>0</c:v>
                </c:pt>
                <c:pt idx="1">
                  <c:v>0</c:v>
                </c:pt>
                <c:pt idx="2">
                  <c:v>0</c:v>
                </c:pt>
                <c:pt idx="3" formatCode="General">
                  <c:v>0</c:v>
                </c:pt>
              </c:numCache>
            </c:numRef>
          </c:val>
        </c:ser>
      </c:pie3DChart>
      <c:spPr>
        <a:noFill/>
        <a:ln w="25299">
          <a:noFill/>
        </a:ln>
      </c:spPr>
    </c:plotArea>
    <c:legend>
      <c:legendPos val="r"/>
      <c:layout>
        <c:manualLayout>
          <c:xMode val="edge"/>
          <c:yMode val="edge"/>
          <c:x val="0.76349338113652576"/>
          <c:y val="0.28659053583922889"/>
          <c:w val="0.22234739017294142"/>
          <c:h val="0.55937755092124675"/>
        </c:manualLayout>
      </c:layout>
      <c:txPr>
        <a:bodyPr/>
        <a:lstStyle/>
        <a:p>
          <a:pPr>
            <a:defRPr sz="797"/>
          </a:pPr>
          <a:endParaRPr lang="es-MX"/>
        </a:p>
      </c:txPr>
    </c:legend>
    <c:plotVisOnly val="1"/>
    <c:dispBlanksAs val="zero"/>
  </c:chart>
  <c:spPr>
    <a:solidFill>
      <a:srgbClr val="FFCC99"/>
    </a:solidFill>
  </c:spPr>
  <c:externalData r:id="rId1"/>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1761</Words>
  <Characters>9686</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Municipalidad de Yumbel</Company>
  <LinksUpToDate>false</LinksUpToDate>
  <CharactersWithSpaces>11425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Turismo</dc:creator>
  <cp:keywords/>
  <dc:description/>
  <cp:lastModifiedBy>Turismo</cp:lastModifiedBy>
  <cp:revision>2</cp:revision>
  <dcterms:created xsi:type="dcterms:W3CDTF">2019-06-20T20:16:00Z</dcterms:created>
  <dcterms:modified xsi:type="dcterms:W3CDTF">2019-06-20T20:16:00Z</dcterms:modified>
</cp:coreProperties>
</file>