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2E" w:rsidRPr="00512871" w:rsidRDefault="00512871" w:rsidP="00002478">
      <w:pPr>
        <w:jc w:val="center"/>
        <w:rPr>
          <w:rFonts w:cs="Times New Roman"/>
          <w:u w:val="single"/>
        </w:rPr>
      </w:pPr>
      <w:r>
        <w:rPr>
          <w:rFonts w:cs="Times New Roman"/>
          <w:u w:val="single"/>
        </w:rPr>
        <w:t xml:space="preserve">PRE DIAGNOSTICO </w:t>
      </w:r>
      <w:r w:rsidR="00002478" w:rsidRPr="00512871">
        <w:rPr>
          <w:rFonts w:cs="Times New Roman"/>
          <w:u w:val="single"/>
        </w:rPr>
        <w:t>COMUNA DE VILLARRICA</w:t>
      </w:r>
    </w:p>
    <w:p w:rsidR="00002478" w:rsidRPr="00512871" w:rsidRDefault="00512871" w:rsidP="00002478">
      <w:pPr>
        <w:jc w:val="center"/>
        <w:rPr>
          <w:rFonts w:cs="Times New Roman"/>
          <w:u w:val="single"/>
        </w:rPr>
      </w:pPr>
      <w:r>
        <w:rPr>
          <w:rFonts w:cs="Times New Roman"/>
          <w:u w:val="single"/>
        </w:rPr>
        <w:t>CIUDA</w:t>
      </w:r>
      <w:r w:rsidR="00002478" w:rsidRPr="00512871">
        <w:rPr>
          <w:rFonts w:cs="Times New Roman"/>
          <w:u w:val="single"/>
        </w:rPr>
        <w:t>DES AMIGABLES CON LAS PERSONAS MAYORES</w:t>
      </w:r>
    </w:p>
    <w:p w:rsidR="00002478" w:rsidRPr="00512871" w:rsidRDefault="00002478" w:rsidP="00002478"/>
    <w:p w:rsidR="00002478" w:rsidRPr="00512871" w:rsidRDefault="00002478" w:rsidP="00002478"/>
    <w:p w:rsidR="00002478" w:rsidRPr="00512871" w:rsidRDefault="00002478" w:rsidP="00002478">
      <w:pPr>
        <w:rPr>
          <w:rFonts w:cs="Times New Roman"/>
          <w:u w:val="single"/>
        </w:rPr>
      </w:pPr>
      <w:r w:rsidRPr="00512871">
        <w:rPr>
          <w:rFonts w:cs="Times New Roman"/>
          <w:u w:val="single"/>
        </w:rPr>
        <w:t>Participación Social</w:t>
      </w:r>
    </w:p>
    <w:p w:rsidR="00002478" w:rsidRPr="00512871" w:rsidRDefault="00002478" w:rsidP="00002478">
      <w:pPr>
        <w:spacing w:after="0" w:line="360" w:lineRule="auto"/>
        <w:jc w:val="both"/>
        <w:rPr>
          <w:rFonts w:eastAsia="Times New Roman" w:cs="Times New Roman"/>
          <w:lang w:eastAsia="es-ES"/>
        </w:rPr>
      </w:pPr>
      <w:r w:rsidRPr="00512871">
        <w:rPr>
          <w:rFonts w:eastAsia="Times New Roman" w:cs="Times New Roman"/>
          <w:color w:val="000000"/>
          <w:lang w:eastAsia="es-ES"/>
        </w:rPr>
        <w:t>En relación a las actividades dirigidas a los adultos mayores, que fomenten su participación social del adulto mayor, se cuenta con el trabajo desarrollado por el Programa Adulto Mayor de la Municipalidad a través de talleres entre los que figuran: yoga, teatro, coro, cueca, literatura, tango y danza, además de talleres dirigidos por un kinesiólogo perteneciente al mismo programa, quien realiza talleres de actividad física a tres agrupaciones rurales. El Departamento de Deportes de la comuna, por su parte y en coordinación con el programa Adulto Mayor Municipal, ha abierto instancias de actividad física para personas de 60 y más a través de gestiones con el Instituto Nacional de Deportes (IND), realizando estos talleres de gimnasia 3 veces a la semana.</w:t>
      </w:r>
    </w:p>
    <w:p w:rsidR="00002478" w:rsidRPr="00512871" w:rsidRDefault="00002478" w:rsidP="00002478">
      <w:pPr>
        <w:spacing w:after="0" w:line="360" w:lineRule="auto"/>
        <w:ind w:firstLine="708"/>
        <w:jc w:val="both"/>
        <w:rPr>
          <w:rFonts w:eastAsia="Times New Roman" w:cs="Times New Roman"/>
          <w:lang w:eastAsia="es-ES"/>
        </w:rPr>
      </w:pPr>
      <w:r w:rsidRPr="00512871">
        <w:rPr>
          <w:rFonts w:eastAsia="Times New Roman" w:cs="Times New Roman"/>
          <w:color w:val="000000"/>
          <w:lang w:eastAsia="es-ES"/>
        </w:rPr>
        <w:t>Si bien existe una amplia cartera de oportunidades de participación para las personas de 60 y más años, es importante mencionar que estas instancias se encuentran disponibles para todos quienes formen parte de algún club de adulto mayor por lo que, se debe ser conscientes de que estas actividades no aseguran con absoluta certeza el alcance de personas con escasa participación social.</w:t>
      </w:r>
    </w:p>
    <w:p w:rsidR="0028592F" w:rsidRPr="00512871" w:rsidRDefault="00002478" w:rsidP="0028592F">
      <w:pPr>
        <w:spacing w:after="0" w:line="360" w:lineRule="auto"/>
        <w:ind w:firstLine="708"/>
        <w:jc w:val="both"/>
        <w:rPr>
          <w:rFonts w:eastAsia="Times New Roman" w:cs="Times New Roman"/>
          <w:color w:val="000000"/>
          <w:lang w:eastAsia="es-ES"/>
        </w:rPr>
      </w:pPr>
      <w:r w:rsidRPr="00512871">
        <w:rPr>
          <w:rFonts w:eastAsia="Times New Roman" w:cs="Times New Roman"/>
          <w:color w:val="000000"/>
          <w:lang w:eastAsia="es-ES"/>
        </w:rPr>
        <w:t xml:space="preserve">Por su </w:t>
      </w:r>
      <w:r w:rsidR="0028592F" w:rsidRPr="00512871">
        <w:rPr>
          <w:rFonts w:eastAsia="Times New Roman" w:cs="Times New Roman"/>
          <w:color w:val="000000"/>
          <w:lang w:eastAsia="es-ES"/>
        </w:rPr>
        <w:t>parte, además</w:t>
      </w:r>
      <w:r w:rsidRPr="00512871">
        <w:rPr>
          <w:rFonts w:eastAsia="Times New Roman" w:cs="Times New Roman"/>
          <w:color w:val="000000"/>
          <w:lang w:eastAsia="es-ES"/>
        </w:rPr>
        <w:t xml:space="preserve"> el Departamento de Salud Municipal en convenio con el Servicio de Salud ha ejecutado el Programa Más Adultos Mayores </w:t>
      </w:r>
      <w:proofErr w:type="spellStart"/>
      <w:r w:rsidRPr="00512871">
        <w:rPr>
          <w:rFonts w:eastAsia="Times New Roman" w:cs="Times New Roman"/>
          <w:color w:val="000000"/>
          <w:lang w:eastAsia="es-ES"/>
        </w:rPr>
        <w:t>Autovalentes</w:t>
      </w:r>
      <w:proofErr w:type="spellEnd"/>
      <w:r w:rsidRPr="00512871">
        <w:rPr>
          <w:rFonts w:eastAsia="Times New Roman" w:cs="Times New Roman"/>
          <w:color w:val="000000"/>
          <w:lang w:eastAsia="es-ES"/>
        </w:rPr>
        <w:t xml:space="preserve"> a través de los Centros de Salud Familiar, programa que, por medio de la integración del adulto mayor desde el área de la promoción en salud, ha influido positivamente en el fomento de estilos de vida saludable y participación social en el adulto mayor en la comuna.</w:t>
      </w:r>
    </w:p>
    <w:p w:rsidR="0028592F" w:rsidRPr="00512871" w:rsidRDefault="0028592F" w:rsidP="0028592F">
      <w:pPr>
        <w:spacing w:after="0" w:line="360" w:lineRule="auto"/>
        <w:ind w:firstLine="708"/>
        <w:jc w:val="both"/>
        <w:rPr>
          <w:rFonts w:eastAsia="Times New Roman" w:cs="Times New Roman"/>
          <w:color w:val="000000"/>
          <w:lang w:eastAsia="es-ES"/>
        </w:rPr>
      </w:pPr>
    </w:p>
    <w:p w:rsidR="00F2374D" w:rsidRDefault="00F2374D" w:rsidP="0028592F">
      <w:pPr>
        <w:spacing w:after="0" w:line="360" w:lineRule="auto"/>
        <w:ind w:firstLine="708"/>
        <w:jc w:val="both"/>
        <w:rPr>
          <w:rFonts w:eastAsia="Times New Roman" w:cs="Times New Roman"/>
          <w:color w:val="000000"/>
          <w:lang w:eastAsia="es-ES"/>
        </w:rPr>
      </w:pPr>
    </w:p>
    <w:p w:rsidR="00512871" w:rsidRDefault="00512871" w:rsidP="0028592F">
      <w:pPr>
        <w:spacing w:after="0" w:line="360" w:lineRule="auto"/>
        <w:ind w:firstLine="708"/>
        <w:jc w:val="both"/>
        <w:rPr>
          <w:rFonts w:eastAsia="Times New Roman" w:cs="Times New Roman"/>
          <w:color w:val="000000"/>
          <w:lang w:eastAsia="es-ES"/>
        </w:rPr>
      </w:pPr>
    </w:p>
    <w:p w:rsidR="00512871" w:rsidRPr="00512871" w:rsidRDefault="00512871" w:rsidP="0028592F">
      <w:pPr>
        <w:spacing w:after="0" w:line="360" w:lineRule="auto"/>
        <w:ind w:firstLine="708"/>
        <w:jc w:val="both"/>
        <w:rPr>
          <w:rFonts w:eastAsia="Times New Roman" w:cs="Times New Roman"/>
          <w:color w:val="000000"/>
          <w:lang w:eastAsia="es-ES"/>
        </w:rPr>
      </w:pPr>
    </w:p>
    <w:p w:rsidR="00F2374D" w:rsidRPr="00512871" w:rsidRDefault="00F2374D" w:rsidP="0028592F">
      <w:pPr>
        <w:spacing w:after="0" w:line="360" w:lineRule="auto"/>
        <w:ind w:firstLine="708"/>
        <w:jc w:val="both"/>
        <w:rPr>
          <w:rFonts w:eastAsia="Times New Roman" w:cs="Times New Roman"/>
          <w:color w:val="000000"/>
          <w:lang w:eastAsia="es-ES"/>
        </w:rPr>
      </w:pPr>
    </w:p>
    <w:p w:rsidR="00F2374D" w:rsidRPr="00512871" w:rsidRDefault="00F2374D" w:rsidP="0028592F">
      <w:pPr>
        <w:spacing w:after="0" w:line="360" w:lineRule="auto"/>
        <w:ind w:firstLine="708"/>
        <w:jc w:val="both"/>
        <w:rPr>
          <w:rFonts w:eastAsia="Times New Roman" w:cs="Times New Roman"/>
          <w:color w:val="000000"/>
          <w:lang w:eastAsia="es-ES"/>
        </w:rPr>
      </w:pPr>
    </w:p>
    <w:p w:rsidR="0028592F" w:rsidRPr="00512871" w:rsidRDefault="0028592F" w:rsidP="0028592F">
      <w:pPr>
        <w:spacing w:after="0" w:line="360" w:lineRule="auto"/>
        <w:ind w:firstLine="708"/>
        <w:jc w:val="both"/>
        <w:rPr>
          <w:rFonts w:eastAsia="Times New Roman" w:cs="Times New Roman"/>
          <w:color w:val="000000"/>
          <w:lang w:eastAsia="es-ES"/>
        </w:rPr>
      </w:pPr>
    </w:p>
    <w:p w:rsidR="0028592F" w:rsidRPr="00512871" w:rsidRDefault="0028592F" w:rsidP="0028592F">
      <w:pPr>
        <w:spacing w:after="0" w:line="360" w:lineRule="auto"/>
        <w:ind w:firstLine="708"/>
        <w:jc w:val="both"/>
        <w:rPr>
          <w:rFonts w:eastAsia="Times New Roman" w:cs="Times New Roman"/>
          <w:color w:val="000000"/>
          <w:lang w:eastAsia="es-ES"/>
        </w:rPr>
      </w:pPr>
    </w:p>
    <w:p w:rsidR="0028592F" w:rsidRPr="00512871" w:rsidRDefault="0028592F" w:rsidP="00F2374D">
      <w:pPr>
        <w:spacing w:after="0" w:line="360" w:lineRule="auto"/>
        <w:jc w:val="both"/>
        <w:rPr>
          <w:rFonts w:eastAsia="Times New Roman" w:cs="Times New Roman"/>
          <w:color w:val="000000"/>
          <w:lang w:eastAsia="es-ES"/>
        </w:rPr>
      </w:pPr>
    </w:p>
    <w:p w:rsidR="0028592F" w:rsidRPr="00512871" w:rsidRDefault="0028592F" w:rsidP="00002478">
      <w:pPr>
        <w:rPr>
          <w:rFonts w:cs="Times New Roman"/>
          <w:u w:val="single"/>
        </w:rPr>
      </w:pPr>
      <w:r w:rsidRPr="00512871">
        <w:rPr>
          <w:rFonts w:cs="Times New Roman"/>
          <w:u w:val="single"/>
        </w:rPr>
        <w:lastRenderedPageBreak/>
        <w:t>Servicios locales comunales</w:t>
      </w:r>
    </w:p>
    <w:p w:rsidR="0028592F" w:rsidRPr="00512871" w:rsidRDefault="0028592F" w:rsidP="0028592F">
      <w:pPr>
        <w:spacing w:after="0" w:line="360" w:lineRule="auto"/>
        <w:jc w:val="both"/>
        <w:rPr>
          <w:rFonts w:eastAsia="Times New Roman" w:cs="Times New Roman"/>
          <w:b/>
          <w:bCs/>
          <w:color w:val="000000"/>
          <w:lang w:eastAsia="es-ES"/>
        </w:rPr>
      </w:pPr>
      <w:r w:rsidRPr="00512871">
        <w:rPr>
          <w:rFonts w:eastAsia="Times New Roman" w:cs="Times New Roman"/>
          <w:color w:val="000000"/>
          <w:lang w:eastAsia="es-ES"/>
        </w:rPr>
        <w:t>Actualmente la comuna de Villarrica cuenta con los siguientes servicios locales: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Centro de la mujer: Interviene a través de apoyo legal y psicológico en casos de violencia hacia mujeres adultos mayores.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Chile Atiende</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Departamento de vivienda municipal: Medio</w:t>
      </w:r>
      <w:r w:rsidR="00F2374D" w:rsidRPr="00512871">
        <w:rPr>
          <w:rFonts w:eastAsia="Times New Roman" w:cs="Times New Roman"/>
          <w:color w:val="000000"/>
          <w:lang w:eastAsia="es-ES"/>
        </w:rPr>
        <w:t xml:space="preserve"> a través del cual las personas </w:t>
      </w:r>
      <w:r w:rsidRPr="00512871">
        <w:rPr>
          <w:rFonts w:eastAsia="Times New Roman" w:cs="Times New Roman"/>
          <w:color w:val="000000"/>
          <w:lang w:eastAsia="es-ES"/>
        </w:rPr>
        <w:t>adultos mayores pueden postular al subsidio de arriendo de viviendas.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Hogar de Cristo: Programa de apoyo a adultos mayores vulnerables socialmente.</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IPS: administra el sistema de pensiones solidarias, regímenes previsionales de reparto, leyes reparat</w:t>
      </w:r>
      <w:r w:rsidR="00F2374D" w:rsidRPr="00512871">
        <w:rPr>
          <w:rFonts w:eastAsia="Times New Roman" w:cs="Times New Roman"/>
          <w:color w:val="000000"/>
          <w:lang w:eastAsia="es-ES"/>
        </w:rPr>
        <w:t>orias y otras leyes especiales como,</w:t>
      </w:r>
      <w:r w:rsidRPr="00512871">
        <w:rPr>
          <w:rFonts w:eastAsia="Times New Roman" w:cs="Times New Roman"/>
          <w:color w:val="000000"/>
          <w:lang w:eastAsia="es-ES"/>
        </w:rPr>
        <w:t xml:space="preserve"> asimismo, pagando prestaciones sociales ordenadas por ley y/o acordadas por convenios de colaboración con este Instituto.</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Oficina de Organizaciones comunitarias, JJVV: Atiende y asesora organizaciones territoriales y funcionales. Coordina Programa del Adulto Mayor Municipal.</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UCAM: Reúne 37 grupos de Adulto Mayor.  Actividades recreativas, proyectos desarrollo personal y grupal, eventos.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Programa Amulen: Orientación y vinculación a tratamiento a personas con consumo problemático o dependencia de alcohol /drogas.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Programa Vínculos: Brinda apoyo especializado a personas adultos mayores que vivan solas o acompañadas de una persona, y que se encuentren en condición de pobreza; de acuerdo a su información en el Registro Social de Hogares.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 xml:space="preserve">Programa Adulto Mayor Municipal: Tiene como visión que las personas mayores permanezcan autónomas y </w:t>
      </w:r>
      <w:proofErr w:type="spellStart"/>
      <w:r w:rsidRPr="00512871">
        <w:rPr>
          <w:rFonts w:eastAsia="Times New Roman" w:cs="Times New Roman"/>
          <w:color w:val="000000"/>
          <w:lang w:eastAsia="es-ES"/>
        </w:rPr>
        <w:t>autovalentes</w:t>
      </w:r>
      <w:proofErr w:type="spellEnd"/>
      <w:r w:rsidRPr="00512871">
        <w:rPr>
          <w:rFonts w:eastAsia="Times New Roman" w:cs="Times New Roman"/>
          <w:color w:val="000000"/>
          <w:lang w:eastAsia="es-ES"/>
        </w:rPr>
        <w:t xml:space="preserve"> por el mayor tiempo posible y que sus problemas de salud sean resueltos en forma.</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Caja de compensación “Los Andes” y “Los Héroes”: Estas entidades privadas administran prestaciones de seguridad social. Pagan varios beneficios y subsidios, y otorgan créditos sociales y otras prestaciones a sus afiliados.</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Biblioteca Municipal: Facilita espacio para el desarrollo de diferentes actividades. en este lugar se desarrolla el taller literario del adulto mayor.</w:t>
      </w:r>
    </w:p>
    <w:p w:rsidR="0028592F" w:rsidRPr="00512871" w:rsidRDefault="0028592F" w:rsidP="0028592F">
      <w:pPr>
        <w:numPr>
          <w:ilvl w:val="0"/>
          <w:numId w:val="1"/>
        </w:numPr>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lang w:eastAsia="es-ES"/>
        </w:rPr>
        <w:t xml:space="preserve">Departamento de deportes: Junto con IND ofrece instancias de acondicionamiento físico para </w:t>
      </w:r>
      <w:r w:rsidRPr="00512871">
        <w:rPr>
          <w:rFonts w:eastAsia="Times New Roman" w:cs="Times New Roman"/>
          <w:color w:val="000000"/>
          <w:shd w:val="clear" w:color="auto" w:fill="FFFFFF"/>
          <w:lang w:eastAsia="es-ES"/>
        </w:rPr>
        <w:t>adultos mayores, promueve actividades deportivas para la familia.</w:t>
      </w:r>
    </w:p>
    <w:p w:rsidR="0028592F" w:rsidRPr="00512871" w:rsidRDefault="0028592F" w:rsidP="0028592F">
      <w:pPr>
        <w:numPr>
          <w:ilvl w:val="0"/>
          <w:numId w:val="1"/>
        </w:numPr>
        <w:shd w:val="clear" w:color="auto" w:fill="FFFFFF"/>
        <w:spacing w:after="0" w:line="360" w:lineRule="auto"/>
        <w:jc w:val="both"/>
        <w:textAlignment w:val="baseline"/>
        <w:rPr>
          <w:rFonts w:eastAsia="Times New Roman" w:cs="Times New Roman"/>
          <w:color w:val="000000"/>
          <w:lang w:eastAsia="es-ES"/>
        </w:rPr>
      </w:pPr>
      <w:r w:rsidRPr="00512871">
        <w:rPr>
          <w:rFonts w:eastAsia="Times New Roman" w:cs="Times New Roman"/>
          <w:color w:val="000000"/>
          <w:shd w:val="clear" w:color="auto" w:fill="FFFFFF"/>
          <w:lang w:eastAsia="es-ES"/>
        </w:rPr>
        <w:lastRenderedPageBreak/>
        <w:t>Consejo de Desarrollo Local (CODELO) CECOSF 21 de mayo: Conformado por dirigentes y personas usuarias del establecimiento de salud que en conjunto generan instancias de promoción y de apoyo en salud a la población del sector según su área de influencia.</w:t>
      </w:r>
    </w:p>
    <w:p w:rsidR="00705607" w:rsidRPr="00512871" w:rsidRDefault="00F2374D" w:rsidP="00705607">
      <w:pPr>
        <w:spacing w:line="360" w:lineRule="auto"/>
        <w:jc w:val="both"/>
        <w:rPr>
          <w:rFonts w:eastAsia="Times New Roman" w:cs="Times New Roman"/>
          <w:color w:val="000000"/>
          <w:lang w:eastAsia="es-ES"/>
        </w:rPr>
      </w:pPr>
      <w:r w:rsidRPr="00512871">
        <w:rPr>
          <w:rFonts w:eastAsia="Times New Roman" w:cs="Times New Roman"/>
          <w:color w:val="000000"/>
          <w:lang w:eastAsia="es-ES"/>
        </w:rPr>
        <w:t xml:space="preserve">Para lograr un diagnóstico y evaluación que determine los principales facilitadores y obstaculizadores en relación a las necesidades requeridas por la población de personas mayores en la comuna, se </w:t>
      </w:r>
      <w:r w:rsidR="00705607" w:rsidRPr="00512871">
        <w:rPr>
          <w:rFonts w:eastAsia="Times New Roman" w:cs="Times New Roman"/>
          <w:color w:val="000000"/>
          <w:lang w:eastAsia="es-ES"/>
        </w:rPr>
        <w:t>utilizaron 3</w:t>
      </w:r>
      <w:r w:rsidRPr="00512871">
        <w:rPr>
          <w:rFonts w:eastAsia="Times New Roman" w:cs="Times New Roman"/>
          <w:color w:val="000000"/>
          <w:lang w:eastAsia="es-ES"/>
        </w:rPr>
        <w:t xml:space="preserve"> herramienta</w:t>
      </w:r>
      <w:r w:rsidR="00705607" w:rsidRPr="00512871">
        <w:rPr>
          <w:rFonts w:eastAsia="Times New Roman" w:cs="Times New Roman"/>
          <w:color w:val="000000"/>
          <w:lang w:eastAsia="es-ES"/>
        </w:rPr>
        <w:t xml:space="preserve">s </w:t>
      </w:r>
      <w:r w:rsidRPr="00512871">
        <w:rPr>
          <w:rFonts w:eastAsia="Times New Roman" w:cs="Times New Roman"/>
          <w:color w:val="000000"/>
          <w:lang w:eastAsia="es-ES"/>
        </w:rPr>
        <w:t>de análisis</w:t>
      </w:r>
      <w:r w:rsidR="00705607" w:rsidRPr="00512871">
        <w:rPr>
          <w:rFonts w:eastAsia="Times New Roman" w:cs="Times New Roman"/>
          <w:color w:val="000000"/>
          <w:lang w:eastAsia="es-ES"/>
        </w:rPr>
        <w:t>, las cuales son FODA, Matriz de identificación de problemas y Matriz de priorización de problemas</w:t>
      </w:r>
      <w:r w:rsidR="00214157" w:rsidRPr="00512871">
        <w:rPr>
          <w:rFonts w:eastAsia="Times New Roman" w:cs="Times New Roman"/>
          <w:color w:val="000000"/>
          <w:lang w:eastAsia="es-ES"/>
        </w:rPr>
        <w:t xml:space="preserve">. </w:t>
      </w:r>
    </w:p>
    <w:p w:rsidR="00705607" w:rsidRPr="00512871" w:rsidRDefault="00214157" w:rsidP="00705607">
      <w:pPr>
        <w:spacing w:line="360" w:lineRule="auto"/>
        <w:jc w:val="both"/>
        <w:rPr>
          <w:rFonts w:eastAsia="Times New Roman" w:cs="Times New Roman"/>
          <w:color w:val="000000"/>
          <w:lang w:eastAsia="es-ES"/>
        </w:rPr>
      </w:pPr>
      <w:r w:rsidRPr="00512871">
        <w:rPr>
          <w:rFonts w:eastAsia="Times New Roman" w:cs="Times New Roman"/>
          <w:color w:val="000000"/>
          <w:lang w:eastAsia="es-ES"/>
        </w:rPr>
        <w:t xml:space="preserve">FODA, este como principal objetivo pretende </w:t>
      </w:r>
      <w:r w:rsidR="00705607" w:rsidRPr="00512871">
        <w:rPr>
          <w:rFonts w:eastAsia="Times New Roman" w:cs="Times New Roman"/>
          <w:color w:val="000000"/>
          <w:lang w:eastAsia="es-ES"/>
        </w:rPr>
        <w:t>estudiar la situación actual de los adultos mayores en la comuna de Villarrica, a través de la evaluación de los componentes internos (fortalezas y debilidades) y externos (oportunidades y amenazas) que impactan en su desempeño diario.</w:t>
      </w:r>
    </w:p>
    <w:p w:rsidR="00705607" w:rsidRPr="00512871" w:rsidRDefault="00705607" w:rsidP="00705607">
      <w:pPr>
        <w:spacing w:line="360" w:lineRule="auto"/>
        <w:ind w:firstLine="283"/>
        <w:jc w:val="both"/>
        <w:rPr>
          <w:rFonts w:eastAsia="Times New Roman" w:cs="Times New Roman"/>
          <w:color w:val="000000"/>
          <w:lang w:eastAsia="es-ES"/>
        </w:rPr>
      </w:pPr>
      <w:r w:rsidRPr="00512871">
        <w:rPr>
          <w:rFonts w:eastAsia="Times New Roman" w:cs="Times New Roman"/>
          <w:color w:val="000000"/>
          <w:lang w:eastAsia="es-ES"/>
        </w:rPr>
        <w:t>A continuación, se presentan los resultados del análisis FODA, el cual se realizó en base a la situación actual del adulto mayor en la comuna de Villarrica.</w:t>
      </w:r>
    </w:p>
    <w:tbl>
      <w:tblPr>
        <w:tblStyle w:val="Tablaconcuadrcula"/>
        <w:tblW w:w="9356" w:type="dxa"/>
        <w:tblInd w:w="-289" w:type="dxa"/>
        <w:tblLook w:val="04A0"/>
      </w:tblPr>
      <w:tblGrid>
        <w:gridCol w:w="4820"/>
        <w:gridCol w:w="4536"/>
      </w:tblGrid>
      <w:tr w:rsidR="00705607" w:rsidRPr="00512871" w:rsidTr="00D57677">
        <w:tc>
          <w:tcPr>
            <w:tcW w:w="4820" w:type="dxa"/>
          </w:tcPr>
          <w:p w:rsidR="00705607" w:rsidRPr="00512871" w:rsidRDefault="00705607" w:rsidP="00D57677">
            <w:pPr>
              <w:spacing w:line="360" w:lineRule="auto"/>
              <w:jc w:val="center"/>
              <w:rPr>
                <w:rFonts w:eastAsia="Times New Roman" w:cs="Times New Roman"/>
                <w:color w:val="000000"/>
                <w:lang w:eastAsia="es-ES"/>
              </w:rPr>
            </w:pPr>
            <w:r w:rsidRPr="00512871">
              <w:rPr>
                <w:rFonts w:eastAsia="Times New Roman" w:cs="Times New Roman"/>
                <w:color w:val="000000"/>
                <w:lang w:eastAsia="es-ES"/>
              </w:rPr>
              <w:t>Fortalezas</w:t>
            </w:r>
          </w:p>
        </w:tc>
        <w:tc>
          <w:tcPr>
            <w:tcW w:w="4536" w:type="dxa"/>
          </w:tcPr>
          <w:p w:rsidR="00705607" w:rsidRPr="00512871" w:rsidRDefault="00705607" w:rsidP="00D57677">
            <w:pPr>
              <w:spacing w:line="360" w:lineRule="auto"/>
              <w:jc w:val="center"/>
              <w:rPr>
                <w:rFonts w:eastAsia="Times New Roman" w:cs="Times New Roman"/>
                <w:color w:val="000000"/>
                <w:lang w:eastAsia="es-ES"/>
              </w:rPr>
            </w:pPr>
            <w:r w:rsidRPr="00512871">
              <w:rPr>
                <w:rFonts w:eastAsia="Times New Roman" w:cs="Times New Roman"/>
                <w:color w:val="000000"/>
                <w:lang w:eastAsia="es-ES"/>
              </w:rPr>
              <w:t>Oportunidades</w:t>
            </w:r>
          </w:p>
        </w:tc>
      </w:tr>
      <w:tr w:rsidR="00705607" w:rsidRPr="00512871" w:rsidTr="00D57677">
        <w:tc>
          <w:tcPr>
            <w:tcW w:w="4820" w:type="dxa"/>
          </w:tcPr>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 xml:space="preserve">Adultos mayores </w:t>
            </w:r>
            <w:proofErr w:type="spellStart"/>
            <w:r w:rsidRPr="00512871">
              <w:rPr>
                <w:rFonts w:eastAsia="Times New Roman" w:cs="Times New Roman"/>
                <w:color w:val="000000"/>
                <w:lang w:eastAsia="es-ES"/>
              </w:rPr>
              <w:t>autovalentes</w:t>
            </w:r>
            <w:proofErr w:type="spellEnd"/>
            <w:r w:rsidRPr="00512871">
              <w:rPr>
                <w:rFonts w:eastAsia="Times New Roman" w:cs="Times New Roman"/>
                <w:color w:val="000000"/>
                <w:lang w:eastAsia="es-ES"/>
              </w:rPr>
              <w:t>.</w:t>
            </w:r>
          </w:p>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Estado anímico favorable.</w:t>
            </w:r>
          </w:p>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Experiencia y sabiduría.</w:t>
            </w:r>
          </w:p>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Flexibilidad y adaptabilidad ante nuevos desafíos.</w:t>
            </w:r>
          </w:p>
          <w:p w:rsidR="00705607" w:rsidRPr="00512871" w:rsidRDefault="00705607" w:rsidP="0021415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Capacidad de aprendizaje.</w:t>
            </w:r>
          </w:p>
        </w:tc>
        <w:tc>
          <w:tcPr>
            <w:tcW w:w="4536" w:type="dxa"/>
          </w:tcPr>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Contar con espacios de recreación.</w:t>
            </w:r>
          </w:p>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Programas que otorgan beneficios al adulto mayor.</w:t>
            </w:r>
          </w:p>
          <w:p w:rsidR="00705607" w:rsidRPr="00512871" w:rsidRDefault="00705607" w:rsidP="00705607">
            <w:pPr>
              <w:pStyle w:val="Prrafodelista"/>
              <w:numPr>
                <w:ilvl w:val="0"/>
                <w:numId w:val="2"/>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Respeto hacia el adulto mayor.</w:t>
            </w:r>
          </w:p>
        </w:tc>
      </w:tr>
      <w:tr w:rsidR="00705607" w:rsidRPr="00512871" w:rsidTr="00D57677">
        <w:tc>
          <w:tcPr>
            <w:tcW w:w="4820" w:type="dxa"/>
          </w:tcPr>
          <w:p w:rsidR="00705607" w:rsidRPr="00512871" w:rsidRDefault="00705607" w:rsidP="00D57677">
            <w:pPr>
              <w:spacing w:line="360" w:lineRule="auto"/>
              <w:jc w:val="center"/>
              <w:rPr>
                <w:rFonts w:eastAsia="Times New Roman" w:cs="Times New Roman"/>
                <w:color w:val="000000"/>
                <w:lang w:eastAsia="es-ES"/>
              </w:rPr>
            </w:pPr>
            <w:r w:rsidRPr="00512871">
              <w:rPr>
                <w:rFonts w:eastAsia="Times New Roman" w:cs="Times New Roman"/>
                <w:color w:val="000000"/>
                <w:lang w:eastAsia="es-ES"/>
              </w:rPr>
              <w:t>Debilidades</w:t>
            </w:r>
          </w:p>
        </w:tc>
        <w:tc>
          <w:tcPr>
            <w:tcW w:w="4536" w:type="dxa"/>
          </w:tcPr>
          <w:p w:rsidR="00705607" w:rsidRPr="00512871" w:rsidRDefault="00705607" w:rsidP="00D57677">
            <w:pPr>
              <w:spacing w:line="360" w:lineRule="auto"/>
              <w:jc w:val="center"/>
              <w:rPr>
                <w:rFonts w:eastAsia="Times New Roman" w:cs="Times New Roman"/>
                <w:color w:val="000000"/>
                <w:lang w:eastAsia="es-ES"/>
              </w:rPr>
            </w:pPr>
            <w:r w:rsidRPr="00512871">
              <w:rPr>
                <w:rFonts w:eastAsia="Times New Roman" w:cs="Times New Roman"/>
                <w:color w:val="000000"/>
                <w:lang w:eastAsia="es-ES"/>
              </w:rPr>
              <w:t>Debilidades</w:t>
            </w:r>
          </w:p>
        </w:tc>
      </w:tr>
      <w:tr w:rsidR="00705607" w:rsidRPr="00512871" w:rsidTr="00D57677">
        <w:tc>
          <w:tcPr>
            <w:tcW w:w="4820" w:type="dxa"/>
          </w:tcPr>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Falta de compromiso y responsabilidad del adulto mayor.</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Baja importancia del concepto de salud.</w:t>
            </w:r>
          </w:p>
        </w:tc>
        <w:tc>
          <w:tcPr>
            <w:tcW w:w="4536" w:type="dxa"/>
          </w:tcPr>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Delincuencia y baja seguridad.</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Malas condiciones de calle y escasa accesibilidad.</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Prejuicios y falta de educación.</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Escasa capacitación en herramientas tecnológicas.</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Ruralidad.</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Condiciones climáticas adversas.</w:t>
            </w:r>
          </w:p>
          <w:p w:rsidR="00705607" w:rsidRPr="00512871" w:rsidRDefault="00705607" w:rsidP="00705607">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Dificultad de acceso a horas médicas.</w:t>
            </w:r>
          </w:p>
          <w:p w:rsidR="00A775ED" w:rsidRPr="00512871" w:rsidRDefault="00705607" w:rsidP="00A775ED">
            <w:pPr>
              <w:pStyle w:val="Prrafodelista"/>
              <w:numPr>
                <w:ilvl w:val="0"/>
                <w:numId w:val="3"/>
              </w:numPr>
              <w:spacing w:line="360" w:lineRule="auto"/>
              <w:jc w:val="both"/>
              <w:rPr>
                <w:rFonts w:eastAsia="Times New Roman" w:cs="Times New Roman"/>
                <w:color w:val="000000"/>
                <w:lang w:eastAsia="es-ES"/>
              </w:rPr>
            </w:pPr>
            <w:r w:rsidRPr="00512871">
              <w:rPr>
                <w:rFonts w:eastAsia="Times New Roman" w:cs="Times New Roman"/>
                <w:color w:val="000000"/>
                <w:lang w:eastAsia="es-ES"/>
              </w:rPr>
              <w:t>Bajas pensiones.</w:t>
            </w:r>
            <w:bookmarkStart w:id="0" w:name="_GoBack"/>
            <w:bookmarkEnd w:id="0"/>
          </w:p>
        </w:tc>
      </w:tr>
    </w:tbl>
    <w:p w:rsidR="00705607" w:rsidRPr="00512871" w:rsidRDefault="00705607" w:rsidP="00705607">
      <w:pPr>
        <w:spacing w:line="360" w:lineRule="auto"/>
        <w:jc w:val="both"/>
        <w:rPr>
          <w:rFonts w:eastAsia="Times New Roman" w:cs="Times New Roman"/>
          <w:i/>
          <w:iCs/>
          <w:color w:val="000000"/>
          <w:lang w:eastAsia="es-ES"/>
        </w:rPr>
      </w:pPr>
    </w:p>
    <w:p w:rsidR="00214157" w:rsidRPr="00512871" w:rsidRDefault="00214157" w:rsidP="00214157">
      <w:pPr>
        <w:spacing w:line="360" w:lineRule="auto"/>
        <w:ind w:left="360"/>
        <w:jc w:val="both"/>
        <w:textAlignment w:val="baseline"/>
        <w:rPr>
          <w:rFonts w:eastAsia="Times New Roman" w:cs="Times New Roman"/>
          <w:iCs/>
          <w:color w:val="000000"/>
          <w:u w:val="single"/>
          <w:lang w:eastAsia="es-ES"/>
        </w:rPr>
      </w:pPr>
      <w:r w:rsidRPr="00512871">
        <w:rPr>
          <w:rFonts w:eastAsia="Times New Roman" w:cs="Times New Roman"/>
          <w:iCs/>
          <w:color w:val="000000"/>
          <w:u w:val="single"/>
          <w:lang w:eastAsia="es-ES"/>
        </w:rPr>
        <w:lastRenderedPageBreak/>
        <w:t>Matriz de identificación de problemas</w:t>
      </w:r>
    </w:p>
    <w:p w:rsidR="00214157" w:rsidRPr="00512871" w:rsidRDefault="00214157" w:rsidP="00214157">
      <w:pPr>
        <w:spacing w:line="360" w:lineRule="auto"/>
        <w:jc w:val="both"/>
        <w:rPr>
          <w:rFonts w:eastAsia="Times New Roman" w:cs="Times New Roman"/>
          <w:lang w:eastAsia="es-ES"/>
        </w:rPr>
      </w:pPr>
      <w:r w:rsidRPr="00512871">
        <w:rPr>
          <w:rFonts w:eastAsia="Times New Roman" w:cs="Times New Roman"/>
          <w:color w:val="000000"/>
          <w:lang w:eastAsia="es-ES"/>
        </w:rPr>
        <w:t>Se utilizó la matriz desarrollada por las duplas del MAS AMA para identificar la problemática de cada área a evaluar en el adulto mayor, las cuales corresponden a funciones cognitivas, funciones motoras, educación en salud y participación comunitaria. Se dividió a los participantes en 7 grupos, éstos estaban constituidos por adultos mayores y uno o dos profesionales, los cuales cumplían la función de moderador y/o facilitador del proceso. Posterior a esto, se hizo entrega de la matriz por grupo, con la finalidad de completarla entre el equipo</w:t>
      </w:r>
      <w:r w:rsidRPr="00512871">
        <w:rPr>
          <w:rFonts w:eastAsia="Times New Roman" w:cs="Times New Roman"/>
          <w:lang w:eastAsia="es-ES"/>
        </w:rPr>
        <w:t>.</w:t>
      </w:r>
    </w:p>
    <w:p w:rsidR="00214157" w:rsidRPr="00512871" w:rsidRDefault="00214157" w:rsidP="00214157">
      <w:pPr>
        <w:spacing w:line="360" w:lineRule="auto"/>
        <w:jc w:val="both"/>
        <w:rPr>
          <w:rFonts w:eastAsia="Times New Roman" w:cs="Times New Roman"/>
          <w:color w:val="000000"/>
          <w:lang w:eastAsia="es-ES"/>
        </w:rPr>
      </w:pPr>
      <w:r w:rsidRPr="00512871">
        <w:rPr>
          <w:rFonts w:eastAsia="Times New Roman" w:cs="Times New Roman"/>
          <w:color w:val="000000"/>
          <w:lang w:eastAsia="es-ES"/>
        </w:rPr>
        <w:t>En base a los resultados, las duplas confeccionaron un resumen con las respuestas de cada grupo, el cual se presenta a continuación:</w:t>
      </w:r>
    </w:p>
    <w:tbl>
      <w:tblPr>
        <w:tblStyle w:val="Tablaconcuadrcula"/>
        <w:tblW w:w="9640" w:type="dxa"/>
        <w:tblInd w:w="-289" w:type="dxa"/>
        <w:tblLook w:val="04A0"/>
      </w:tblPr>
      <w:tblGrid>
        <w:gridCol w:w="1476"/>
        <w:gridCol w:w="2210"/>
        <w:gridCol w:w="3119"/>
        <w:gridCol w:w="2835"/>
      </w:tblGrid>
      <w:tr w:rsidR="00214157" w:rsidRPr="00512871" w:rsidTr="00D57677">
        <w:tc>
          <w:tcPr>
            <w:tcW w:w="1476"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Área</w:t>
            </w:r>
          </w:p>
        </w:tc>
        <w:tc>
          <w:tcPr>
            <w:tcW w:w="2210"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Problema</w:t>
            </w:r>
          </w:p>
        </w:tc>
        <w:tc>
          <w:tcPr>
            <w:tcW w:w="3119"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Causa</w:t>
            </w:r>
          </w:p>
        </w:tc>
        <w:tc>
          <w:tcPr>
            <w:tcW w:w="2835"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Consecuencia</w:t>
            </w:r>
          </w:p>
        </w:tc>
      </w:tr>
      <w:tr w:rsidR="00214157" w:rsidRPr="00512871" w:rsidTr="00D57677">
        <w:tc>
          <w:tcPr>
            <w:tcW w:w="1476"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Funciones cognitivas</w:t>
            </w:r>
          </w:p>
        </w:tc>
        <w:tc>
          <w:tcPr>
            <w:tcW w:w="2210"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Pérdida de memoria</w:t>
            </w:r>
          </w:p>
        </w:tc>
        <w:tc>
          <w:tcPr>
            <w:tcW w:w="3119" w:type="dxa"/>
          </w:tcPr>
          <w:p w:rsidR="00214157" w:rsidRPr="00512871" w:rsidRDefault="00214157" w:rsidP="00214157">
            <w:pPr>
              <w:pStyle w:val="Prrafodelista"/>
              <w:numPr>
                <w:ilvl w:val="0"/>
                <w:numId w:val="5"/>
              </w:numPr>
              <w:spacing w:line="360" w:lineRule="auto"/>
              <w:jc w:val="both"/>
              <w:rPr>
                <w:rFonts w:eastAsia="Times New Roman" w:cs="Times New Roman"/>
                <w:lang w:eastAsia="es-ES"/>
              </w:rPr>
            </w:pPr>
            <w:r w:rsidRPr="00512871">
              <w:rPr>
                <w:rFonts w:eastAsia="Times New Roman" w:cs="Times New Roman"/>
                <w:lang w:eastAsia="es-ES"/>
              </w:rPr>
              <w:t>Edad avanzada.</w:t>
            </w:r>
          </w:p>
          <w:p w:rsidR="00214157" w:rsidRPr="00512871" w:rsidRDefault="00214157" w:rsidP="00214157">
            <w:pPr>
              <w:pStyle w:val="Prrafodelista"/>
              <w:numPr>
                <w:ilvl w:val="0"/>
                <w:numId w:val="5"/>
              </w:numPr>
              <w:spacing w:line="360" w:lineRule="auto"/>
              <w:jc w:val="both"/>
              <w:rPr>
                <w:rFonts w:eastAsia="Times New Roman" w:cs="Times New Roman"/>
                <w:lang w:eastAsia="es-ES"/>
              </w:rPr>
            </w:pPr>
            <w:r w:rsidRPr="00512871">
              <w:rPr>
                <w:rFonts w:eastAsia="Times New Roman" w:cs="Times New Roman"/>
                <w:lang w:eastAsia="es-ES"/>
              </w:rPr>
              <w:t>Falta de estimulación.</w:t>
            </w:r>
          </w:p>
          <w:p w:rsidR="00214157" w:rsidRPr="00512871" w:rsidRDefault="00214157" w:rsidP="00214157">
            <w:pPr>
              <w:pStyle w:val="Prrafodelista"/>
              <w:numPr>
                <w:ilvl w:val="0"/>
                <w:numId w:val="5"/>
              </w:numPr>
              <w:spacing w:line="360" w:lineRule="auto"/>
              <w:jc w:val="both"/>
              <w:rPr>
                <w:rFonts w:eastAsia="Times New Roman" w:cs="Times New Roman"/>
                <w:lang w:eastAsia="es-ES"/>
              </w:rPr>
            </w:pPr>
            <w:r w:rsidRPr="00512871">
              <w:rPr>
                <w:rFonts w:eastAsia="Times New Roman" w:cs="Times New Roman"/>
                <w:lang w:eastAsia="es-ES"/>
              </w:rPr>
              <w:t>Nivel de escolaridad.</w:t>
            </w:r>
          </w:p>
        </w:tc>
        <w:tc>
          <w:tcPr>
            <w:tcW w:w="2835"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Problemas familiares.</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Afectación en el área emocional.</w:t>
            </w:r>
          </w:p>
          <w:p w:rsidR="00214157" w:rsidRPr="00512871" w:rsidRDefault="00214157" w:rsidP="00D57677">
            <w:pPr>
              <w:spacing w:line="360" w:lineRule="auto"/>
              <w:jc w:val="both"/>
              <w:rPr>
                <w:rFonts w:eastAsia="Times New Roman" w:cs="Times New Roman"/>
                <w:lang w:eastAsia="es-ES"/>
              </w:rPr>
            </w:pPr>
          </w:p>
        </w:tc>
      </w:tr>
      <w:tr w:rsidR="00214157" w:rsidRPr="00512871" w:rsidTr="00D57677">
        <w:tc>
          <w:tcPr>
            <w:tcW w:w="1476"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Funciones motoras</w:t>
            </w:r>
          </w:p>
        </w:tc>
        <w:tc>
          <w:tcPr>
            <w:tcW w:w="2210"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Déficit de equilibrio</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Riesgo de caída</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Dolor articular</w:t>
            </w:r>
          </w:p>
          <w:p w:rsidR="00214157" w:rsidRPr="00512871" w:rsidRDefault="00214157" w:rsidP="00D57677">
            <w:pPr>
              <w:spacing w:line="360" w:lineRule="auto"/>
              <w:jc w:val="both"/>
              <w:rPr>
                <w:rFonts w:eastAsia="Times New Roman" w:cs="Times New Roman"/>
                <w:lang w:eastAsia="es-ES"/>
              </w:rPr>
            </w:pPr>
          </w:p>
        </w:tc>
        <w:tc>
          <w:tcPr>
            <w:tcW w:w="3119" w:type="dxa"/>
          </w:tcPr>
          <w:p w:rsidR="00214157" w:rsidRPr="00512871" w:rsidRDefault="00214157" w:rsidP="00214157">
            <w:pPr>
              <w:pStyle w:val="Prrafodelista"/>
              <w:numPr>
                <w:ilvl w:val="0"/>
                <w:numId w:val="6"/>
              </w:numPr>
              <w:spacing w:line="360" w:lineRule="auto"/>
              <w:jc w:val="both"/>
              <w:rPr>
                <w:rFonts w:eastAsia="Times New Roman" w:cs="Times New Roman"/>
                <w:lang w:eastAsia="es-ES"/>
              </w:rPr>
            </w:pPr>
            <w:r w:rsidRPr="00512871">
              <w:rPr>
                <w:rFonts w:eastAsia="Times New Roman" w:cs="Times New Roman"/>
                <w:lang w:eastAsia="es-ES"/>
              </w:rPr>
              <w:t>Edad avanzada.</w:t>
            </w:r>
          </w:p>
          <w:p w:rsidR="00214157" w:rsidRPr="00512871" w:rsidRDefault="00214157" w:rsidP="00214157">
            <w:pPr>
              <w:pStyle w:val="Prrafodelista"/>
              <w:numPr>
                <w:ilvl w:val="0"/>
                <w:numId w:val="6"/>
              </w:numPr>
              <w:spacing w:line="360" w:lineRule="auto"/>
              <w:jc w:val="both"/>
              <w:rPr>
                <w:rFonts w:eastAsia="Times New Roman" w:cs="Times New Roman"/>
                <w:lang w:eastAsia="es-ES"/>
              </w:rPr>
            </w:pPr>
            <w:r w:rsidRPr="00512871">
              <w:rPr>
                <w:rFonts w:eastAsia="Times New Roman" w:cs="Times New Roman"/>
                <w:lang w:eastAsia="es-ES"/>
              </w:rPr>
              <w:t>Sedentarismo.</w:t>
            </w:r>
          </w:p>
          <w:p w:rsidR="00214157" w:rsidRPr="00512871" w:rsidRDefault="00214157" w:rsidP="00D57677">
            <w:pPr>
              <w:spacing w:line="360" w:lineRule="auto"/>
              <w:ind w:left="360"/>
              <w:jc w:val="both"/>
              <w:rPr>
                <w:rFonts w:eastAsia="Times New Roman" w:cs="Times New Roman"/>
                <w:lang w:eastAsia="es-ES"/>
              </w:rPr>
            </w:pPr>
          </w:p>
        </w:tc>
        <w:tc>
          <w:tcPr>
            <w:tcW w:w="2835"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Atrofia muscular</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Caídas</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Pérdida de independencia</w:t>
            </w:r>
          </w:p>
        </w:tc>
      </w:tr>
      <w:tr w:rsidR="00214157" w:rsidRPr="00512871" w:rsidTr="00D57677">
        <w:tc>
          <w:tcPr>
            <w:tcW w:w="1476"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Educación en salud</w:t>
            </w:r>
          </w:p>
        </w:tc>
        <w:tc>
          <w:tcPr>
            <w:tcW w:w="2210"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Baja capacitación en diversas áreas de salud.</w:t>
            </w:r>
          </w:p>
        </w:tc>
        <w:tc>
          <w:tcPr>
            <w:tcW w:w="3119" w:type="dxa"/>
          </w:tcPr>
          <w:p w:rsidR="00214157" w:rsidRPr="00512871" w:rsidRDefault="00214157" w:rsidP="00214157">
            <w:pPr>
              <w:pStyle w:val="Prrafodelista"/>
              <w:numPr>
                <w:ilvl w:val="0"/>
                <w:numId w:val="7"/>
              </w:numPr>
              <w:spacing w:line="360" w:lineRule="auto"/>
              <w:jc w:val="both"/>
              <w:rPr>
                <w:rFonts w:eastAsia="Times New Roman" w:cs="Times New Roman"/>
                <w:lang w:eastAsia="es-ES"/>
              </w:rPr>
            </w:pPr>
            <w:r w:rsidRPr="00512871">
              <w:rPr>
                <w:rFonts w:eastAsia="Times New Roman" w:cs="Times New Roman"/>
                <w:lang w:eastAsia="es-ES"/>
              </w:rPr>
              <w:t>Falta de profesionales del área de adulto mayor y salud mental.</w:t>
            </w:r>
          </w:p>
        </w:tc>
        <w:tc>
          <w:tcPr>
            <w:tcW w:w="2835"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Aislamiento social</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Desinformación de sus patologías</w:t>
            </w:r>
          </w:p>
        </w:tc>
      </w:tr>
      <w:tr w:rsidR="00214157" w:rsidRPr="00512871" w:rsidTr="00D57677">
        <w:tc>
          <w:tcPr>
            <w:tcW w:w="1476"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Participación comunitaria</w:t>
            </w:r>
          </w:p>
        </w:tc>
        <w:tc>
          <w:tcPr>
            <w:tcW w:w="2210"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Bajo compromiso e información hacia la comunidad</w:t>
            </w:r>
          </w:p>
        </w:tc>
        <w:tc>
          <w:tcPr>
            <w:tcW w:w="3119" w:type="dxa"/>
          </w:tcPr>
          <w:p w:rsidR="00214157" w:rsidRPr="00512871" w:rsidRDefault="00214157" w:rsidP="00214157">
            <w:pPr>
              <w:pStyle w:val="Prrafodelista"/>
              <w:numPr>
                <w:ilvl w:val="0"/>
                <w:numId w:val="7"/>
              </w:numPr>
              <w:spacing w:line="360" w:lineRule="auto"/>
              <w:jc w:val="both"/>
              <w:rPr>
                <w:rFonts w:eastAsia="Times New Roman" w:cs="Times New Roman"/>
                <w:lang w:eastAsia="es-ES"/>
              </w:rPr>
            </w:pPr>
            <w:r w:rsidRPr="00512871">
              <w:rPr>
                <w:rFonts w:eastAsia="Times New Roman" w:cs="Times New Roman"/>
                <w:lang w:eastAsia="es-ES"/>
              </w:rPr>
              <w:t>Falta de recursos económicos.</w:t>
            </w:r>
          </w:p>
          <w:p w:rsidR="00214157" w:rsidRPr="00512871" w:rsidRDefault="00214157" w:rsidP="00214157">
            <w:pPr>
              <w:pStyle w:val="Prrafodelista"/>
              <w:numPr>
                <w:ilvl w:val="0"/>
                <w:numId w:val="7"/>
              </w:numPr>
              <w:spacing w:line="360" w:lineRule="auto"/>
              <w:jc w:val="both"/>
              <w:rPr>
                <w:rFonts w:eastAsia="Times New Roman" w:cs="Times New Roman"/>
                <w:lang w:eastAsia="es-ES"/>
              </w:rPr>
            </w:pPr>
            <w:r w:rsidRPr="00512871">
              <w:rPr>
                <w:rFonts w:eastAsia="Times New Roman" w:cs="Times New Roman"/>
                <w:lang w:eastAsia="es-ES"/>
              </w:rPr>
              <w:t>Falta de accesibilidad e información.</w:t>
            </w:r>
          </w:p>
        </w:tc>
        <w:tc>
          <w:tcPr>
            <w:tcW w:w="2835" w:type="dxa"/>
          </w:tcPr>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Aislamiento social</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Dependencia</w:t>
            </w:r>
          </w:p>
          <w:p w:rsidR="00214157" w:rsidRPr="00512871" w:rsidRDefault="00214157" w:rsidP="00D57677">
            <w:pPr>
              <w:spacing w:line="360" w:lineRule="auto"/>
              <w:jc w:val="both"/>
              <w:rPr>
                <w:rFonts w:eastAsia="Times New Roman" w:cs="Times New Roman"/>
                <w:lang w:eastAsia="es-ES"/>
              </w:rPr>
            </w:pPr>
            <w:r w:rsidRPr="00512871">
              <w:rPr>
                <w:rFonts w:eastAsia="Times New Roman" w:cs="Times New Roman"/>
                <w:lang w:eastAsia="es-ES"/>
              </w:rPr>
              <w:t>Depresión</w:t>
            </w:r>
          </w:p>
          <w:p w:rsidR="00214157" w:rsidRPr="00512871" w:rsidRDefault="00214157" w:rsidP="00D57677">
            <w:pPr>
              <w:spacing w:line="360" w:lineRule="auto"/>
              <w:jc w:val="both"/>
              <w:rPr>
                <w:rFonts w:eastAsia="Times New Roman" w:cs="Times New Roman"/>
                <w:lang w:eastAsia="es-ES"/>
              </w:rPr>
            </w:pPr>
          </w:p>
        </w:tc>
      </w:tr>
    </w:tbl>
    <w:p w:rsidR="0028592F" w:rsidRPr="00512871" w:rsidRDefault="0028592F" w:rsidP="00002478">
      <w:pPr>
        <w:rPr>
          <w:rFonts w:cs="Times New Roman"/>
          <w:u w:val="single"/>
        </w:rPr>
      </w:pPr>
    </w:p>
    <w:p w:rsidR="00214157" w:rsidRDefault="00214157" w:rsidP="00002478">
      <w:pPr>
        <w:rPr>
          <w:rFonts w:cs="Times New Roman"/>
          <w:u w:val="single"/>
        </w:rPr>
      </w:pPr>
    </w:p>
    <w:p w:rsidR="00512871" w:rsidRDefault="00512871" w:rsidP="00002478">
      <w:pPr>
        <w:rPr>
          <w:rFonts w:cs="Times New Roman"/>
          <w:u w:val="single"/>
        </w:rPr>
      </w:pPr>
    </w:p>
    <w:p w:rsidR="00512871" w:rsidRDefault="00512871" w:rsidP="00002478">
      <w:pPr>
        <w:rPr>
          <w:rFonts w:cs="Times New Roman"/>
          <w:u w:val="single"/>
        </w:rPr>
      </w:pPr>
    </w:p>
    <w:p w:rsidR="00512871" w:rsidRPr="00512871" w:rsidRDefault="00512871" w:rsidP="00002478">
      <w:pPr>
        <w:rPr>
          <w:rFonts w:cs="Times New Roman"/>
          <w:u w:val="single"/>
        </w:rPr>
      </w:pPr>
    </w:p>
    <w:p w:rsidR="00214157" w:rsidRPr="00512871" w:rsidRDefault="00214157" w:rsidP="00214157">
      <w:pPr>
        <w:spacing w:line="360" w:lineRule="auto"/>
        <w:jc w:val="both"/>
        <w:rPr>
          <w:rFonts w:eastAsia="Times New Roman" w:cs="Times New Roman"/>
          <w:u w:val="single"/>
          <w:lang w:eastAsia="es-ES"/>
        </w:rPr>
      </w:pPr>
      <w:r w:rsidRPr="00512871">
        <w:rPr>
          <w:rFonts w:eastAsia="Times New Roman" w:cs="Times New Roman"/>
          <w:iCs/>
          <w:color w:val="000000"/>
          <w:u w:val="single"/>
          <w:lang w:eastAsia="es-ES"/>
        </w:rPr>
        <w:lastRenderedPageBreak/>
        <w:t>Matriz de Priorización de Problemas</w:t>
      </w:r>
    </w:p>
    <w:p w:rsidR="00214157" w:rsidRPr="00512871" w:rsidRDefault="00214157" w:rsidP="00214157">
      <w:pPr>
        <w:spacing w:after="0" w:line="360" w:lineRule="auto"/>
        <w:jc w:val="both"/>
        <w:rPr>
          <w:rFonts w:eastAsia="Times New Roman" w:cs="Times New Roman"/>
          <w:color w:val="000000"/>
          <w:lang w:eastAsia="es-ES"/>
        </w:rPr>
      </w:pPr>
      <w:r w:rsidRPr="00512871">
        <w:rPr>
          <w:rFonts w:eastAsia="Times New Roman" w:cs="Times New Roman"/>
          <w:color w:val="000000"/>
          <w:lang w:eastAsia="es-ES"/>
        </w:rPr>
        <w:t xml:space="preserve">Las problemáticas que resaltan durante la realización del Diagnóstico Participativo, se mencionan a continuación: </w:t>
      </w:r>
    </w:p>
    <w:p w:rsidR="00214157" w:rsidRPr="00512871" w:rsidRDefault="00214157" w:rsidP="00214157">
      <w:pPr>
        <w:spacing w:after="0" w:line="360" w:lineRule="auto"/>
        <w:ind w:firstLine="283"/>
        <w:jc w:val="both"/>
        <w:rPr>
          <w:rFonts w:eastAsia="Times New Roman" w:cs="Times New Roman"/>
          <w:lang w:eastAsia="es-ES"/>
        </w:rPr>
      </w:pPr>
    </w:p>
    <w:p w:rsidR="00214157" w:rsidRPr="00512871" w:rsidRDefault="00214157" w:rsidP="00214157">
      <w:pPr>
        <w:pStyle w:val="Prrafodelista"/>
        <w:numPr>
          <w:ilvl w:val="0"/>
          <w:numId w:val="8"/>
        </w:numPr>
        <w:spacing w:after="0" w:line="360" w:lineRule="auto"/>
        <w:jc w:val="both"/>
        <w:rPr>
          <w:rFonts w:eastAsia="Times New Roman" w:cs="Times New Roman"/>
          <w:color w:val="000000"/>
          <w:lang w:eastAsia="es-ES"/>
        </w:rPr>
      </w:pPr>
      <w:r w:rsidRPr="00512871">
        <w:rPr>
          <w:rFonts w:eastAsia="Times New Roman" w:cs="Times New Roman"/>
          <w:b/>
          <w:color w:val="000000"/>
          <w:lang w:eastAsia="es-ES"/>
        </w:rPr>
        <w:t>Funciones Cognitivas:</w:t>
      </w:r>
      <w:r w:rsidRPr="00512871">
        <w:rPr>
          <w:rFonts w:eastAsia="Times New Roman" w:cs="Times New Roman"/>
          <w:color w:val="000000"/>
          <w:lang w:eastAsia="es-ES"/>
        </w:rPr>
        <w:t xml:space="preserve"> se prioriza la problemática que tiene relación con la </w:t>
      </w:r>
      <w:r w:rsidRPr="00512871">
        <w:rPr>
          <w:rFonts w:eastAsia="Times New Roman" w:cs="Times New Roman"/>
          <w:i/>
          <w:iCs/>
          <w:color w:val="000000"/>
          <w:lang w:eastAsia="es-ES"/>
        </w:rPr>
        <w:t>pérdida de memoria y disminución de la atención</w:t>
      </w:r>
      <w:r w:rsidRPr="00512871">
        <w:rPr>
          <w:rFonts w:eastAsia="Times New Roman" w:cs="Times New Roman"/>
          <w:color w:val="000000"/>
          <w:lang w:eastAsia="es-ES"/>
        </w:rPr>
        <w:t xml:space="preserve"> en las personas adultas mayores. En consideración a la frecuencia y a las posibles acciones que se pueden realizar ante esta dificultad se otorga la puntuación máxima, en ambos ítem.</w:t>
      </w:r>
    </w:p>
    <w:p w:rsidR="00214157" w:rsidRPr="00512871" w:rsidRDefault="00214157" w:rsidP="00214157">
      <w:pPr>
        <w:spacing w:after="0" w:line="360" w:lineRule="auto"/>
        <w:jc w:val="both"/>
        <w:rPr>
          <w:rFonts w:eastAsia="Times New Roman" w:cs="Times New Roman"/>
          <w:b/>
          <w:color w:val="000000"/>
          <w:lang w:eastAsia="es-ES"/>
        </w:rPr>
      </w:pPr>
    </w:p>
    <w:p w:rsidR="00214157" w:rsidRPr="00512871" w:rsidRDefault="00214157" w:rsidP="00214157">
      <w:pPr>
        <w:pStyle w:val="Prrafodelista"/>
        <w:numPr>
          <w:ilvl w:val="0"/>
          <w:numId w:val="8"/>
        </w:numPr>
        <w:spacing w:after="0" w:line="360" w:lineRule="auto"/>
        <w:jc w:val="both"/>
        <w:rPr>
          <w:rFonts w:eastAsia="Times New Roman" w:cs="Times New Roman"/>
          <w:lang w:eastAsia="es-ES"/>
        </w:rPr>
      </w:pPr>
      <w:r w:rsidRPr="00512871">
        <w:rPr>
          <w:rFonts w:eastAsia="Times New Roman" w:cs="Times New Roman"/>
          <w:b/>
          <w:color w:val="000000"/>
          <w:lang w:eastAsia="es-ES"/>
        </w:rPr>
        <w:t>Funciones Motoras:</w:t>
      </w:r>
      <w:r w:rsidRPr="00512871">
        <w:rPr>
          <w:rFonts w:eastAsia="Times New Roman" w:cs="Times New Roman"/>
          <w:color w:val="000000"/>
          <w:lang w:eastAsia="es-ES"/>
        </w:rPr>
        <w:t xml:space="preserve"> se prioriza el abordaje de </w:t>
      </w:r>
      <w:r w:rsidRPr="00512871">
        <w:rPr>
          <w:rFonts w:eastAsia="Times New Roman" w:cs="Times New Roman"/>
          <w:i/>
          <w:iCs/>
          <w:color w:val="000000"/>
          <w:lang w:eastAsia="es-ES"/>
        </w:rPr>
        <w:t>dolores articulares</w:t>
      </w:r>
      <w:r w:rsidRPr="00512871">
        <w:rPr>
          <w:rFonts w:eastAsia="Times New Roman" w:cs="Times New Roman"/>
          <w:color w:val="000000"/>
          <w:lang w:eastAsia="es-ES"/>
        </w:rPr>
        <w:t xml:space="preserve"> que padecen las personas que se encuentran en esta etapa del ciclo vital. Respecto a qué tan frecuente y si es posible realizar alguna acción que permita dar solución a dicha problemática, el valor otorgado fue de 3 puntos para cada ítem, haciendo mención a que es algo muy frecuente y que sí es posible realizar cambios para mejorar dicha situación.</w:t>
      </w:r>
    </w:p>
    <w:p w:rsidR="00214157" w:rsidRPr="00512871" w:rsidRDefault="00214157" w:rsidP="00214157">
      <w:pPr>
        <w:spacing w:after="0" w:line="360" w:lineRule="auto"/>
        <w:jc w:val="both"/>
        <w:rPr>
          <w:rFonts w:eastAsia="Times New Roman" w:cs="Times New Roman"/>
          <w:b/>
          <w:color w:val="000000"/>
          <w:lang w:eastAsia="es-ES"/>
        </w:rPr>
      </w:pPr>
    </w:p>
    <w:p w:rsidR="00214157" w:rsidRPr="00512871" w:rsidRDefault="00214157" w:rsidP="00214157">
      <w:pPr>
        <w:pStyle w:val="Prrafodelista"/>
        <w:numPr>
          <w:ilvl w:val="0"/>
          <w:numId w:val="8"/>
        </w:numPr>
        <w:spacing w:after="0" w:line="360" w:lineRule="auto"/>
        <w:jc w:val="both"/>
        <w:rPr>
          <w:rFonts w:eastAsia="Times New Roman" w:cs="Times New Roman"/>
          <w:color w:val="000000"/>
          <w:lang w:eastAsia="es-ES"/>
        </w:rPr>
      </w:pPr>
      <w:r w:rsidRPr="00512871">
        <w:rPr>
          <w:rFonts w:eastAsia="Times New Roman" w:cs="Times New Roman"/>
          <w:b/>
          <w:color w:val="000000"/>
          <w:lang w:eastAsia="es-ES"/>
        </w:rPr>
        <w:t>Educación en Salud:</w:t>
      </w:r>
      <w:r w:rsidRPr="00512871">
        <w:rPr>
          <w:rFonts w:eastAsia="Times New Roman" w:cs="Times New Roman"/>
          <w:color w:val="000000"/>
          <w:lang w:eastAsia="es-ES"/>
        </w:rPr>
        <w:t xml:space="preserve"> se logran identificar diversas problemáticas que buscan ser abordadas de forma simultánea, a través diálogo los presentes, llegan al consenso de priorizar el </w:t>
      </w:r>
      <w:r w:rsidRPr="00512871">
        <w:rPr>
          <w:rFonts w:eastAsia="Times New Roman" w:cs="Times New Roman"/>
          <w:i/>
          <w:iCs/>
          <w:color w:val="000000"/>
          <w:lang w:eastAsia="es-ES"/>
        </w:rPr>
        <w:t>desconocimiento que hay frente a salud mental en las personas adultas mayores</w:t>
      </w:r>
      <w:r w:rsidRPr="00512871">
        <w:rPr>
          <w:rFonts w:eastAsia="Times New Roman" w:cs="Times New Roman"/>
          <w:color w:val="000000"/>
          <w:lang w:eastAsia="es-ES"/>
        </w:rPr>
        <w:t>, obteniendo el puntaje máximo, en los ítem de frecuencia y en el de si es posible realizar acciones para revertir o dar solución a dicha interrogante.</w:t>
      </w:r>
    </w:p>
    <w:p w:rsidR="00214157" w:rsidRPr="00512871" w:rsidRDefault="00214157" w:rsidP="00214157">
      <w:pPr>
        <w:spacing w:after="0" w:line="360" w:lineRule="auto"/>
        <w:jc w:val="both"/>
        <w:rPr>
          <w:rFonts w:eastAsia="Times New Roman" w:cs="Times New Roman"/>
          <w:color w:val="000000"/>
          <w:lang w:eastAsia="es-ES"/>
        </w:rPr>
      </w:pPr>
    </w:p>
    <w:p w:rsidR="00214157" w:rsidRPr="00512871" w:rsidRDefault="00214157" w:rsidP="00214157">
      <w:pPr>
        <w:pStyle w:val="Prrafodelista"/>
        <w:numPr>
          <w:ilvl w:val="0"/>
          <w:numId w:val="8"/>
        </w:numPr>
        <w:spacing w:after="0" w:line="360" w:lineRule="auto"/>
        <w:jc w:val="both"/>
        <w:rPr>
          <w:rFonts w:eastAsia="Times New Roman" w:cs="Times New Roman"/>
          <w:color w:val="000000"/>
          <w:lang w:eastAsia="es-ES"/>
        </w:rPr>
      </w:pPr>
      <w:r w:rsidRPr="00512871">
        <w:rPr>
          <w:rFonts w:eastAsia="Times New Roman" w:cs="Times New Roman"/>
          <w:b/>
          <w:color w:val="000000"/>
          <w:lang w:eastAsia="es-ES"/>
        </w:rPr>
        <w:t>Participación Comunitaria:</w:t>
      </w:r>
      <w:r w:rsidRPr="00512871">
        <w:rPr>
          <w:rFonts w:eastAsia="Times New Roman" w:cs="Times New Roman"/>
          <w:color w:val="000000"/>
          <w:lang w:eastAsia="es-ES"/>
        </w:rPr>
        <w:t xml:space="preserve"> se decide priorizar las problemáticas que tienen relación con </w:t>
      </w:r>
      <w:r w:rsidRPr="00512871">
        <w:rPr>
          <w:rFonts w:eastAsia="Times New Roman" w:cs="Times New Roman"/>
          <w:i/>
          <w:iCs/>
          <w:color w:val="000000"/>
          <w:lang w:eastAsia="es-ES"/>
        </w:rPr>
        <w:t>el alto nivel de desinformación que se presenta ante la oferta de servicios en la comuna y la accesibilidad</w:t>
      </w:r>
      <w:r w:rsidRPr="00512871">
        <w:rPr>
          <w:rFonts w:eastAsia="Times New Roman" w:cs="Times New Roman"/>
          <w:color w:val="000000"/>
          <w:lang w:eastAsia="es-ES"/>
        </w:rPr>
        <w:t xml:space="preserve"> frente a éstos. </w:t>
      </w:r>
    </w:p>
    <w:p w:rsidR="00214157" w:rsidRPr="00512871" w:rsidRDefault="00214157" w:rsidP="00002478">
      <w:pPr>
        <w:rPr>
          <w:rFonts w:cs="Times New Roman"/>
          <w:u w:val="single"/>
        </w:rPr>
      </w:pPr>
    </w:p>
    <w:sectPr w:rsidR="00214157" w:rsidRPr="00512871" w:rsidSect="00FF13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156"/>
    <w:multiLevelType w:val="hybridMultilevel"/>
    <w:tmpl w:val="217AB1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E4142B"/>
    <w:multiLevelType w:val="hybridMultilevel"/>
    <w:tmpl w:val="C452FA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C248FF"/>
    <w:multiLevelType w:val="hybridMultilevel"/>
    <w:tmpl w:val="39F001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3A2A6F"/>
    <w:multiLevelType w:val="multilevel"/>
    <w:tmpl w:val="2DC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A03AE"/>
    <w:multiLevelType w:val="hybridMultilevel"/>
    <w:tmpl w:val="03AA07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F1640D"/>
    <w:multiLevelType w:val="hybridMultilevel"/>
    <w:tmpl w:val="98544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7EE42FA"/>
    <w:multiLevelType w:val="hybridMultilevel"/>
    <w:tmpl w:val="5BFA1F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EF5DD0"/>
    <w:multiLevelType w:val="hybridMultilevel"/>
    <w:tmpl w:val="DF3CAF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478"/>
    <w:rsid w:val="00002478"/>
    <w:rsid w:val="00214157"/>
    <w:rsid w:val="0028592F"/>
    <w:rsid w:val="00512871"/>
    <w:rsid w:val="00705607"/>
    <w:rsid w:val="0097622E"/>
    <w:rsid w:val="00A775ED"/>
    <w:rsid w:val="00F2374D"/>
    <w:rsid w:val="00FF132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607"/>
    <w:pPr>
      <w:ind w:left="720"/>
      <w:contextualSpacing/>
    </w:pPr>
    <w:rPr>
      <w:lang w:val="es-ES"/>
    </w:rPr>
  </w:style>
  <w:style w:type="table" w:styleId="Tablaconcuadrcula">
    <w:name w:val="Table Grid"/>
    <w:basedOn w:val="Tablanormal"/>
    <w:uiPriority w:val="39"/>
    <w:rsid w:val="007056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7115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USUARIO</cp:lastModifiedBy>
  <cp:revision>2</cp:revision>
  <dcterms:created xsi:type="dcterms:W3CDTF">2019-05-03T17:36:00Z</dcterms:created>
  <dcterms:modified xsi:type="dcterms:W3CDTF">2019-05-03T17:36:00Z</dcterms:modified>
</cp:coreProperties>
</file>