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025B" w14:textId="7AF2EEDA" w:rsidR="00356918" w:rsidRDefault="00575688">
      <w:hyperlink r:id="rId4" w:history="1">
        <w:r w:rsidRPr="00575688">
          <w:rPr>
            <w:rStyle w:val="Hyperlink"/>
          </w:rPr>
          <w:t>Age-Friendly Monash Data Analysis Report</w:t>
        </w:r>
      </w:hyperlink>
      <w:bookmarkStart w:id="0" w:name="_GoBack"/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8"/>
    <w:rsid w:val="00111067"/>
    <w:rsid w:val="00356918"/>
    <w:rsid w:val="00575688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A4FF"/>
  <w15:chartTrackingRefBased/>
  <w15:docId w15:val="{D893E512-130E-4DB5-B3D6-B7E89FE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6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DATA\Projects\Age-friendly\GNAFCC\Profile%20updates\Australia\Monash,%20AU\Age%20Friendly%20Monash%20Data%20Analysis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2018-07-18T12:01:00Z</dcterms:created>
  <dcterms:modified xsi:type="dcterms:W3CDTF">2018-07-18T12:02:00Z</dcterms:modified>
</cp:coreProperties>
</file>